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26656" w14:textId="1749A5EE" w:rsidR="00651710" w:rsidRPr="00651710" w:rsidRDefault="004C02AE" w:rsidP="00651710">
      <w:pPr>
        <w:spacing w:after="200" w:line="276" w:lineRule="auto"/>
        <w:contextualSpacing/>
        <w:rPr>
          <w:color w:val="009FE3"/>
          <w:u w:val="single"/>
          <w:lang w:val="en-GB" w:bidi="ar-SA"/>
        </w:rPr>
      </w:pPr>
      <w:r>
        <w:rPr>
          <w:noProof/>
        </w:rPr>
        <mc:AlternateContent>
          <mc:Choice Requires="wpg">
            <w:drawing>
              <wp:anchor distT="0" distB="0" distL="114300" distR="114300" simplePos="0" relativeHeight="251658240" behindDoc="0" locked="0" layoutInCell="1" allowOverlap="1" wp14:anchorId="7F6F6111" wp14:editId="7B03A632">
                <wp:simplePos x="0" y="0"/>
                <wp:positionH relativeFrom="page">
                  <wp:posOffset>283489</wp:posOffset>
                </wp:positionH>
                <wp:positionV relativeFrom="page">
                  <wp:posOffset>1338806</wp:posOffset>
                </wp:positionV>
                <wp:extent cx="7315200" cy="457200"/>
                <wp:effectExtent l="0" t="0" r="8255" b="0"/>
                <wp:wrapNone/>
                <wp:docPr id="149" name="Group 157"/>
                <wp:cNvGraphicFramePr/>
                <a:graphic xmlns:a="http://schemas.openxmlformats.org/drawingml/2006/main">
                  <a:graphicData uri="http://schemas.microsoft.com/office/word/2010/wordprocessingGroup">
                    <wpg:wgp>
                      <wpg:cNvGrpSpPr/>
                      <wpg:grpSpPr>
                        <a:xfrm>
                          <a:off x="0" y="0"/>
                          <a:ext cx="7315200" cy="457200"/>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0</wp14:pctHeight>
                </wp14:sizeRelV>
              </wp:anchor>
            </w:drawing>
          </mc:Choice>
          <mc:Fallback>
            <w:pict>
              <v:group w14:anchorId="15E2DF80" id="Group 157" o:spid="_x0000_s1026" style="position:absolute;margin-left:22.3pt;margin-top:105.4pt;width:8in;height:36pt;z-index:251658240;mso-width-percent:941;mso-position-horizontal-relative:page;mso-position-vertical-relative:page;mso-width-percent:941" coordorigin="" coordsize="73152,12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tc/TQUAAAQbAAAOAAAAZHJzL2Uyb0RvYy54bWzsWdFu4jgUfV9p/8HK40pTSCAwoNJR1dlW&#10;K1Uz1bSrmXl0gwORkjhrm0L36/fYjsHQNgQqjbQSL4kT3+trn3tsxyfnn1ZFTp6YkBkvJ0F41g0I&#10;KxM+zcrZJPj74frDx4BIRcspzXnJJsEzk8Gni99/O19WYxbxOc+nTBA0UsrxspoEc6Wqcacjkzkr&#10;qDzjFStRmXJRUIVHMetMBV2i9SLvRN3uoLPkYloJnjAp8fazrQwuTPtpyhL1NU0lUySfBOibMldh&#10;ro/62rk4p+OZoNU8S+pu0CN6UdCsRNB1U5+pomQhshdNFVkiuOSpOkt40eFpmiXMjAGjCbs7o7kR&#10;fFGZsczGy1m1hgnQ7uB0dLPJl6cbUd1XdwJILKsZsDBPeiyrVBT6jl6SlYHseQ0ZWymS4OWwF8bI&#10;Q0AS1PXjoS4bTJM5gN+4fQjd6z9f8wyjcBDGPW3TcYE7W91ZViCI3GAg34fB/ZxWzEArx8DgTpBs&#10;Cv7GGElJCxD1G6hDy1nOSGy6ruPDcI2UHEuA9iZMbryv4hSGvW5vuD1aOk4WUt0wbiCnT7dSWW5O&#10;UTLMmtY9S3hZykyxH+hrWuSg6x8d0iVLglxEg4Hj9K75z23zOQHmcW/0lvmP0Gu9bnl/DN+pS/bG&#10;iI6J4TvVY9gfqedFaoGVb946Rv+wGNvme7HaTt8p203c9dPXGwyGYRTv567vFEbd0WAY7+fVdhL3&#10;ZsU3b82r+DBebZufePXq4vnz3atIbxCO4u6Ba8mw1+uDi3uT4vOkRQjf/EQr+6Uxe7EB/vLNKYxG&#10;g0GLbPsrz4lWjV8l/i44iutlPYrCj/FbWfc9zCeJzcob5jufPaZls3U0xnjBrOYY/toz7LWM4TuF&#10;G2Y1R9pmVjTqtkHMd9osWM2B/BXILliNgPnmYXcUxnaaNMfwN7Z2ufc9WuR+myp7N/Ntc6zpzd33&#10;SXL8B3VzDJ8krWP4Tkcy611bYfOQfKocuhUew6wWMRpohdPrzJ3Y6Nwd4pJVWZ/iUCI4VupztP4u&#10;qbjUZ2T/SIdztHvEkc0eiOGlrfc4g2C+szm2oj/tnEEC3zk6KDJWDN/ZnWzbRUaCfef+QZGRCt/Z&#10;7AJuzPZeAy9wntciUG5EIBUQiEAiIBCBHu1WUFGl82WygiJZGnHDHKjJHNJAzVJdX/An9sCNpdpI&#10;HC5Zm9q89K3c8Vx32Nk6C3evTHu+pYtrieDs3N3a198MBgq7YNcYOjN3t+ZYt9CFetltYbnb2STn&#10;ktn+aNCMZLNGT4PuCRm5IW7Jr7M8d0OAg1ZTrH5iSuo5ZxrOvPzGUigxmBKRmR9GB2RXuSBPFMmj&#10;ScJKFdqqOZ0y+xqf4VZ2QvC1h+mWaVC3nCL+uu26Aa0xvmzb9rK2167MyIhrZztx12G2O2ad1x4m&#10;Mi/V2rnISi5eG1mOUdWRrb0DyUKjUXrk02foVIJbEVNWyXUmpLqlUt1RARkIeYUSq77ikuYc/AVN&#10;TSkgcy7+fe29toeQhtqALKGCTgL5z4IKFpD8rxIS2yjs99GsMg9G3sPE8Wse/ZpyUVxxpAkLEXpn&#10;inAWKnfFVPDiOwTbSx0VVbRMEBsLnsJUtA9XCs+oguSbsMtLU4ZUCn7dlvdVohvXqFYY+cPqOxUV&#10;0cVJoKC0feFO1qNjp6CBEhtb7Vnyy4XiaablNcNDi2v9AIlR66C/RGsETLtaY3iU2GgmKIj6trLq&#10;lnMn6WpItNZYg6cXRwPrDmpOjpQ8z6Z6CmsApZg9rmfk9bU/93yz08xPTzP//zbzzT8H/Goxm0f9&#10;W0j/y/GfzUqx+Xl18R8AAAD//wMAUEsDBBQABgAIAAAAIQCgiNki3gAAAAsBAAAPAAAAZHJzL2Rv&#10;d25yZXYueG1sTI9NTsMwEIX3SNzBGiR21ElUhZDGqSoEbCqEKBzAjadJRDyObDdJb890Bct58+n9&#10;VNvFDmJCH3pHCtJVAgKpcaanVsH31+tDASJETUYPjlDBBQNs69ubSpfGzfSJ0yG2gk0olFpBF+NY&#10;ShmaDq0OKzci8e/kvNWRT99K4/XM5naQWZLk0uqeOKHTIz532PwczlZBe5H+MTbuY9q/zbnZ7ef3&#10;6aVV6v5u2W1ARFziHwzX+lwdau50dGcyQQwK1uucSQVZmvCEK5A+5SwdWSqyAmRdyf8b6l8AAAD/&#10;/wMAUEsBAi0AFAAGAAgAAAAhALaDOJL+AAAA4QEAABMAAAAAAAAAAAAAAAAAAAAAAFtDb250ZW50&#10;X1R5cGVzXS54bWxQSwECLQAUAAYACAAAACEAOP0h/9YAAACUAQAACwAAAAAAAAAAAAAAAAAvAQAA&#10;X3JlbHMvLnJlbHNQSwECLQAUAAYACAAAACEAs8LXP00FAAAEGwAADgAAAAAAAAAAAAAAAAAuAgAA&#10;ZHJzL2Uyb0RvYy54bWxQSwECLQAUAAYACAAAACEAoIjZIt4AAAALAQAADwAAAAAAAAAAAAAAAACn&#10;BwAAZHJzL2Rvd25yZXYueG1sUEsFBgAAAAAEAAQA8wAAALII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7LNwAAAANwAAAAPAAAAZHJzL2Rvd25yZXYueG1sRI/NasJA&#10;EMfvBd9hGaG3ujGglegqkiDYo2kfYMhOk2B2NmRXXd/eORR6m2H+H7/ZHZIb1J2m0Hs2sFxkoIgb&#10;b3tuDfx8nz42oEJEtjh4JgNPCnDYz952WFj/4Avd69gqCeFQoIEuxrHQOjQdOQwLPxLL7ddPDqOs&#10;U6vthA8Jd4POs2ytHfYsDR2OVHbUXOubk956U634Myf6KjlLy1NetVdnzPs8HbegIqX4L/5zn63g&#10;rwRfnpEJ9P4FAAD//wMAUEsBAi0AFAAGAAgAAAAhANvh9svuAAAAhQEAABMAAAAAAAAAAAAAAAAA&#10;AAAAAFtDb250ZW50X1R5cGVzXS54bWxQSwECLQAUAAYACAAAACEAWvQsW78AAAAVAQAACwAAAAAA&#10;AAAAAAAAAAAfAQAAX3JlbHMvLnJlbHNQSwECLQAUAAYACAAAACEAYWOyzcAAAADcAAAADwAAAAAA&#10;AAAAAAAAAAAHAgAAZHJzL2Rvd25yZXYueG1sUEsFBgAAAAADAAMAtwAAAPQCAAAAAA==&#10;" path="m,l7312660,r,1129665l3619500,733425,,1091565,,xe" fillcolor="#00857e [3204]" stroked="f" strokeweight="2pt">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DqfwAAAANwAAAAPAAAAZHJzL2Rvd25yZXYueG1sRE9NawIx&#10;EL0L/Q9hCt40q7BSVqOUYqF601p6HTfjZu1msiTpuv57Iwje5vE+Z7HqbSM68qF2rGAyzkAQl07X&#10;XCk4fH+O3kCEiKyxcUwKrhRgtXwZLLDQ7sI76vaxEimEQ4EKTIxtIWUoDVkMY9cSJ+7kvMWYoK+k&#10;9nhJ4baR0yybSYs1pwaDLX0YKv/2/1bB7ybisTNuna39T7U95yafWqPU8LV/n4OI1Men+OH+0ml+&#10;PoH7M+kCubwBAAD//wMAUEsBAi0AFAAGAAgAAAAhANvh9svuAAAAhQEAABMAAAAAAAAAAAAAAAAA&#10;AAAAAFtDb250ZW50X1R5cGVzXS54bWxQSwECLQAUAAYACAAAACEAWvQsW78AAAAVAQAACwAAAAAA&#10;AAAAAAAAAAAfAQAAX3JlbHMvLnJlbHNQSwECLQAUAAYACAAAACEAFyA6n8AAAADcAAAADwAAAAAA&#10;AAAAAAAAAAAHAgAAZHJzL2Rvd25yZXYueG1sUEsFBgAAAAADAAMAtwAAAPQCAAAAAA==&#10;" fillcolor="red" stroked="f" strokeweight="2pt"/>
                <w10:wrap anchorx="page" anchory="page"/>
              </v:group>
            </w:pict>
          </mc:Fallback>
        </mc:AlternateContent>
      </w:r>
    </w:p>
    <w:p w14:paraId="189CA326" w14:textId="77777777" w:rsidR="00651710" w:rsidRPr="00651710" w:rsidRDefault="00651710" w:rsidP="00651710">
      <w:pPr>
        <w:spacing w:after="200" w:line="276" w:lineRule="auto"/>
        <w:contextualSpacing/>
        <w:rPr>
          <w:color w:val="009FE3"/>
          <w:szCs w:val="20"/>
          <w:u w:val="single"/>
          <w:lang w:val="en-GB" w:bidi="ar-SA"/>
        </w:rPr>
      </w:pPr>
    </w:p>
    <w:p w14:paraId="4C2B9B3B" w14:textId="77777777" w:rsidR="00651710" w:rsidRPr="00651710" w:rsidRDefault="00651710" w:rsidP="00651710">
      <w:pPr>
        <w:spacing w:after="200" w:line="276" w:lineRule="auto"/>
        <w:contextualSpacing/>
        <w:rPr>
          <w:color w:val="009FE3"/>
          <w:szCs w:val="20"/>
          <w:u w:val="single"/>
          <w:lang w:val="en-GB" w:bidi="ar-SA"/>
        </w:rPr>
      </w:pPr>
    </w:p>
    <w:p w14:paraId="3FEF09A4" w14:textId="77777777" w:rsidR="00651710" w:rsidRPr="00651710" w:rsidRDefault="00651710" w:rsidP="00651710">
      <w:pPr>
        <w:spacing w:after="200" w:line="276" w:lineRule="auto"/>
        <w:contextualSpacing/>
        <w:rPr>
          <w:color w:val="009FE3"/>
          <w:szCs w:val="20"/>
          <w:u w:val="single"/>
          <w:lang w:val="en-GB" w:bidi="ar-SA"/>
        </w:rPr>
      </w:pPr>
    </w:p>
    <w:p w14:paraId="50519EEF" w14:textId="16A32127" w:rsidR="00651710" w:rsidRPr="00651710" w:rsidRDefault="007B1D56" w:rsidP="007B1D56">
      <w:pPr>
        <w:spacing w:after="200" w:line="276" w:lineRule="auto"/>
        <w:ind w:left="720"/>
        <w:contextualSpacing/>
        <w:jc w:val="right"/>
        <w:rPr>
          <w:color w:val="009FE3"/>
          <w:szCs w:val="20"/>
          <w:u w:val="single"/>
          <w:lang w:val="en-GB" w:bidi="ar-SA"/>
        </w:rPr>
      </w:pPr>
      <w:r w:rsidRPr="001507ED">
        <w:rPr>
          <w:noProof/>
          <w:color w:val="F3007E"/>
          <w:spacing w:val="-2"/>
        </w:rPr>
        <w:drawing>
          <wp:inline distT="0" distB="0" distL="0" distR="0" wp14:anchorId="0B3BA3D9" wp14:editId="0A0964AC">
            <wp:extent cx="2622550" cy="1485900"/>
            <wp:effectExtent l="0" t="0" r="6350" b="0"/>
            <wp:docPr id="6" name="Picture 5">
              <a:extLst xmlns:a="http://schemas.openxmlformats.org/drawingml/2006/main">
                <a:ext uri="{FF2B5EF4-FFF2-40B4-BE49-F238E27FC236}">
                  <a16:creationId xmlns:a16="http://schemas.microsoft.com/office/drawing/2014/main" id="{35807CDF-3902-454E-87BE-8056F93521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35807CDF-3902-454E-87BE-8056F93521EA}"/>
                        </a:ext>
                      </a:extLst>
                    </pic:cNvPr>
                    <pic:cNvPicPr>
                      <a:picLocks noChangeAspect="1"/>
                    </pic:cNvPicPr>
                  </pic:nvPicPr>
                  <pic:blipFill>
                    <a:blip r:embed="rId14"/>
                    <a:stretch>
                      <a:fillRect/>
                    </a:stretch>
                  </pic:blipFill>
                  <pic:spPr>
                    <a:xfrm>
                      <a:off x="0" y="0"/>
                      <a:ext cx="2651217" cy="1502142"/>
                    </a:xfrm>
                    <a:prstGeom prst="rect">
                      <a:avLst/>
                    </a:prstGeom>
                  </pic:spPr>
                </pic:pic>
              </a:graphicData>
            </a:graphic>
          </wp:inline>
        </w:drawing>
      </w:r>
    </w:p>
    <w:p w14:paraId="664B262A" w14:textId="77777777" w:rsidR="00651710" w:rsidRPr="00651710" w:rsidRDefault="00651710" w:rsidP="00651710">
      <w:pPr>
        <w:keepNext/>
        <w:spacing w:before="240" w:after="120" w:line="276" w:lineRule="auto"/>
        <w:outlineLvl w:val="1"/>
        <w:rPr>
          <w:rFonts w:eastAsiaTheme="majorEastAsia"/>
          <w:bCs/>
          <w:iCs/>
          <w:color w:val="009FE3"/>
          <w:sz w:val="28"/>
          <w:szCs w:val="28"/>
          <w:lang w:val="en-GB" w:bidi="ar-SA"/>
        </w:rPr>
      </w:pPr>
    </w:p>
    <w:p w14:paraId="6C041650" w14:textId="77777777" w:rsidR="00651710" w:rsidRPr="00651710" w:rsidRDefault="00651710" w:rsidP="00651710">
      <w:pPr>
        <w:spacing w:after="200" w:line="276" w:lineRule="auto"/>
        <w:contextualSpacing/>
        <w:rPr>
          <w:color w:val="009FE3"/>
          <w:szCs w:val="20"/>
          <w:u w:val="single"/>
          <w:lang w:val="en-GB" w:bidi="ar-SA"/>
        </w:rPr>
      </w:pPr>
    </w:p>
    <w:p w14:paraId="73D8DAF8" w14:textId="77777777" w:rsidR="00651710" w:rsidRPr="00651710" w:rsidRDefault="00651710" w:rsidP="00651710">
      <w:pPr>
        <w:spacing w:after="200" w:line="276" w:lineRule="auto"/>
        <w:contextualSpacing/>
        <w:rPr>
          <w:color w:val="009FE3"/>
          <w:szCs w:val="20"/>
          <w:u w:val="single"/>
          <w:lang w:val="en-GB" w:bidi="ar-SA"/>
        </w:rPr>
      </w:pPr>
    </w:p>
    <w:p w14:paraId="1FE2C277" w14:textId="5C64FE5D" w:rsidR="00651710" w:rsidRPr="0096069F" w:rsidRDefault="004927CC" w:rsidP="006C79D8">
      <w:pPr>
        <w:pStyle w:val="BodyText"/>
        <w:ind w:left="720"/>
        <w:jc w:val="left"/>
        <w:rPr>
          <w:rFonts w:ascii="Segoe UI Semibold" w:hAnsi="Segoe UI Semibold" w:cs="Segoe UI Semibold"/>
          <w:sz w:val="56"/>
          <w:szCs w:val="56"/>
        </w:rPr>
      </w:pPr>
      <w:r w:rsidRPr="0096069F">
        <w:rPr>
          <w:rFonts w:ascii="Segoe UI Semibold" w:hAnsi="Segoe UI Semibold" w:cs="Segoe UI Semibold"/>
          <w:sz w:val="56"/>
          <w:szCs w:val="56"/>
        </w:rPr>
        <w:t>London Borough of Barking and Dagenham Pension Fund</w:t>
      </w:r>
    </w:p>
    <w:p w14:paraId="2FCA639D" w14:textId="13BE9628" w:rsidR="00483F3D" w:rsidRPr="0096069F" w:rsidRDefault="00483F3D" w:rsidP="006C79D8">
      <w:pPr>
        <w:pStyle w:val="BodyText"/>
        <w:ind w:left="720"/>
        <w:jc w:val="left"/>
        <w:rPr>
          <w:rFonts w:ascii="Segoe UI Semibold" w:hAnsi="Segoe UI Semibold" w:cs="Segoe UI Semibold"/>
          <w:sz w:val="56"/>
          <w:szCs w:val="56"/>
        </w:rPr>
      </w:pPr>
      <w:r w:rsidRPr="0096069F">
        <w:rPr>
          <w:rFonts w:ascii="Segoe UI Semibold" w:hAnsi="Segoe UI Semibold" w:cs="Segoe UI Semibold"/>
          <w:sz w:val="56"/>
          <w:szCs w:val="56"/>
        </w:rPr>
        <w:t>Funding Strategy Statement</w:t>
      </w:r>
    </w:p>
    <w:p w14:paraId="318D9F11" w14:textId="77777777" w:rsidR="00651710" w:rsidRPr="00651710" w:rsidRDefault="00651710" w:rsidP="00651710">
      <w:pPr>
        <w:spacing w:after="200" w:line="276" w:lineRule="auto"/>
        <w:contextualSpacing/>
        <w:rPr>
          <w:color w:val="009FE3"/>
          <w:szCs w:val="20"/>
          <w:u w:val="single"/>
          <w:lang w:val="en-GB" w:bidi="ar-SA"/>
        </w:rPr>
      </w:pPr>
    </w:p>
    <w:p w14:paraId="211C2E7D" w14:textId="77777777" w:rsidR="00651710" w:rsidRPr="00651710" w:rsidRDefault="00651710" w:rsidP="00651710">
      <w:pPr>
        <w:spacing w:after="200" w:line="276" w:lineRule="auto"/>
        <w:contextualSpacing/>
        <w:rPr>
          <w:color w:val="009FE3"/>
          <w:szCs w:val="20"/>
          <w:u w:val="single"/>
          <w:lang w:val="en-GB" w:bidi="ar-SA"/>
        </w:rPr>
      </w:pPr>
    </w:p>
    <w:p w14:paraId="632FD0E6" w14:textId="77777777" w:rsidR="00651710" w:rsidRPr="00651710" w:rsidRDefault="00651710" w:rsidP="00651710">
      <w:pPr>
        <w:spacing w:after="200" w:line="276" w:lineRule="auto"/>
        <w:contextualSpacing/>
        <w:rPr>
          <w:color w:val="009FE3"/>
          <w:szCs w:val="20"/>
          <w:u w:val="single"/>
          <w:lang w:val="en-GB" w:bidi="ar-SA"/>
        </w:rPr>
      </w:pPr>
    </w:p>
    <w:p w14:paraId="4F60161F" w14:textId="77777777" w:rsidR="00651710" w:rsidRPr="00651710" w:rsidRDefault="00651710" w:rsidP="00651710">
      <w:pPr>
        <w:spacing w:after="200" w:line="276" w:lineRule="auto"/>
        <w:contextualSpacing/>
        <w:rPr>
          <w:color w:val="009FE3"/>
          <w:szCs w:val="20"/>
          <w:u w:val="single"/>
          <w:lang w:val="en-GB" w:bidi="ar-SA"/>
        </w:rPr>
      </w:pPr>
    </w:p>
    <w:p w14:paraId="343D772F" w14:textId="77777777" w:rsidR="00651710" w:rsidRPr="00651710" w:rsidRDefault="00651710" w:rsidP="00651710">
      <w:pPr>
        <w:spacing w:after="200" w:line="276" w:lineRule="auto"/>
        <w:contextualSpacing/>
        <w:rPr>
          <w:color w:val="009FE3"/>
          <w:szCs w:val="20"/>
          <w:u w:val="single"/>
          <w:lang w:val="en-GB" w:bidi="ar-SA"/>
        </w:rPr>
      </w:pPr>
    </w:p>
    <w:p w14:paraId="35120A56" w14:textId="77777777" w:rsidR="00651710" w:rsidRPr="00651710" w:rsidRDefault="00651710" w:rsidP="00651710">
      <w:pPr>
        <w:spacing w:after="200" w:line="276" w:lineRule="auto"/>
        <w:contextualSpacing/>
        <w:rPr>
          <w:color w:val="009FE3"/>
          <w:szCs w:val="20"/>
          <w:u w:val="single"/>
          <w:lang w:val="en-GB" w:bidi="ar-SA"/>
        </w:rPr>
      </w:pPr>
    </w:p>
    <w:p w14:paraId="10234AEE" w14:textId="77777777" w:rsidR="00651710" w:rsidRPr="00651710" w:rsidRDefault="00651710" w:rsidP="00651710">
      <w:pPr>
        <w:spacing w:after="200" w:line="276" w:lineRule="auto"/>
        <w:contextualSpacing/>
        <w:rPr>
          <w:color w:val="009FE3"/>
          <w:szCs w:val="20"/>
          <w:u w:val="single"/>
          <w:lang w:val="en-GB" w:bidi="ar-SA"/>
        </w:rPr>
      </w:pPr>
    </w:p>
    <w:p w14:paraId="34FE3D17" w14:textId="77777777" w:rsidR="00651710" w:rsidRPr="00651710" w:rsidRDefault="00651710" w:rsidP="00651710">
      <w:pPr>
        <w:spacing w:after="200" w:line="276" w:lineRule="auto"/>
        <w:contextualSpacing/>
        <w:rPr>
          <w:color w:val="009FE3"/>
          <w:szCs w:val="20"/>
          <w:u w:val="single"/>
          <w:lang w:val="en-GB" w:bidi="ar-SA"/>
        </w:rPr>
      </w:pPr>
    </w:p>
    <w:p w14:paraId="187A70C7" w14:textId="77777777" w:rsidR="00651710" w:rsidRPr="00651710" w:rsidRDefault="00651710" w:rsidP="00651710">
      <w:pPr>
        <w:spacing w:after="200" w:line="276" w:lineRule="auto"/>
        <w:contextualSpacing/>
        <w:rPr>
          <w:color w:val="009FE3"/>
          <w:szCs w:val="20"/>
          <w:u w:val="single"/>
          <w:lang w:val="en-GB" w:bidi="ar-SA"/>
        </w:rPr>
      </w:pPr>
    </w:p>
    <w:p w14:paraId="2C453878" w14:textId="77777777" w:rsidR="00651710" w:rsidRPr="00651710" w:rsidRDefault="00651710" w:rsidP="00651710">
      <w:pPr>
        <w:spacing w:after="200" w:line="276" w:lineRule="auto"/>
        <w:contextualSpacing/>
        <w:rPr>
          <w:color w:val="009FE3"/>
          <w:szCs w:val="20"/>
          <w:u w:val="single"/>
          <w:lang w:val="en-GB" w:bidi="ar-SA"/>
        </w:rPr>
      </w:pPr>
    </w:p>
    <w:p w14:paraId="76941394" w14:textId="77777777" w:rsidR="00651710" w:rsidRPr="00651710" w:rsidRDefault="00651710" w:rsidP="00651710">
      <w:pPr>
        <w:spacing w:after="200" w:line="276" w:lineRule="auto"/>
        <w:contextualSpacing/>
        <w:rPr>
          <w:color w:val="009FE3"/>
          <w:szCs w:val="20"/>
          <w:u w:val="single"/>
          <w:lang w:val="en-GB" w:bidi="ar-SA"/>
        </w:rPr>
      </w:pPr>
    </w:p>
    <w:p w14:paraId="29C0199D" w14:textId="77777777" w:rsidR="00651710" w:rsidRPr="00651710" w:rsidRDefault="00651710" w:rsidP="00651710">
      <w:pPr>
        <w:spacing w:after="200" w:line="276" w:lineRule="auto"/>
        <w:contextualSpacing/>
        <w:rPr>
          <w:color w:val="009FE3"/>
          <w:szCs w:val="20"/>
          <w:u w:val="single"/>
          <w:lang w:val="en-GB" w:bidi="ar-SA"/>
        </w:rPr>
      </w:pPr>
    </w:p>
    <w:p w14:paraId="49A377D2" w14:textId="77777777" w:rsidR="00651710" w:rsidRPr="00651710" w:rsidRDefault="00651710" w:rsidP="00651710">
      <w:pPr>
        <w:spacing w:after="200" w:line="276" w:lineRule="auto"/>
        <w:contextualSpacing/>
        <w:rPr>
          <w:color w:val="009FE3"/>
          <w:szCs w:val="20"/>
          <w:u w:val="single"/>
          <w:lang w:val="en-GB" w:bidi="ar-SA"/>
        </w:rPr>
      </w:pPr>
    </w:p>
    <w:p w14:paraId="1F38A0B0" w14:textId="77777777" w:rsidR="00651710" w:rsidRPr="00651710" w:rsidRDefault="00651710" w:rsidP="00651710">
      <w:pPr>
        <w:spacing w:after="200" w:line="276" w:lineRule="auto"/>
        <w:contextualSpacing/>
        <w:rPr>
          <w:color w:val="009FE3"/>
          <w:szCs w:val="20"/>
          <w:u w:val="single"/>
          <w:lang w:val="en-GB" w:bidi="ar-SA"/>
        </w:rPr>
      </w:pPr>
    </w:p>
    <w:p w14:paraId="5A793AE8" w14:textId="77777777" w:rsidR="00651710" w:rsidRPr="00651710" w:rsidRDefault="00651710" w:rsidP="00651710">
      <w:pPr>
        <w:spacing w:after="200" w:line="276" w:lineRule="auto"/>
        <w:contextualSpacing/>
        <w:rPr>
          <w:color w:val="009FE3"/>
          <w:szCs w:val="20"/>
          <w:u w:val="single"/>
          <w:lang w:val="en-GB" w:bidi="ar-SA"/>
        </w:rPr>
      </w:pPr>
    </w:p>
    <w:p w14:paraId="77D5AE3E" w14:textId="77777777" w:rsidR="00651710" w:rsidRPr="00651710" w:rsidRDefault="00651710" w:rsidP="00651710">
      <w:pPr>
        <w:spacing w:after="200" w:line="276" w:lineRule="auto"/>
        <w:contextualSpacing/>
        <w:rPr>
          <w:color w:val="009FE3"/>
          <w:szCs w:val="20"/>
          <w:u w:val="single"/>
          <w:lang w:val="en-GB" w:bidi="ar-SA"/>
        </w:rPr>
      </w:pPr>
    </w:p>
    <w:p w14:paraId="40E88D3F" w14:textId="77777777" w:rsidR="00651710" w:rsidRPr="00651710" w:rsidRDefault="00651710" w:rsidP="00651710">
      <w:pPr>
        <w:spacing w:after="200" w:line="276" w:lineRule="auto"/>
        <w:contextualSpacing/>
        <w:rPr>
          <w:color w:val="009FE3"/>
          <w:szCs w:val="20"/>
          <w:u w:val="single"/>
          <w:lang w:val="en-GB" w:bidi="ar-SA"/>
        </w:rPr>
      </w:pPr>
    </w:p>
    <w:sdt>
      <w:sdtPr>
        <w:rPr>
          <w:rFonts w:eastAsiaTheme="minorEastAsia"/>
          <w:b w:val="0"/>
          <w:bCs w:val="0"/>
          <w:color w:val="auto"/>
          <w:kern w:val="0"/>
          <w:sz w:val="20"/>
          <w:szCs w:val="20"/>
          <w:lang w:val="en-US" w:bidi="en-US"/>
        </w:rPr>
        <w:id w:val="1691722639"/>
        <w:docPartObj>
          <w:docPartGallery w:val="Table of Contents"/>
          <w:docPartUnique/>
        </w:docPartObj>
      </w:sdtPr>
      <w:sdtEndPr>
        <w:rPr>
          <w:noProof/>
        </w:rPr>
      </w:sdtEndPr>
      <w:sdtContent>
        <w:p w14:paraId="65D0A3EF" w14:textId="4A6897D0" w:rsidR="00277257" w:rsidRDefault="00277257" w:rsidP="001B41A2">
          <w:pPr>
            <w:pStyle w:val="TOCHeading"/>
          </w:pPr>
          <w:r>
            <w:t>Table of Contents</w:t>
          </w:r>
        </w:p>
        <w:p w14:paraId="16F503DA" w14:textId="388ED264" w:rsidR="00C038F6" w:rsidRDefault="008435C7">
          <w:pPr>
            <w:pStyle w:val="TOC1"/>
            <w:tabs>
              <w:tab w:val="right" w:leader="dot" w:pos="9856"/>
            </w:tabs>
            <w:rPr>
              <w:rFonts w:asciiTheme="minorHAnsi" w:eastAsiaTheme="minorEastAsia" w:hAnsiTheme="minorHAnsi" w:cstheme="minorBidi"/>
              <w:noProof/>
              <w:kern w:val="2"/>
              <w:sz w:val="24"/>
              <w:lang w:val="en-GB" w:eastAsia="en-GB" w:bidi="ar-SA"/>
              <w14:ligatures w14:val="standardContextual"/>
            </w:rPr>
          </w:pPr>
          <w:r>
            <w:fldChar w:fldCharType="begin"/>
          </w:r>
          <w:r>
            <w:instrText xml:space="preserve"> TOC \o "1-2" \h \z \u </w:instrText>
          </w:r>
          <w:r>
            <w:fldChar w:fldCharType="separate"/>
          </w:r>
          <w:hyperlink w:anchor="_Toc222823304" w:history="1">
            <w:r w:rsidR="00C038F6" w:rsidRPr="005840E6">
              <w:rPr>
                <w:rStyle w:val="Hyperlink"/>
                <w:noProof/>
              </w:rPr>
              <w:t>Section A – Purpose of the fund and the FSS</w:t>
            </w:r>
            <w:r w:rsidR="00C038F6">
              <w:rPr>
                <w:noProof/>
                <w:webHidden/>
              </w:rPr>
              <w:tab/>
            </w:r>
            <w:r w:rsidR="00C038F6">
              <w:rPr>
                <w:noProof/>
                <w:webHidden/>
              </w:rPr>
              <w:fldChar w:fldCharType="begin"/>
            </w:r>
            <w:r w:rsidR="00C038F6">
              <w:rPr>
                <w:noProof/>
                <w:webHidden/>
              </w:rPr>
              <w:instrText xml:space="preserve"> PAGEREF _Toc222823304 \h </w:instrText>
            </w:r>
            <w:r w:rsidR="00C038F6">
              <w:rPr>
                <w:noProof/>
                <w:webHidden/>
              </w:rPr>
            </w:r>
            <w:r w:rsidR="00C038F6">
              <w:rPr>
                <w:noProof/>
                <w:webHidden/>
              </w:rPr>
              <w:fldChar w:fldCharType="separate"/>
            </w:r>
            <w:r w:rsidR="00682229">
              <w:rPr>
                <w:noProof/>
                <w:webHidden/>
              </w:rPr>
              <w:t>3</w:t>
            </w:r>
            <w:r w:rsidR="00C038F6">
              <w:rPr>
                <w:noProof/>
                <w:webHidden/>
              </w:rPr>
              <w:fldChar w:fldCharType="end"/>
            </w:r>
          </w:hyperlink>
        </w:p>
        <w:p w14:paraId="50A17213" w14:textId="1A0A66DC" w:rsidR="00C038F6" w:rsidRDefault="00C038F6">
          <w:pPr>
            <w:pStyle w:val="TOC2"/>
            <w:tabs>
              <w:tab w:val="right" w:leader="dot" w:pos="9856"/>
            </w:tabs>
            <w:rPr>
              <w:rFonts w:asciiTheme="minorHAnsi" w:eastAsiaTheme="minorEastAsia" w:hAnsiTheme="minorHAnsi" w:cstheme="minorBidi"/>
              <w:noProof/>
              <w:kern w:val="2"/>
              <w:sz w:val="24"/>
              <w:lang w:val="en-GB" w:eastAsia="en-GB" w:bidi="ar-SA"/>
              <w14:ligatures w14:val="standardContextual"/>
            </w:rPr>
          </w:pPr>
          <w:hyperlink w:anchor="_Toc222823305" w:history="1">
            <w:r w:rsidRPr="005840E6">
              <w:rPr>
                <w:rStyle w:val="Hyperlink"/>
                <w:noProof/>
              </w:rPr>
              <w:t>Aims and objectives of the FSS</w:t>
            </w:r>
            <w:r>
              <w:rPr>
                <w:noProof/>
                <w:webHidden/>
              </w:rPr>
              <w:tab/>
            </w:r>
            <w:r>
              <w:rPr>
                <w:noProof/>
                <w:webHidden/>
              </w:rPr>
              <w:fldChar w:fldCharType="begin"/>
            </w:r>
            <w:r>
              <w:rPr>
                <w:noProof/>
                <w:webHidden/>
              </w:rPr>
              <w:instrText xml:space="preserve"> PAGEREF _Toc222823305 \h </w:instrText>
            </w:r>
            <w:r>
              <w:rPr>
                <w:noProof/>
                <w:webHidden/>
              </w:rPr>
            </w:r>
            <w:r>
              <w:rPr>
                <w:noProof/>
                <w:webHidden/>
              </w:rPr>
              <w:fldChar w:fldCharType="separate"/>
            </w:r>
            <w:r w:rsidR="00682229">
              <w:rPr>
                <w:noProof/>
                <w:webHidden/>
              </w:rPr>
              <w:t>3</w:t>
            </w:r>
            <w:r>
              <w:rPr>
                <w:noProof/>
                <w:webHidden/>
              </w:rPr>
              <w:fldChar w:fldCharType="end"/>
            </w:r>
          </w:hyperlink>
        </w:p>
        <w:p w14:paraId="5CA21F5D" w14:textId="7E984CAD" w:rsidR="00C038F6" w:rsidRDefault="00C038F6">
          <w:pPr>
            <w:pStyle w:val="TOC2"/>
            <w:tabs>
              <w:tab w:val="right" w:leader="dot" w:pos="9856"/>
            </w:tabs>
            <w:rPr>
              <w:rFonts w:asciiTheme="minorHAnsi" w:eastAsiaTheme="minorEastAsia" w:hAnsiTheme="minorHAnsi" w:cstheme="minorBidi"/>
              <w:noProof/>
              <w:kern w:val="2"/>
              <w:sz w:val="24"/>
              <w:lang w:val="en-GB" w:eastAsia="en-GB" w:bidi="ar-SA"/>
              <w14:ligatures w14:val="standardContextual"/>
            </w:rPr>
          </w:pPr>
          <w:hyperlink w:anchor="_Toc222823306" w:history="1">
            <w:r w:rsidRPr="005840E6">
              <w:rPr>
                <w:rStyle w:val="Hyperlink"/>
                <w:noProof/>
              </w:rPr>
              <w:t>Monitoring and review of the FSS</w:t>
            </w:r>
            <w:r>
              <w:rPr>
                <w:noProof/>
                <w:webHidden/>
              </w:rPr>
              <w:tab/>
            </w:r>
            <w:r>
              <w:rPr>
                <w:noProof/>
                <w:webHidden/>
              </w:rPr>
              <w:fldChar w:fldCharType="begin"/>
            </w:r>
            <w:r>
              <w:rPr>
                <w:noProof/>
                <w:webHidden/>
              </w:rPr>
              <w:instrText xml:space="preserve"> PAGEREF _Toc222823306 \h </w:instrText>
            </w:r>
            <w:r>
              <w:rPr>
                <w:noProof/>
                <w:webHidden/>
              </w:rPr>
            </w:r>
            <w:r>
              <w:rPr>
                <w:noProof/>
                <w:webHidden/>
              </w:rPr>
              <w:fldChar w:fldCharType="separate"/>
            </w:r>
            <w:r w:rsidR="00682229">
              <w:rPr>
                <w:noProof/>
                <w:webHidden/>
              </w:rPr>
              <w:t>4</w:t>
            </w:r>
            <w:r>
              <w:rPr>
                <w:noProof/>
                <w:webHidden/>
              </w:rPr>
              <w:fldChar w:fldCharType="end"/>
            </w:r>
          </w:hyperlink>
        </w:p>
        <w:p w14:paraId="529A122B" w14:textId="485B718B" w:rsidR="00C038F6" w:rsidRDefault="00C038F6">
          <w:pPr>
            <w:pStyle w:val="TOC1"/>
            <w:tabs>
              <w:tab w:val="right" w:leader="dot" w:pos="9856"/>
            </w:tabs>
            <w:rPr>
              <w:rFonts w:asciiTheme="minorHAnsi" w:eastAsiaTheme="minorEastAsia" w:hAnsiTheme="minorHAnsi" w:cstheme="minorBidi"/>
              <w:noProof/>
              <w:kern w:val="2"/>
              <w:sz w:val="24"/>
              <w:lang w:val="en-GB" w:eastAsia="en-GB" w:bidi="ar-SA"/>
              <w14:ligatures w14:val="standardContextual"/>
            </w:rPr>
          </w:pPr>
          <w:hyperlink w:anchor="_Toc222823307" w:history="1">
            <w:r w:rsidRPr="005840E6">
              <w:rPr>
                <w:rStyle w:val="Hyperlink"/>
                <w:noProof/>
              </w:rPr>
              <w:t>Section B: Key funding principles</w:t>
            </w:r>
            <w:r>
              <w:rPr>
                <w:noProof/>
                <w:webHidden/>
              </w:rPr>
              <w:tab/>
            </w:r>
            <w:r>
              <w:rPr>
                <w:noProof/>
                <w:webHidden/>
              </w:rPr>
              <w:fldChar w:fldCharType="begin"/>
            </w:r>
            <w:r>
              <w:rPr>
                <w:noProof/>
                <w:webHidden/>
              </w:rPr>
              <w:instrText xml:space="preserve"> PAGEREF _Toc222823307 \h </w:instrText>
            </w:r>
            <w:r>
              <w:rPr>
                <w:noProof/>
                <w:webHidden/>
              </w:rPr>
            </w:r>
            <w:r>
              <w:rPr>
                <w:noProof/>
                <w:webHidden/>
              </w:rPr>
              <w:fldChar w:fldCharType="separate"/>
            </w:r>
            <w:r w:rsidR="00682229">
              <w:rPr>
                <w:noProof/>
                <w:webHidden/>
              </w:rPr>
              <w:t>5</w:t>
            </w:r>
            <w:r>
              <w:rPr>
                <w:noProof/>
                <w:webHidden/>
              </w:rPr>
              <w:fldChar w:fldCharType="end"/>
            </w:r>
          </w:hyperlink>
        </w:p>
        <w:p w14:paraId="7BB7DE39" w14:textId="15FB5415" w:rsidR="00C038F6" w:rsidRDefault="00C038F6">
          <w:pPr>
            <w:pStyle w:val="TOC2"/>
            <w:tabs>
              <w:tab w:val="right" w:leader="dot" w:pos="9856"/>
            </w:tabs>
            <w:rPr>
              <w:rFonts w:asciiTheme="minorHAnsi" w:eastAsiaTheme="minorEastAsia" w:hAnsiTheme="minorHAnsi" w:cstheme="minorBidi"/>
              <w:noProof/>
              <w:kern w:val="2"/>
              <w:sz w:val="24"/>
              <w:lang w:val="en-GB" w:eastAsia="en-GB" w:bidi="ar-SA"/>
              <w14:ligatures w14:val="standardContextual"/>
            </w:rPr>
          </w:pPr>
          <w:hyperlink w:anchor="_Toc222823308" w:history="1">
            <w:r w:rsidRPr="005840E6">
              <w:rPr>
                <w:rStyle w:val="Hyperlink"/>
                <w:noProof/>
              </w:rPr>
              <w:t>Funding target</w:t>
            </w:r>
            <w:r>
              <w:rPr>
                <w:noProof/>
                <w:webHidden/>
              </w:rPr>
              <w:tab/>
            </w:r>
            <w:r>
              <w:rPr>
                <w:noProof/>
                <w:webHidden/>
              </w:rPr>
              <w:fldChar w:fldCharType="begin"/>
            </w:r>
            <w:r>
              <w:rPr>
                <w:noProof/>
                <w:webHidden/>
              </w:rPr>
              <w:instrText xml:space="preserve"> PAGEREF _Toc222823308 \h </w:instrText>
            </w:r>
            <w:r>
              <w:rPr>
                <w:noProof/>
                <w:webHidden/>
              </w:rPr>
            </w:r>
            <w:r>
              <w:rPr>
                <w:noProof/>
                <w:webHidden/>
              </w:rPr>
              <w:fldChar w:fldCharType="separate"/>
            </w:r>
            <w:r w:rsidR="00682229">
              <w:rPr>
                <w:noProof/>
                <w:webHidden/>
              </w:rPr>
              <w:t>5</w:t>
            </w:r>
            <w:r>
              <w:rPr>
                <w:noProof/>
                <w:webHidden/>
              </w:rPr>
              <w:fldChar w:fldCharType="end"/>
            </w:r>
          </w:hyperlink>
        </w:p>
        <w:p w14:paraId="57D53268" w14:textId="47C8CACE" w:rsidR="00C038F6" w:rsidRDefault="00C038F6">
          <w:pPr>
            <w:pStyle w:val="TOC2"/>
            <w:tabs>
              <w:tab w:val="right" w:leader="dot" w:pos="9856"/>
            </w:tabs>
            <w:rPr>
              <w:rFonts w:asciiTheme="minorHAnsi" w:eastAsiaTheme="minorEastAsia" w:hAnsiTheme="minorHAnsi" w:cstheme="minorBidi"/>
              <w:noProof/>
              <w:kern w:val="2"/>
              <w:sz w:val="24"/>
              <w:lang w:val="en-GB" w:eastAsia="en-GB" w:bidi="ar-SA"/>
              <w14:ligatures w14:val="standardContextual"/>
            </w:rPr>
          </w:pPr>
          <w:hyperlink w:anchor="_Toc222823309" w:history="1">
            <w:r w:rsidRPr="005840E6">
              <w:rPr>
                <w:rStyle w:val="Hyperlink"/>
                <w:noProof/>
              </w:rPr>
              <w:t>Managing risk</w:t>
            </w:r>
            <w:r>
              <w:rPr>
                <w:noProof/>
                <w:webHidden/>
              </w:rPr>
              <w:tab/>
            </w:r>
            <w:r>
              <w:rPr>
                <w:noProof/>
                <w:webHidden/>
              </w:rPr>
              <w:fldChar w:fldCharType="begin"/>
            </w:r>
            <w:r>
              <w:rPr>
                <w:noProof/>
                <w:webHidden/>
              </w:rPr>
              <w:instrText xml:space="preserve"> PAGEREF _Toc222823309 \h </w:instrText>
            </w:r>
            <w:r>
              <w:rPr>
                <w:noProof/>
                <w:webHidden/>
              </w:rPr>
            </w:r>
            <w:r>
              <w:rPr>
                <w:noProof/>
                <w:webHidden/>
              </w:rPr>
              <w:fldChar w:fldCharType="separate"/>
            </w:r>
            <w:r w:rsidR="00682229">
              <w:rPr>
                <w:noProof/>
                <w:webHidden/>
              </w:rPr>
              <w:t>9</w:t>
            </w:r>
            <w:r>
              <w:rPr>
                <w:noProof/>
                <w:webHidden/>
              </w:rPr>
              <w:fldChar w:fldCharType="end"/>
            </w:r>
          </w:hyperlink>
        </w:p>
        <w:p w14:paraId="28FBA9CE" w14:textId="47213085" w:rsidR="00C038F6" w:rsidRDefault="00C038F6">
          <w:pPr>
            <w:pStyle w:val="TOC2"/>
            <w:tabs>
              <w:tab w:val="right" w:leader="dot" w:pos="9856"/>
            </w:tabs>
            <w:rPr>
              <w:rFonts w:asciiTheme="minorHAnsi" w:eastAsiaTheme="minorEastAsia" w:hAnsiTheme="minorHAnsi" w:cstheme="minorBidi"/>
              <w:noProof/>
              <w:kern w:val="2"/>
              <w:sz w:val="24"/>
              <w:lang w:val="en-GB" w:eastAsia="en-GB" w:bidi="ar-SA"/>
              <w14:ligatures w14:val="standardContextual"/>
            </w:rPr>
          </w:pPr>
          <w:hyperlink w:anchor="_Toc222823310" w:history="1">
            <w:r w:rsidRPr="005840E6">
              <w:rPr>
                <w:rStyle w:val="Hyperlink"/>
                <w:noProof/>
              </w:rPr>
              <w:t>Main actuarial assumptions</w:t>
            </w:r>
            <w:r>
              <w:rPr>
                <w:noProof/>
                <w:webHidden/>
              </w:rPr>
              <w:tab/>
            </w:r>
            <w:r>
              <w:rPr>
                <w:noProof/>
                <w:webHidden/>
              </w:rPr>
              <w:fldChar w:fldCharType="begin"/>
            </w:r>
            <w:r>
              <w:rPr>
                <w:noProof/>
                <w:webHidden/>
              </w:rPr>
              <w:instrText xml:space="preserve"> PAGEREF _Toc222823310 \h </w:instrText>
            </w:r>
            <w:r>
              <w:rPr>
                <w:noProof/>
                <w:webHidden/>
              </w:rPr>
            </w:r>
            <w:r>
              <w:rPr>
                <w:noProof/>
                <w:webHidden/>
              </w:rPr>
              <w:fldChar w:fldCharType="separate"/>
            </w:r>
            <w:r w:rsidR="00682229">
              <w:rPr>
                <w:noProof/>
                <w:webHidden/>
              </w:rPr>
              <w:t>9</w:t>
            </w:r>
            <w:r>
              <w:rPr>
                <w:noProof/>
                <w:webHidden/>
              </w:rPr>
              <w:fldChar w:fldCharType="end"/>
            </w:r>
          </w:hyperlink>
        </w:p>
        <w:p w14:paraId="59AE1E7F" w14:textId="7D1EA8B8" w:rsidR="00C038F6" w:rsidRDefault="00C038F6">
          <w:pPr>
            <w:pStyle w:val="TOC2"/>
            <w:tabs>
              <w:tab w:val="right" w:leader="dot" w:pos="9856"/>
            </w:tabs>
            <w:rPr>
              <w:rFonts w:asciiTheme="minorHAnsi" w:eastAsiaTheme="minorEastAsia" w:hAnsiTheme="minorHAnsi" w:cstheme="minorBidi"/>
              <w:noProof/>
              <w:kern w:val="2"/>
              <w:sz w:val="24"/>
              <w:lang w:val="en-GB" w:eastAsia="en-GB" w:bidi="ar-SA"/>
              <w14:ligatures w14:val="standardContextual"/>
            </w:rPr>
          </w:pPr>
          <w:hyperlink w:anchor="_Toc222823311" w:history="1">
            <w:r w:rsidRPr="005840E6">
              <w:rPr>
                <w:rStyle w:val="Hyperlink"/>
                <w:noProof/>
              </w:rPr>
              <w:t>Links to the Investment Strategy Statement (ISS)</w:t>
            </w:r>
            <w:r>
              <w:rPr>
                <w:noProof/>
                <w:webHidden/>
              </w:rPr>
              <w:tab/>
            </w:r>
            <w:r>
              <w:rPr>
                <w:noProof/>
                <w:webHidden/>
              </w:rPr>
              <w:fldChar w:fldCharType="begin"/>
            </w:r>
            <w:r>
              <w:rPr>
                <w:noProof/>
                <w:webHidden/>
              </w:rPr>
              <w:instrText xml:space="preserve"> PAGEREF _Toc222823311 \h </w:instrText>
            </w:r>
            <w:r>
              <w:rPr>
                <w:noProof/>
                <w:webHidden/>
              </w:rPr>
            </w:r>
            <w:r>
              <w:rPr>
                <w:noProof/>
                <w:webHidden/>
              </w:rPr>
              <w:fldChar w:fldCharType="separate"/>
            </w:r>
            <w:r w:rsidR="00682229">
              <w:rPr>
                <w:noProof/>
                <w:webHidden/>
              </w:rPr>
              <w:t>12</w:t>
            </w:r>
            <w:r>
              <w:rPr>
                <w:noProof/>
                <w:webHidden/>
              </w:rPr>
              <w:fldChar w:fldCharType="end"/>
            </w:r>
          </w:hyperlink>
        </w:p>
        <w:p w14:paraId="07D4E61A" w14:textId="325F53A5" w:rsidR="00C038F6" w:rsidRDefault="00C038F6">
          <w:pPr>
            <w:pStyle w:val="TOC2"/>
            <w:tabs>
              <w:tab w:val="right" w:leader="dot" w:pos="9856"/>
            </w:tabs>
            <w:rPr>
              <w:rFonts w:asciiTheme="minorHAnsi" w:eastAsiaTheme="minorEastAsia" w:hAnsiTheme="minorHAnsi" w:cstheme="minorBidi"/>
              <w:noProof/>
              <w:kern w:val="2"/>
              <w:sz w:val="24"/>
              <w:lang w:val="en-GB" w:eastAsia="en-GB" w:bidi="ar-SA"/>
              <w14:ligatures w14:val="standardContextual"/>
            </w:rPr>
          </w:pPr>
          <w:hyperlink w:anchor="_Toc222823312" w:history="1">
            <w:r w:rsidRPr="005840E6">
              <w:rPr>
                <w:rStyle w:val="Hyperlink"/>
                <w:noProof/>
              </w:rPr>
              <w:t>How employer contributions are calculated</w:t>
            </w:r>
            <w:r>
              <w:rPr>
                <w:noProof/>
                <w:webHidden/>
              </w:rPr>
              <w:tab/>
            </w:r>
            <w:r>
              <w:rPr>
                <w:noProof/>
                <w:webHidden/>
              </w:rPr>
              <w:fldChar w:fldCharType="begin"/>
            </w:r>
            <w:r>
              <w:rPr>
                <w:noProof/>
                <w:webHidden/>
              </w:rPr>
              <w:instrText xml:space="preserve"> PAGEREF _Toc222823312 \h </w:instrText>
            </w:r>
            <w:r>
              <w:rPr>
                <w:noProof/>
                <w:webHidden/>
              </w:rPr>
            </w:r>
            <w:r>
              <w:rPr>
                <w:noProof/>
                <w:webHidden/>
              </w:rPr>
              <w:fldChar w:fldCharType="separate"/>
            </w:r>
            <w:r w:rsidR="00682229">
              <w:rPr>
                <w:noProof/>
                <w:webHidden/>
              </w:rPr>
              <w:t>12</w:t>
            </w:r>
            <w:r>
              <w:rPr>
                <w:noProof/>
                <w:webHidden/>
              </w:rPr>
              <w:fldChar w:fldCharType="end"/>
            </w:r>
          </w:hyperlink>
        </w:p>
        <w:p w14:paraId="0D8C1F82" w14:textId="66CDB04C" w:rsidR="00C038F6" w:rsidRDefault="00C038F6">
          <w:pPr>
            <w:pStyle w:val="TOC2"/>
            <w:tabs>
              <w:tab w:val="right" w:leader="dot" w:pos="9856"/>
            </w:tabs>
            <w:rPr>
              <w:rFonts w:asciiTheme="minorHAnsi" w:eastAsiaTheme="minorEastAsia" w:hAnsiTheme="minorHAnsi" w:cstheme="minorBidi"/>
              <w:noProof/>
              <w:kern w:val="2"/>
              <w:sz w:val="24"/>
              <w:lang w:val="en-GB" w:eastAsia="en-GB" w:bidi="ar-SA"/>
              <w14:ligatures w14:val="standardContextual"/>
            </w:rPr>
          </w:pPr>
          <w:hyperlink w:anchor="_Toc222823313" w:history="1">
            <w:r w:rsidRPr="005840E6">
              <w:rPr>
                <w:rStyle w:val="Hyperlink"/>
                <w:noProof/>
              </w:rPr>
              <w:t>Primary rate of employers’ contribution</w:t>
            </w:r>
            <w:r>
              <w:rPr>
                <w:noProof/>
                <w:webHidden/>
              </w:rPr>
              <w:tab/>
            </w:r>
            <w:r>
              <w:rPr>
                <w:noProof/>
                <w:webHidden/>
              </w:rPr>
              <w:fldChar w:fldCharType="begin"/>
            </w:r>
            <w:r>
              <w:rPr>
                <w:noProof/>
                <w:webHidden/>
              </w:rPr>
              <w:instrText xml:space="preserve"> PAGEREF _Toc222823313 \h </w:instrText>
            </w:r>
            <w:r>
              <w:rPr>
                <w:noProof/>
                <w:webHidden/>
              </w:rPr>
            </w:r>
            <w:r>
              <w:rPr>
                <w:noProof/>
                <w:webHidden/>
              </w:rPr>
              <w:fldChar w:fldCharType="separate"/>
            </w:r>
            <w:r w:rsidR="00682229">
              <w:rPr>
                <w:noProof/>
                <w:webHidden/>
              </w:rPr>
              <w:t>13</w:t>
            </w:r>
            <w:r>
              <w:rPr>
                <w:noProof/>
                <w:webHidden/>
              </w:rPr>
              <w:fldChar w:fldCharType="end"/>
            </w:r>
          </w:hyperlink>
        </w:p>
        <w:p w14:paraId="53A16A35" w14:textId="7426445C" w:rsidR="00C038F6" w:rsidRDefault="00C038F6">
          <w:pPr>
            <w:pStyle w:val="TOC2"/>
            <w:tabs>
              <w:tab w:val="right" w:leader="dot" w:pos="9856"/>
            </w:tabs>
            <w:rPr>
              <w:rFonts w:asciiTheme="minorHAnsi" w:eastAsiaTheme="minorEastAsia" w:hAnsiTheme="minorHAnsi" w:cstheme="minorBidi"/>
              <w:noProof/>
              <w:kern w:val="2"/>
              <w:sz w:val="24"/>
              <w:lang w:val="en-GB" w:eastAsia="en-GB" w:bidi="ar-SA"/>
              <w14:ligatures w14:val="standardContextual"/>
            </w:rPr>
          </w:pPr>
          <w:hyperlink w:anchor="_Toc222823314" w:history="1">
            <w:r w:rsidRPr="005840E6">
              <w:rPr>
                <w:rStyle w:val="Hyperlink"/>
                <w:noProof/>
              </w:rPr>
              <w:t>Secondary rate of the employers’ contribution</w:t>
            </w:r>
            <w:r>
              <w:rPr>
                <w:noProof/>
                <w:webHidden/>
              </w:rPr>
              <w:tab/>
            </w:r>
            <w:r>
              <w:rPr>
                <w:noProof/>
                <w:webHidden/>
              </w:rPr>
              <w:fldChar w:fldCharType="begin"/>
            </w:r>
            <w:r>
              <w:rPr>
                <w:noProof/>
                <w:webHidden/>
              </w:rPr>
              <w:instrText xml:space="preserve"> PAGEREF _Toc222823314 \h </w:instrText>
            </w:r>
            <w:r>
              <w:rPr>
                <w:noProof/>
                <w:webHidden/>
              </w:rPr>
            </w:r>
            <w:r>
              <w:rPr>
                <w:noProof/>
                <w:webHidden/>
              </w:rPr>
              <w:fldChar w:fldCharType="separate"/>
            </w:r>
            <w:r w:rsidR="00682229">
              <w:rPr>
                <w:noProof/>
                <w:webHidden/>
              </w:rPr>
              <w:t>14</w:t>
            </w:r>
            <w:r>
              <w:rPr>
                <w:noProof/>
                <w:webHidden/>
              </w:rPr>
              <w:fldChar w:fldCharType="end"/>
            </w:r>
          </w:hyperlink>
        </w:p>
        <w:p w14:paraId="727464FE" w14:textId="1C84EE68" w:rsidR="00C038F6" w:rsidRDefault="00C038F6">
          <w:pPr>
            <w:pStyle w:val="TOC2"/>
            <w:tabs>
              <w:tab w:val="right" w:leader="dot" w:pos="9856"/>
            </w:tabs>
            <w:rPr>
              <w:rFonts w:asciiTheme="minorHAnsi" w:eastAsiaTheme="minorEastAsia" w:hAnsiTheme="minorHAnsi" w:cstheme="minorBidi"/>
              <w:noProof/>
              <w:kern w:val="2"/>
              <w:sz w:val="24"/>
              <w:lang w:val="en-GB" w:eastAsia="en-GB" w:bidi="ar-SA"/>
              <w14:ligatures w14:val="standardContextual"/>
            </w:rPr>
          </w:pPr>
          <w:hyperlink w:anchor="_Toc222823315" w:history="1">
            <w:r w:rsidRPr="005840E6">
              <w:rPr>
                <w:rStyle w:val="Hyperlink"/>
                <w:noProof/>
              </w:rPr>
              <w:t>Payment of additional contributions</w:t>
            </w:r>
            <w:r>
              <w:rPr>
                <w:noProof/>
                <w:webHidden/>
              </w:rPr>
              <w:tab/>
            </w:r>
            <w:r>
              <w:rPr>
                <w:noProof/>
                <w:webHidden/>
              </w:rPr>
              <w:fldChar w:fldCharType="begin"/>
            </w:r>
            <w:r>
              <w:rPr>
                <w:noProof/>
                <w:webHidden/>
              </w:rPr>
              <w:instrText xml:space="preserve"> PAGEREF _Toc222823315 \h </w:instrText>
            </w:r>
            <w:r>
              <w:rPr>
                <w:noProof/>
                <w:webHidden/>
              </w:rPr>
            </w:r>
            <w:r>
              <w:rPr>
                <w:noProof/>
                <w:webHidden/>
              </w:rPr>
              <w:fldChar w:fldCharType="separate"/>
            </w:r>
            <w:r w:rsidR="00682229">
              <w:rPr>
                <w:noProof/>
                <w:webHidden/>
              </w:rPr>
              <w:t>14</w:t>
            </w:r>
            <w:r>
              <w:rPr>
                <w:noProof/>
                <w:webHidden/>
              </w:rPr>
              <w:fldChar w:fldCharType="end"/>
            </w:r>
          </w:hyperlink>
        </w:p>
        <w:p w14:paraId="76535A22" w14:textId="45E2A3A0" w:rsidR="00C038F6" w:rsidRDefault="00C038F6">
          <w:pPr>
            <w:pStyle w:val="TOC2"/>
            <w:tabs>
              <w:tab w:val="right" w:leader="dot" w:pos="9856"/>
            </w:tabs>
            <w:rPr>
              <w:rFonts w:asciiTheme="minorHAnsi" w:eastAsiaTheme="minorEastAsia" w:hAnsiTheme="minorHAnsi" w:cstheme="minorBidi"/>
              <w:noProof/>
              <w:kern w:val="2"/>
              <w:sz w:val="24"/>
              <w:lang w:val="en-GB" w:eastAsia="en-GB" w:bidi="ar-SA"/>
              <w14:ligatures w14:val="standardContextual"/>
            </w:rPr>
          </w:pPr>
          <w:hyperlink w:anchor="_Toc222823316" w:history="1">
            <w:r w:rsidRPr="005840E6">
              <w:rPr>
                <w:rStyle w:val="Hyperlink"/>
                <w:noProof/>
              </w:rPr>
              <w:t>Actuarial valuation</w:t>
            </w:r>
            <w:r>
              <w:rPr>
                <w:noProof/>
                <w:webHidden/>
              </w:rPr>
              <w:tab/>
            </w:r>
            <w:r>
              <w:rPr>
                <w:noProof/>
                <w:webHidden/>
              </w:rPr>
              <w:fldChar w:fldCharType="begin"/>
            </w:r>
            <w:r>
              <w:rPr>
                <w:noProof/>
                <w:webHidden/>
              </w:rPr>
              <w:instrText xml:space="preserve"> PAGEREF _Toc222823316 \h </w:instrText>
            </w:r>
            <w:r>
              <w:rPr>
                <w:noProof/>
                <w:webHidden/>
              </w:rPr>
            </w:r>
            <w:r>
              <w:rPr>
                <w:noProof/>
                <w:webHidden/>
              </w:rPr>
              <w:fldChar w:fldCharType="separate"/>
            </w:r>
            <w:r w:rsidR="00682229">
              <w:rPr>
                <w:noProof/>
                <w:webHidden/>
              </w:rPr>
              <w:t>14</w:t>
            </w:r>
            <w:r>
              <w:rPr>
                <w:noProof/>
                <w:webHidden/>
              </w:rPr>
              <w:fldChar w:fldCharType="end"/>
            </w:r>
          </w:hyperlink>
        </w:p>
        <w:p w14:paraId="76B5BFE9" w14:textId="3CDCFB06" w:rsidR="00C038F6" w:rsidRDefault="00C038F6">
          <w:pPr>
            <w:pStyle w:val="TOC2"/>
            <w:tabs>
              <w:tab w:val="right" w:leader="dot" w:pos="9856"/>
            </w:tabs>
            <w:rPr>
              <w:rFonts w:asciiTheme="minorHAnsi" w:eastAsiaTheme="minorEastAsia" w:hAnsiTheme="minorHAnsi" w:cstheme="minorBidi"/>
              <w:noProof/>
              <w:kern w:val="2"/>
              <w:sz w:val="24"/>
              <w:lang w:val="en-GB" w:eastAsia="en-GB" w:bidi="ar-SA"/>
              <w14:ligatures w14:val="standardContextual"/>
            </w:rPr>
          </w:pPr>
          <w:hyperlink w:anchor="_Toc222823317" w:history="1">
            <w:r w:rsidRPr="005840E6">
              <w:rPr>
                <w:rStyle w:val="Hyperlink"/>
                <w:noProof/>
              </w:rPr>
              <w:t>Review of employer contributions between valuations</w:t>
            </w:r>
            <w:r>
              <w:rPr>
                <w:noProof/>
                <w:webHidden/>
              </w:rPr>
              <w:tab/>
            </w:r>
            <w:r>
              <w:rPr>
                <w:noProof/>
                <w:webHidden/>
              </w:rPr>
              <w:fldChar w:fldCharType="begin"/>
            </w:r>
            <w:r>
              <w:rPr>
                <w:noProof/>
                <w:webHidden/>
              </w:rPr>
              <w:instrText xml:space="preserve"> PAGEREF _Toc222823317 \h </w:instrText>
            </w:r>
            <w:r>
              <w:rPr>
                <w:noProof/>
                <w:webHidden/>
              </w:rPr>
            </w:r>
            <w:r>
              <w:rPr>
                <w:noProof/>
                <w:webHidden/>
              </w:rPr>
              <w:fldChar w:fldCharType="separate"/>
            </w:r>
            <w:r w:rsidR="00682229">
              <w:rPr>
                <w:noProof/>
                <w:webHidden/>
              </w:rPr>
              <w:t>15</w:t>
            </w:r>
            <w:r>
              <w:rPr>
                <w:noProof/>
                <w:webHidden/>
              </w:rPr>
              <w:fldChar w:fldCharType="end"/>
            </w:r>
          </w:hyperlink>
        </w:p>
        <w:p w14:paraId="35904DB3" w14:textId="2D56A4C0" w:rsidR="00C038F6" w:rsidRDefault="00C038F6">
          <w:pPr>
            <w:pStyle w:val="TOC2"/>
            <w:tabs>
              <w:tab w:val="right" w:leader="dot" w:pos="9856"/>
            </w:tabs>
            <w:rPr>
              <w:rFonts w:asciiTheme="minorHAnsi" w:eastAsiaTheme="minorEastAsia" w:hAnsiTheme="minorHAnsi" w:cstheme="minorBidi"/>
              <w:noProof/>
              <w:kern w:val="2"/>
              <w:sz w:val="24"/>
              <w:lang w:val="en-GB" w:eastAsia="en-GB" w:bidi="ar-SA"/>
              <w14:ligatures w14:val="standardContextual"/>
            </w:rPr>
          </w:pPr>
          <w:hyperlink w:anchor="_Toc222823318" w:history="1">
            <w:r w:rsidRPr="005840E6">
              <w:rPr>
                <w:rStyle w:val="Hyperlink"/>
                <w:noProof/>
              </w:rPr>
              <w:t>Fund approach to managing surpluses and deficits</w:t>
            </w:r>
            <w:r>
              <w:rPr>
                <w:noProof/>
                <w:webHidden/>
              </w:rPr>
              <w:tab/>
            </w:r>
            <w:r>
              <w:rPr>
                <w:noProof/>
                <w:webHidden/>
              </w:rPr>
              <w:fldChar w:fldCharType="begin"/>
            </w:r>
            <w:r>
              <w:rPr>
                <w:noProof/>
                <w:webHidden/>
              </w:rPr>
              <w:instrText xml:space="preserve"> PAGEREF _Toc222823318 \h </w:instrText>
            </w:r>
            <w:r>
              <w:rPr>
                <w:noProof/>
                <w:webHidden/>
              </w:rPr>
            </w:r>
            <w:r>
              <w:rPr>
                <w:noProof/>
                <w:webHidden/>
              </w:rPr>
              <w:fldChar w:fldCharType="separate"/>
            </w:r>
            <w:r w:rsidR="00682229">
              <w:rPr>
                <w:noProof/>
                <w:webHidden/>
              </w:rPr>
              <w:t>15</w:t>
            </w:r>
            <w:r>
              <w:rPr>
                <w:noProof/>
                <w:webHidden/>
              </w:rPr>
              <w:fldChar w:fldCharType="end"/>
            </w:r>
          </w:hyperlink>
        </w:p>
        <w:p w14:paraId="7C018FD6" w14:textId="0E622E4C" w:rsidR="00C038F6" w:rsidRDefault="00C038F6">
          <w:pPr>
            <w:pStyle w:val="TOC2"/>
            <w:tabs>
              <w:tab w:val="right" w:leader="dot" w:pos="9856"/>
            </w:tabs>
            <w:rPr>
              <w:rFonts w:asciiTheme="minorHAnsi" w:eastAsiaTheme="minorEastAsia" w:hAnsiTheme="minorHAnsi" w:cstheme="minorBidi"/>
              <w:noProof/>
              <w:kern w:val="2"/>
              <w:sz w:val="24"/>
              <w:lang w:val="en-GB" w:eastAsia="en-GB" w:bidi="ar-SA"/>
              <w14:ligatures w14:val="standardContextual"/>
            </w:rPr>
          </w:pPr>
          <w:hyperlink w:anchor="_Toc222823319" w:history="1">
            <w:r w:rsidRPr="005840E6">
              <w:rPr>
                <w:rStyle w:val="Hyperlink"/>
                <w:noProof/>
              </w:rPr>
              <w:t>Employer covenant</w:t>
            </w:r>
            <w:r>
              <w:rPr>
                <w:noProof/>
                <w:webHidden/>
              </w:rPr>
              <w:tab/>
            </w:r>
            <w:r>
              <w:rPr>
                <w:noProof/>
                <w:webHidden/>
              </w:rPr>
              <w:fldChar w:fldCharType="begin"/>
            </w:r>
            <w:r>
              <w:rPr>
                <w:noProof/>
                <w:webHidden/>
              </w:rPr>
              <w:instrText xml:space="preserve"> PAGEREF _Toc222823319 \h </w:instrText>
            </w:r>
            <w:r>
              <w:rPr>
                <w:noProof/>
                <w:webHidden/>
              </w:rPr>
            </w:r>
            <w:r>
              <w:rPr>
                <w:noProof/>
                <w:webHidden/>
              </w:rPr>
              <w:fldChar w:fldCharType="separate"/>
            </w:r>
            <w:r w:rsidR="00682229">
              <w:rPr>
                <w:noProof/>
                <w:webHidden/>
              </w:rPr>
              <w:t>16</w:t>
            </w:r>
            <w:r>
              <w:rPr>
                <w:noProof/>
                <w:webHidden/>
              </w:rPr>
              <w:fldChar w:fldCharType="end"/>
            </w:r>
          </w:hyperlink>
        </w:p>
        <w:p w14:paraId="62F7ED57" w14:textId="1E3E2290" w:rsidR="00C038F6" w:rsidRDefault="00C038F6">
          <w:pPr>
            <w:pStyle w:val="TOC2"/>
            <w:tabs>
              <w:tab w:val="right" w:leader="dot" w:pos="9856"/>
            </w:tabs>
            <w:rPr>
              <w:rFonts w:asciiTheme="minorHAnsi" w:eastAsiaTheme="minorEastAsia" w:hAnsiTheme="minorHAnsi" w:cstheme="minorBidi"/>
              <w:noProof/>
              <w:kern w:val="2"/>
              <w:sz w:val="24"/>
              <w:lang w:val="en-GB" w:eastAsia="en-GB" w:bidi="ar-SA"/>
              <w14:ligatures w14:val="standardContextual"/>
            </w:rPr>
          </w:pPr>
          <w:hyperlink w:anchor="_Toc222823320" w:history="1">
            <w:r w:rsidRPr="005840E6">
              <w:rPr>
                <w:rStyle w:val="Hyperlink"/>
                <w:noProof/>
              </w:rPr>
              <w:t>Guarantors</w:t>
            </w:r>
            <w:r>
              <w:rPr>
                <w:noProof/>
                <w:webHidden/>
              </w:rPr>
              <w:tab/>
            </w:r>
            <w:r>
              <w:rPr>
                <w:noProof/>
                <w:webHidden/>
              </w:rPr>
              <w:fldChar w:fldCharType="begin"/>
            </w:r>
            <w:r>
              <w:rPr>
                <w:noProof/>
                <w:webHidden/>
              </w:rPr>
              <w:instrText xml:space="preserve"> PAGEREF _Toc222823320 \h </w:instrText>
            </w:r>
            <w:r>
              <w:rPr>
                <w:noProof/>
                <w:webHidden/>
              </w:rPr>
            </w:r>
            <w:r>
              <w:rPr>
                <w:noProof/>
                <w:webHidden/>
              </w:rPr>
              <w:fldChar w:fldCharType="separate"/>
            </w:r>
            <w:r w:rsidR="00682229">
              <w:rPr>
                <w:noProof/>
                <w:webHidden/>
              </w:rPr>
              <w:t>17</w:t>
            </w:r>
            <w:r>
              <w:rPr>
                <w:noProof/>
                <w:webHidden/>
              </w:rPr>
              <w:fldChar w:fldCharType="end"/>
            </w:r>
          </w:hyperlink>
        </w:p>
        <w:p w14:paraId="5C591252" w14:textId="0E0D9A61" w:rsidR="00C038F6" w:rsidRDefault="00C038F6">
          <w:pPr>
            <w:pStyle w:val="TOC2"/>
            <w:tabs>
              <w:tab w:val="right" w:leader="dot" w:pos="9856"/>
            </w:tabs>
            <w:rPr>
              <w:rFonts w:asciiTheme="minorHAnsi" w:eastAsiaTheme="minorEastAsia" w:hAnsiTheme="minorHAnsi" w:cstheme="minorBidi"/>
              <w:noProof/>
              <w:kern w:val="2"/>
              <w:sz w:val="24"/>
              <w:lang w:val="en-GB" w:eastAsia="en-GB" w:bidi="ar-SA"/>
              <w14:ligatures w14:val="standardContextual"/>
            </w:rPr>
          </w:pPr>
          <w:hyperlink w:anchor="_Toc222823321" w:history="1">
            <w:r w:rsidRPr="005840E6">
              <w:rPr>
                <w:rStyle w:val="Hyperlink"/>
                <w:noProof/>
              </w:rPr>
              <w:t>Admission bodies</w:t>
            </w:r>
            <w:r>
              <w:rPr>
                <w:noProof/>
                <w:webHidden/>
              </w:rPr>
              <w:tab/>
            </w:r>
            <w:r>
              <w:rPr>
                <w:noProof/>
                <w:webHidden/>
              </w:rPr>
              <w:fldChar w:fldCharType="begin"/>
            </w:r>
            <w:r>
              <w:rPr>
                <w:noProof/>
                <w:webHidden/>
              </w:rPr>
              <w:instrText xml:space="preserve"> PAGEREF _Toc222823321 \h </w:instrText>
            </w:r>
            <w:r>
              <w:rPr>
                <w:noProof/>
                <w:webHidden/>
              </w:rPr>
            </w:r>
            <w:r>
              <w:rPr>
                <w:noProof/>
                <w:webHidden/>
              </w:rPr>
              <w:fldChar w:fldCharType="separate"/>
            </w:r>
            <w:r w:rsidR="00682229">
              <w:rPr>
                <w:noProof/>
                <w:webHidden/>
              </w:rPr>
              <w:t>17</w:t>
            </w:r>
            <w:r>
              <w:rPr>
                <w:noProof/>
                <w:webHidden/>
              </w:rPr>
              <w:fldChar w:fldCharType="end"/>
            </w:r>
          </w:hyperlink>
        </w:p>
        <w:p w14:paraId="6020CD52" w14:textId="78C7EEFA" w:rsidR="00C038F6" w:rsidRDefault="00C038F6">
          <w:pPr>
            <w:pStyle w:val="TOC2"/>
            <w:tabs>
              <w:tab w:val="right" w:leader="dot" w:pos="9856"/>
            </w:tabs>
            <w:rPr>
              <w:rFonts w:asciiTheme="minorHAnsi" w:eastAsiaTheme="minorEastAsia" w:hAnsiTheme="minorHAnsi" w:cstheme="minorBidi"/>
              <w:noProof/>
              <w:kern w:val="2"/>
              <w:sz w:val="24"/>
              <w:lang w:val="en-GB" w:eastAsia="en-GB" w:bidi="ar-SA"/>
              <w14:ligatures w14:val="standardContextual"/>
            </w:rPr>
          </w:pPr>
          <w:hyperlink w:anchor="_Toc222823322" w:history="1">
            <w:r w:rsidRPr="005840E6">
              <w:rPr>
                <w:rStyle w:val="Hyperlink"/>
                <w:noProof/>
              </w:rPr>
              <w:t>Links to administration strategy</w:t>
            </w:r>
            <w:r>
              <w:rPr>
                <w:noProof/>
                <w:webHidden/>
              </w:rPr>
              <w:tab/>
            </w:r>
            <w:r>
              <w:rPr>
                <w:noProof/>
                <w:webHidden/>
              </w:rPr>
              <w:fldChar w:fldCharType="begin"/>
            </w:r>
            <w:r>
              <w:rPr>
                <w:noProof/>
                <w:webHidden/>
              </w:rPr>
              <w:instrText xml:space="preserve"> PAGEREF _Toc222823322 \h </w:instrText>
            </w:r>
            <w:r>
              <w:rPr>
                <w:noProof/>
                <w:webHidden/>
              </w:rPr>
            </w:r>
            <w:r>
              <w:rPr>
                <w:noProof/>
                <w:webHidden/>
              </w:rPr>
              <w:fldChar w:fldCharType="separate"/>
            </w:r>
            <w:r w:rsidR="00682229">
              <w:rPr>
                <w:noProof/>
                <w:webHidden/>
              </w:rPr>
              <w:t>19</w:t>
            </w:r>
            <w:r>
              <w:rPr>
                <w:noProof/>
                <w:webHidden/>
              </w:rPr>
              <w:fldChar w:fldCharType="end"/>
            </w:r>
          </w:hyperlink>
        </w:p>
        <w:p w14:paraId="6571B474" w14:textId="79F6A55B" w:rsidR="00C038F6" w:rsidRDefault="00C038F6">
          <w:pPr>
            <w:pStyle w:val="TOC1"/>
            <w:tabs>
              <w:tab w:val="right" w:leader="dot" w:pos="9856"/>
            </w:tabs>
            <w:rPr>
              <w:rFonts w:asciiTheme="minorHAnsi" w:eastAsiaTheme="minorEastAsia" w:hAnsiTheme="minorHAnsi" w:cstheme="minorBidi"/>
              <w:noProof/>
              <w:kern w:val="2"/>
              <w:sz w:val="24"/>
              <w:lang w:val="en-GB" w:eastAsia="en-GB" w:bidi="ar-SA"/>
              <w14:ligatures w14:val="standardContextual"/>
            </w:rPr>
          </w:pPr>
          <w:hyperlink w:anchor="_Toc222823323" w:history="1">
            <w:r w:rsidRPr="005840E6">
              <w:rPr>
                <w:rStyle w:val="Hyperlink"/>
                <w:noProof/>
              </w:rPr>
              <w:t>Section C: Employer events</w:t>
            </w:r>
            <w:r>
              <w:rPr>
                <w:noProof/>
                <w:webHidden/>
              </w:rPr>
              <w:tab/>
            </w:r>
            <w:r>
              <w:rPr>
                <w:noProof/>
                <w:webHidden/>
              </w:rPr>
              <w:fldChar w:fldCharType="begin"/>
            </w:r>
            <w:r>
              <w:rPr>
                <w:noProof/>
                <w:webHidden/>
              </w:rPr>
              <w:instrText xml:space="preserve"> PAGEREF _Toc222823323 \h </w:instrText>
            </w:r>
            <w:r>
              <w:rPr>
                <w:noProof/>
                <w:webHidden/>
              </w:rPr>
            </w:r>
            <w:r>
              <w:rPr>
                <w:noProof/>
                <w:webHidden/>
              </w:rPr>
              <w:fldChar w:fldCharType="separate"/>
            </w:r>
            <w:r w:rsidR="00682229">
              <w:rPr>
                <w:noProof/>
                <w:webHidden/>
              </w:rPr>
              <w:t>20</w:t>
            </w:r>
            <w:r>
              <w:rPr>
                <w:noProof/>
                <w:webHidden/>
              </w:rPr>
              <w:fldChar w:fldCharType="end"/>
            </w:r>
          </w:hyperlink>
        </w:p>
        <w:p w14:paraId="5624B509" w14:textId="5E407692" w:rsidR="00C038F6" w:rsidRDefault="00C038F6">
          <w:pPr>
            <w:pStyle w:val="TOC2"/>
            <w:tabs>
              <w:tab w:val="right" w:leader="dot" w:pos="9856"/>
            </w:tabs>
            <w:rPr>
              <w:rFonts w:asciiTheme="minorHAnsi" w:eastAsiaTheme="minorEastAsia" w:hAnsiTheme="minorHAnsi" w:cstheme="minorBidi"/>
              <w:noProof/>
              <w:kern w:val="2"/>
              <w:sz w:val="24"/>
              <w:lang w:val="en-GB" w:eastAsia="en-GB" w:bidi="ar-SA"/>
              <w14:ligatures w14:val="standardContextual"/>
            </w:rPr>
          </w:pPr>
          <w:hyperlink w:anchor="_Toc222823324" w:history="1">
            <w:r w:rsidRPr="005840E6">
              <w:rPr>
                <w:rStyle w:val="Hyperlink"/>
                <w:noProof/>
              </w:rPr>
              <w:t>Joining the fund and employer contribution rate setting and monitoring</w:t>
            </w:r>
            <w:r>
              <w:rPr>
                <w:noProof/>
                <w:webHidden/>
              </w:rPr>
              <w:tab/>
            </w:r>
            <w:r>
              <w:rPr>
                <w:noProof/>
                <w:webHidden/>
              </w:rPr>
              <w:fldChar w:fldCharType="begin"/>
            </w:r>
            <w:r>
              <w:rPr>
                <w:noProof/>
                <w:webHidden/>
              </w:rPr>
              <w:instrText xml:space="preserve"> PAGEREF _Toc222823324 \h </w:instrText>
            </w:r>
            <w:r>
              <w:rPr>
                <w:noProof/>
                <w:webHidden/>
              </w:rPr>
            </w:r>
            <w:r>
              <w:rPr>
                <w:noProof/>
                <w:webHidden/>
              </w:rPr>
              <w:fldChar w:fldCharType="separate"/>
            </w:r>
            <w:r w:rsidR="00682229">
              <w:rPr>
                <w:noProof/>
                <w:webHidden/>
              </w:rPr>
              <w:t>20</w:t>
            </w:r>
            <w:r>
              <w:rPr>
                <w:noProof/>
                <w:webHidden/>
              </w:rPr>
              <w:fldChar w:fldCharType="end"/>
            </w:r>
          </w:hyperlink>
        </w:p>
        <w:p w14:paraId="5941ED83" w14:textId="40FA57B6" w:rsidR="00C038F6" w:rsidRDefault="00C038F6">
          <w:pPr>
            <w:pStyle w:val="TOC2"/>
            <w:tabs>
              <w:tab w:val="right" w:leader="dot" w:pos="9856"/>
            </w:tabs>
            <w:rPr>
              <w:rFonts w:asciiTheme="minorHAnsi" w:eastAsiaTheme="minorEastAsia" w:hAnsiTheme="minorHAnsi" w:cstheme="minorBidi"/>
              <w:noProof/>
              <w:kern w:val="2"/>
              <w:sz w:val="24"/>
              <w:lang w:val="en-GB" w:eastAsia="en-GB" w:bidi="ar-SA"/>
              <w14:ligatures w14:val="standardContextual"/>
            </w:rPr>
          </w:pPr>
          <w:hyperlink w:anchor="_Toc222823325" w:history="1">
            <w:r w:rsidRPr="005840E6">
              <w:rPr>
                <w:rStyle w:val="Hyperlink"/>
                <w:noProof/>
              </w:rPr>
              <w:t>Preparing for exit and events which may trigger termination</w:t>
            </w:r>
            <w:r>
              <w:rPr>
                <w:noProof/>
                <w:webHidden/>
              </w:rPr>
              <w:tab/>
            </w:r>
            <w:r>
              <w:rPr>
                <w:noProof/>
                <w:webHidden/>
              </w:rPr>
              <w:fldChar w:fldCharType="begin"/>
            </w:r>
            <w:r>
              <w:rPr>
                <w:noProof/>
                <w:webHidden/>
              </w:rPr>
              <w:instrText xml:space="preserve"> PAGEREF _Toc222823325 \h </w:instrText>
            </w:r>
            <w:r>
              <w:rPr>
                <w:noProof/>
                <w:webHidden/>
              </w:rPr>
            </w:r>
            <w:r>
              <w:rPr>
                <w:noProof/>
                <w:webHidden/>
              </w:rPr>
              <w:fldChar w:fldCharType="separate"/>
            </w:r>
            <w:r w:rsidR="00682229">
              <w:rPr>
                <w:noProof/>
                <w:webHidden/>
              </w:rPr>
              <w:t>21</w:t>
            </w:r>
            <w:r>
              <w:rPr>
                <w:noProof/>
                <w:webHidden/>
              </w:rPr>
              <w:fldChar w:fldCharType="end"/>
            </w:r>
          </w:hyperlink>
        </w:p>
        <w:p w14:paraId="5141B339" w14:textId="2CC37F34" w:rsidR="00C038F6" w:rsidRDefault="00C038F6">
          <w:pPr>
            <w:pStyle w:val="TOC2"/>
            <w:tabs>
              <w:tab w:val="right" w:leader="dot" w:pos="9856"/>
            </w:tabs>
            <w:rPr>
              <w:rFonts w:asciiTheme="minorHAnsi" w:eastAsiaTheme="minorEastAsia" w:hAnsiTheme="minorHAnsi" w:cstheme="minorBidi"/>
              <w:noProof/>
              <w:kern w:val="2"/>
              <w:sz w:val="24"/>
              <w:lang w:val="en-GB" w:eastAsia="en-GB" w:bidi="ar-SA"/>
              <w14:ligatures w14:val="standardContextual"/>
            </w:rPr>
          </w:pPr>
          <w:hyperlink w:anchor="_Toc222823326" w:history="1">
            <w:r w:rsidRPr="005840E6">
              <w:rPr>
                <w:rStyle w:val="Hyperlink"/>
                <w:noProof/>
              </w:rPr>
              <w:t>Deferred debt agreements or debt spreading arrangements</w:t>
            </w:r>
            <w:r>
              <w:rPr>
                <w:noProof/>
                <w:webHidden/>
              </w:rPr>
              <w:tab/>
            </w:r>
            <w:r>
              <w:rPr>
                <w:noProof/>
                <w:webHidden/>
              </w:rPr>
              <w:fldChar w:fldCharType="begin"/>
            </w:r>
            <w:r>
              <w:rPr>
                <w:noProof/>
                <w:webHidden/>
              </w:rPr>
              <w:instrText xml:space="preserve"> PAGEREF _Toc222823326 \h </w:instrText>
            </w:r>
            <w:r>
              <w:rPr>
                <w:noProof/>
                <w:webHidden/>
              </w:rPr>
            </w:r>
            <w:r>
              <w:rPr>
                <w:noProof/>
                <w:webHidden/>
              </w:rPr>
              <w:fldChar w:fldCharType="separate"/>
            </w:r>
            <w:r w:rsidR="00682229">
              <w:rPr>
                <w:noProof/>
                <w:webHidden/>
              </w:rPr>
              <w:t>23</w:t>
            </w:r>
            <w:r>
              <w:rPr>
                <w:noProof/>
                <w:webHidden/>
              </w:rPr>
              <w:fldChar w:fldCharType="end"/>
            </w:r>
          </w:hyperlink>
        </w:p>
        <w:p w14:paraId="60857C7A" w14:textId="3BCF534A" w:rsidR="00C038F6" w:rsidRDefault="00C038F6">
          <w:pPr>
            <w:pStyle w:val="TOC2"/>
            <w:tabs>
              <w:tab w:val="right" w:leader="dot" w:pos="9856"/>
            </w:tabs>
            <w:rPr>
              <w:rFonts w:asciiTheme="minorHAnsi" w:eastAsiaTheme="minorEastAsia" w:hAnsiTheme="minorHAnsi" w:cstheme="minorBidi"/>
              <w:noProof/>
              <w:kern w:val="2"/>
              <w:sz w:val="24"/>
              <w:lang w:val="en-GB" w:eastAsia="en-GB" w:bidi="ar-SA"/>
              <w14:ligatures w14:val="standardContextual"/>
            </w:rPr>
          </w:pPr>
          <w:hyperlink w:anchor="_Toc222823327" w:history="1">
            <w:r w:rsidRPr="005840E6">
              <w:rPr>
                <w:rStyle w:val="Hyperlink"/>
                <w:noProof/>
              </w:rPr>
              <w:t>Partial terminations</w:t>
            </w:r>
            <w:r>
              <w:rPr>
                <w:noProof/>
                <w:webHidden/>
              </w:rPr>
              <w:tab/>
            </w:r>
            <w:r>
              <w:rPr>
                <w:noProof/>
                <w:webHidden/>
              </w:rPr>
              <w:fldChar w:fldCharType="begin"/>
            </w:r>
            <w:r>
              <w:rPr>
                <w:noProof/>
                <w:webHidden/>
              </w:rPr>
              <w:instrText xml:space="preserve"> PAGEREF _Toc222823327 \h </w:instrText>
            </w:r>
            <w:r>
              <w:rPr>
                <w:noProof/>
                <w:webHidden/>
              </w:rPr>
            </w:r>
            <w:r>
              <w:rPr>
                <w:noProof/>
                <w:webHidden/>
              </w:rPr>
              <w:fldChar w:fldCharType="separate"/>
            </w:r>
            <w:r w:rsidR="00682229">
              <w:rPr>
                <w:noProof/>
                <w:webHidden/>
              </w:rPr>
              <w:t>23</w:t>
            </w:r>
            <w:r>
              <w:rPr>
                <w:noProof/>
                <w:webHidden/>
              </w:rPr>
              <w:fldChar w:fldCharType="end"/>
            </w:r>
          </w:hyperlink>
        </w:p>
        <w:p w14:paraId="7C054E4D" w14:textId="72A6D018" w:rsidR="00C038F6" w:rsidRDefault="00C038F6">
          <w:pPr>
            <w:pStyle w:val="TOC2"/>
            <w:tabs>
              <w:tab w:val="right" w:leader="dot" w:pos="9856"/>
            </w:tabs>
            <w:rPr>
              <w:rFonts w:asciiTheme="minorHAnsi" w:eastAsiaTheme="minorEastAsia" w:hAnsiTheme="minorHAnsi" w:cstheme="minorBidi"/>
              <w:noProof/>
              <w:kern w:val="2"/>
              <w:sz w:val="24"/>
              <w:lang w:val="en-GB" w:eastAsia="en-GB" w:bidi="ar-SA"/>
              <w14:ligatures w14:val="standardContextual"/>
            </w:rPr>
          </w:pPr>
          <w:hyperlink w:anchor="_Toc222823328" w:history="1">
            <w:r w:rsidRPr="005840E6">
              <w:rPr>
                <w:rStyle w:val="Hyperlink"/>
                <w:noProof/>
              </w:rPr>
              <w:t>Bulk transfers (both to or from the LGPS)</w:t>
            </w:r>
            <w:r>
              <w:rPr>
                <w:noProof/>
                <w:webHidden/>
              </w:rPr>
              <w:tab/>
            </w:r>
            <w:r>
              <w:rPr>
                <w:noProof/>
                <w:webHidden/>
              </w:rPr>
              <w:fldChar w:fldCharType="begin"/>
            </w:r>
            <w:r>
              <w:rPr>
                <w:noProof/>
                <w:webHidden/>
              </w:rPr>
              <w:instrText xml:space="preserve"> PAGEREF _Toc222823328 \h </w:instrText>
            </w:r>
            <w:r>
              <w:rPr>
                <w:noProof/>
                <w:webHidden/>
              </w:rPr>
            </w:r>
            <w:r>
              <w:rPr>
                <w:noProof/>
                <w:webHidden/>
              </w:rPr>
              <w:fldChar w:fldCharType="separate"/>
            </w:r>
            <w:r w:rsidR="00682229">
              <w:rPr>
                <w:noProof/>
                <w:webHidden/>
              </w:rPr>
              <w:t>24</w:t>
            </w:r>
            <w:r>
              <w:rPr>
                <w:noProof/>
                <w:webHidden/>
              </w:rPr>
              <w:fldChar w:fldCharType="end"/>
            </w:r>
          </w:hyperlink>
        </w:p>
        <w:p w14:paraId="7299D515" w14:textId="404B7A58" w:rsidR="00C038F6" w:rsidRDefault="00C038F6">
          <w:pPr>
            <w:pStyle w:val="TOC1"/>
            <w:tabs>
              <w:tab w:val="right" w:leader="dot" w:pos="9856"/>
            </w:tabs>
            <w:rPr>
              <w:rFonts w:asciiTheme="minorHAnsi" w:eastAsiaTheme="minorEastAsia" w:hAnsiTheme="minorHAnsi" w:cstheme="minorBidi"/>
              <w:noProof/>
              <w:kern w:val="2"/>
              <w:sz w:val="24"/>
              <w:lang w:val="en-GB" w:eastAsia="en-GB" w:bidi="ar-SA"/>
              <w14:ligatures w14:val="standardContextual"/>
            </w:rPr>
          </w:pPr>
          <w:hyperlink w:anchor="_Toc222823329" w:history="1">
            <w:r w:rsidRPr="005840E6">
              <w:rPr>
                <w:rStyle w:val="Hyperlink"/>
                <w:noProof/>
              </w:rPr>
              <w:t>Annex A: Contribution review policy</w:t>
            </w:r>
            <w:r>
              <w:rPr>
                <w:noProof/>
                <w:webHidden/>
              </w:rPr>
              <w:tab/>
            </w:r>
            <w:r>
              <w:rPr>
                <w:noProof/>
                <w:webHidden/>
              </w:rPr>
              <w:fldChar w:fldCharType="begin"/>
            </w:r>
            <w:r>
              <w:rPr>
                <w:noProof/>
                <w:webHidden/>
              </w:rPr>
              <w:instrText xml:space="preserve"> PAGEREF _Toc222823329 \h </w:instrText>
            </w:r>
            <w:r>
              <w:rPr>
                <w:noProof/>
                <w:webHidden/>
              </w:rPr>
            </w:r>
            <w:r>
              <w:rPr>
                <w:noProof/>
                <w:webHidden/>
              </w:rPr>
              <w:fldChar w:fldCharType="separate"/>
            </w:r>
            <w:r w:rsidR="00682229">
              <w:rPr>
                <w:noProof/>
                <w:webHidden/>
              </w:rPr>
              <w:t>25</w:t>
            </w:r>
            <w:r>
              <w:rPr>
                <w:noProof/>
                <w:webHidden/>
              </w:rPr>
              <w:fldChar w:fldCharType="end"/>
            </w:r>
          </w:hyperlink>
        </w:p>
        <w:p w14:paraId="1290833D" w14:textId="0CB8F573" w:rsidR="00C038F6" w:rsidRDefault="00C038F6">
          <w:pPr>
            <w:pStyle w:val="TOC2"/>
            <w:tabs>
              <w:tab w:val="right" w:leader="dot" w:pos="9856"/>
            </w:tabs>
            <w:rPr>
              <w:rFonts w:asciiTheme="minorHAnsi" w:eastAsiaTheme="minorEastAsia" w:hAnsiTheme="minorHAnsi" w:cstheme="minorBidi"/>
              <w:noProof/>
              <w:kern w:val="2"/>
              <w:sz w:val="24"/>
              <w:lang w:val="en-GB" w:eastAsia="en-GB" w:bidi="ar-SA"/>
              <w14:ligatures w14:val="standardContextual"/>
            </w:rPr>
          </w:pPr>
          <w:hyperlink w:anchor="_Toc222823330" w:history="1">
            <w:r w:rsidRPr="005840E6">
              <w:rPr>
                <w:rStyle w:val="Hyperlink"/>
                <w:noProof/>
              </w:rPr>
              <w:t>Appeals process</w:t>
            </w:r>
            <w:r>
              <w:rPr>
                <w:noProof/>
                <w:webHidden/>
              </w:rPr>
              <w:tab/>
            </w:r>
            <w:r>
              <w:rPr>
                <w:noProof/>
                <w:webHidden/>
              </w:rPr>
              <w:fldChar w:fldCharType="begin"/>
            </w:r>
            <w:r>
              <w:rPr>
                <w:noProof/>
                <w:webHidden/>
              </w:rPr>
              <w:instrText xml:space="preserve"> PAGEREF _Toc222823330 \h </w:instrText>
            </w:r>
            <w:r>
              <w:rPr>
                <w:noProof/>
                <w:webHidden/>
              </w:rPr>
            </w:r>
            <w:r>
              <w:rPr>
                <w:noProof/>
                <w:webHidden/>
              </w:rPr>
              <w:fldChar w:fldCharType="separate"/>
            </w:r>
            <w:r w:rsidR="00682229">
              <w:rPr>
                <w:noProof/>
                <w:webHidden/>
              </w:rPr>
              <w:t>31</w:t>
            </w:r>
            <w:r>
              <w:rPr>
                <w:noProof/>
                <w:webHidden/>
              </w:rPr>
              <w:fldChar w:fldCharType="end"/>
            </w:r>
          </w:hyperlink>
        </w:p>
        <w:p w14:paraId="4D077155" w14:textId="3D868865" w:rsidR="00C038F6" w:rsidRDefault="00C038F6">
          <w:pPr>
            <w:pStyle w:val="TOC1"/>
            <w:tabs>
              <w:tab w:val="right" w:leader="dot" w:pos="9856"/>
            </w:tabs>
            <w:rPr>
              <w:rFonts w:asciiTheme="minorHAnsi" w:eastAsiaTheme="minorEastAsia" w:hAnsiTheme="minorHAnsi" w:cstheme="minorBidi"/>
              <w:noProof/>
              <w:kern w:val="2"/>
              <w:sz w:val="24"/>
              <w:lang w:val="en-GB" w:eastAsia="en-GB" w:bidi="ar-SA"/>
              <w14:ligatures w14:val="standardContextual"/>
            </w:rPr>
          </w:pPr>
          <w:hyperlink w:anchor="_Toc222823331" w:history="1">
            <w:r w:rsidRPr="005840E6">
              <w:rPr>
                <w:rStyle w:val="Hyperlink"/>
                <w:noProof/>
              </w:rPr>
              <w:t>Annex B: Deferred debt agreement and debt spreading arrangement policies</w:t>
            </w:r>
            <w:r>
              <w:rPr>
                <w:noProof/>
                <w:webHidden/>
              </w:rPr>
              <w:tab/>
            </w:r>
            <w:r>
              <w:rPr>
                <w:noProof/>
                <w:webHidden/>
              </w:rPr>
              <w:fldChar w:fldCharType="begin"/>
            </w:r>
            <w:r>
              <w:rPr>
                <w:noProof/>
                <w:webHidden/>
              </w:rPr>
              <w:instrText xml:space="preserve"> PAGEREF _Toc222823331 \h </w:instrText>
            </w:r>
            <w:r>
              <w:rPr>
                <w:noProof/>
                <w:webHidden/>
              </w:rPr>
            </w:r>
            <w:r>
              <w:rPr>
                <w:noProof/>
                <w:webHidden/>
              </w:rPr>
              <w:fldChar w:fldCharType="separate"/>
            </w:r>
            <w:r w:rsidR="00682229">
              <w:rPr>
                <w:noProof/>
                <w:webHidden/>
              </w:rPr>
              <w:t>32</w:t>
            </w:r>
            <w:r>
              <w:rPr>
                <w:noProof/>
                <w:webHidden/>
              </w:rPr>
              <w:fldChar w:fldCharType="end"/>
            </w:r>
          </w:hyperlink>
        </w:p>
        <w:p w14:paraId="3193B03B" w14:textId="349728C3" w:rsidR="00C038F6" w:rsidRDefault="00C038F6">
          <w:pPr>
            <w:pStyle w:val="TOC1"/>
            <w:tabs>
              <w:tab w:val="right" w:leader="dot" w:pos="9856"/>
            </w:tabs>
            <w:rPr>
              <w:rFonts w:asciiTheme="minorHAnsi" w:eastAsiaTheme="minorEastAsia" w:hAnsiTheme="minorHAnsi" w:cstheme="minorBidi"/>
              <w:noProof/>
              <w:kern w:val="2"/>
              <w:sz w:val="24"/>
              <w:lang w:val="en-GB" w:eastAsia="en-GB" w:bidi="ar-SA"/>
              <w14:ligatures w14:val="standardContextual"/>
            </w:rPr>
          </w:pPr>
          <w:hyperlink w:anchor="_Toc222823332" w:history="1">
            <w:r w:rsidRPr="005840E6">
              <w:rPr>
                <w:rStyle w:val="Hyperlink"/>
                <w:noProof/>
              </w:rPr>
              <w:t>Deferred Debt Agreements (DDAs)</w:t>
            </w:r>
            <w:r>
              <w:rPr>
                <w:noProof/>
                <w:webHidden/>
              </w:rPr>
              <w:tab/>
            </w:r>
            <w:r>
              <w:rPr>
                <w:noProof/>
                <w:webHidden/>
              </w:rPr>
              <w:fldChar w:fldCharType="begin"/>
            </w:r>
            <w:r>
              <w:rPr>
                <w:noProof/>
                <w:webHidden/>
              </w:rPr>
              <w:instrText xml:space="preserve"> PAGEREF _Toc222823332 \h </w:instrText>
            </w:r>
            <w:r>
              <w:rPr>
                <w:noProof/>
                <w:webHidden/>
              </w:rPr>
            </w:r>
            <w:r>
              <w:rPr>
                <w:noProof/>
                <w:webHidden/>
              </w:rPr>
              <w:fldChar w:fldCharType="separate"/>
            </w:r>
            <w:r w:rsidR="00682229">
              <w:rPr>
                <w:noProof/>
                <w:webHidden/>
              </w:rPr>
              <w:t>34</w:t>
            </w:r>
            <w:r>
              <w:rPr>
                <w:noProof/>
                <w:webHidden/>
              </w:rPr>
              <w:fldChar w:fldCharType="end"/>
            </w:r>
          </w:hyperlink>
        </w:p>
        <w:p w14:paraId="09DCA5EC" w14:textId="6FCB3F7D" w:rsidR="00C038F6" w:rsidRDefault="00C038F6">
          <w:pPr>
            <w:pStyle w:val="TOC1"/>
            <w:tabs>
              <w:tab w:val="right" w:leader="dot" w:pos="9856"/>
            </w:tabs>
            <w:rPr>
              <w:rFonts w:asciiTheme="minorHAnsi" w:eastAsiaTheme="minorEastAsia" w:hAnsiTheme="minorHAnsi" w:cstheme="minorBidi"/>
              <w:noProof/>
              <w:kern w:val="2"/>
              <w:sz w:val="24"/>
              <w:lang w:val="en-GB" w:eastAsia="en-GB" w:bidi="ar-SA"/>
              <w14:ligatures w14:val="standardContextual"/>
            </w:rPr>
          </w:pPr>
          <w:hyperlink w:anchor="_Toc222823333" w:history="1">
            <w:r w:rsidRPr="005840E6">
              <w:rPr>
                <w:rStyle w:val="Hyperlink"/>
                <w:noProof/>
              </w:rPr>
              <w:t>Debt Spreading Arrangements (DSAs)</w:t>
            </w:r>
            <w:r>
              <w:rPr>
                <w:noProof/>
                <w:webHidden/>
              </w:rPr>
              <w:tab/>
            </w:r>
            <w:r>
              <w:rPr>
                <w:noProof/>
                <w:webHidden/>
              </w:rPr>
              <w:fldChar w:fldCharType="begin"/>
            </w:r>
            <w:r>
              <w:rPr>
                <w:noProof/>
                <w:webHidden/>
              </w:rPr>
              <w:instrText xml:space="preserve"> PAGEREF _Toc222823333 \h </w:instrText>
            </w:r>
            <w:r>
              <w:rPr>
                <w:noProof/>
                <w:webHidden/>
              </w:rPr>
            </w:r>
            <w:r>
              <w:rPr>
                <w:noProof/>
                <w:webHidden/>
              </w:rPr>
              <w:fldChar w:fldCharType="separate"/>
            </w:r>
            <w:r w:rsidR="00682229">
              <w:rPr>
                <w:noProof/>
                <w:webHidden/>
              </w:rPr>
              <w:t>38</w:t>
            </w:r>
            <w:r>
              <w:rPr>
                <w:noProof/>
                <w:webHidden/>
              </w:rPr>
              <w:fldChar w:fldCharType="end"/>
            </w:r>
          </w:hyperlink>
        </w:p>
        <w:p w14:paraId="70D60415" w14:textId="7EE6D167" w:rsidR="00C038F6" w:rsidRDefault="00C038F6">
          <w:pPr>
            <w:pStyle w:val="TOC1"/>
            <w:tabs>
              <w:tab w:val="right" w:leader="dot" w:pos="9856"/>
            </w:tabs>
            <w:rPr>
              <w:rFonts w:asciiTheme="minorHAnsi" w:eastAsiaTheme="minorEastAsia" w:hAnsiTheme="minorHAnsi" w:cstheme="minorBidi"/>
              <w:noProof/>
              <w:kern w:val="2"/>
              <w:sz w:val="24"/>
              <w:lang w:val="en-GB" w:eastAsia="en-GB" w:bidi="ar-SA"/>
              <w14:ligatures w14:val="standardContextual"/>
            </w:rPr>
          </w:pPr>
          <w:hyperlink w:anchor="_Toc222823334" w:history="1">
            <w:r w:rsidRPr="005840E6">
              <w:rPr>
                <w:rStyle w:val="Hyperlink"/>
                <w:noProof/>
              </w:rPr>
              <w:t>Annex C: Exit Credit Policy</w:t>
            </w:r>
            <w:r>
              <w:rPr>
                <w:noProof/>
                <w:webHidden/>
              </w:rPr>
              <w:tab/>
            </w:r>
            <w:r>
              <w:rPr>
                <w:noProof/>
                <w:webHidden/>
              </w:rPr>
              <w:fldChar w:fldCharType="begin"/>
            </w:r>
            <w:r>
              <w:rPr>
                <w:noProof/>
                <w:webHidden/>
              </w:rPr>
              <w:instrText xml:space="preserve"> PAGEREF _Toc222823334 \h </w:instrText>
            </w:r>
            <w:r>
              <w:rPr>
                <w:noProof/>
                <w:webHidden/>
              </w:rPr>
            </w:r>
            <w:r>
              <w:rPr>
                <w:noProof/>
                <w:webHidden/>
              </w:rPr>
              <w:fldChar w:fldCharType="separate"/>
            </w:r>
            <w:r w:rsidR="00682229">
              <w:rPr>
                <w:noProof/>
                <w:webHidden/>
              </w:rPr>
              <w:t>42</w:t>
            </w:r>
            <w:r>
              <w:rPr>
                <w:noProof/>
                <w:webHidden/>
              </w:rPr>
              <w:fldChar w:fldCharType="end"/>
            </w:r>
          </w:hyperlink>
        </w:p>
        <w:p w14:paraId="5D67800E" w14:textId="25664983" w:rsidR="00C038F6" w:rsidRDefault="00C038F6">
          <w:pPr>
            <w:pStyle w:val="TOC1"/>
            <w:tabs>
              <w:tab w:val="right" w:leader="dot" w:pos="9856"/>
            </w:tabs>
            <w:rPr>
              <w:rFonts w:asciiTheme="minorHAnsi" w:eastAsiaTheme="minorEastAsia" w:hAnsiTheme="minorHAnsi" w:cstheme="minorBidi"/>
              <w:noProof/>
              <w:kern w:val="2"/>
              <w:sz w:val="24"/>
              <w:lang w:val="en-GB" w:eastAsia="en-GB" w:bidi="ar-SA"/>
              <w14:ligatures w14:val="standardContextual"/>
            </w:rPr>
          </w:pPr>
          <w:hyperlink w:anchor="_Toc222823335" w:history="1">
            <w:r w:rsidRPr="005840E6">
              <w:rPr>
                <w:rStyle w:val="Hyperlink"/>
                <w:noProof/>
              </w:rPr>
              <w:t>Annex D: Managing Risks</w:t>
            </w:r>
            <w:r>
              <w:rPr>
                <w:noProof/>
                <w:webHidden/>
              </w:rPr>
              <w:tab/>
            </w:r>
            <w:r>
              <w:rPr>
                <w:noProof/>
                <w:webHidden/>
              </w:rPr>
              <w:fldChar w:fldCharType="begin"/>
            </w:r>
            <w:r>
              <w:rPr>
                <w:noProof/>
                <w:webHidden/>
              </w:rPr>
              <w:instrText xml:space="preserve"> PAGEREF _Toc222823335 \h </w:instrText>
            </w:r>
            <w:r>
              <w:rPr>
                <w:noProof/>
                <w:webHidden/>
              </w:rPr>
            </w:r>
            <w:r>
              <w:rPr>
                <w:noProof/>
                <w:webHidden/>
              </w:rPr>
              <w:fldChar w:fldCharType="separate"/>
            </w:r>
            <w:r w:rsidR="00682229">
              <w:rPr>
                <w:noProof/>
                <w:webHidden/>
              </w:rPr>
              <w:t>43</w:t>
            </w:r>
            <w:r>
              <w:rPr>
                <w:noProof/>
                <w:webHidden/>
              </w:rPr>
              <w:fldChar w:fldCharType="end"/>
            </w:r>
          </w:hyperlink>
        </w:p>
        <w:p w14:paraId="66A87E9D" w14:textId="1BEE00D9" w:rsidR="00C038F6" w:rsidRDefault="00C038F6">
          <w:pPr>
            <w:pStyle w:val="TOC1"/>
            <w:tabs>
              <w:tab w:val="right" w:leader="dot" w:pos="9856"/>
            </w:tabs>
            <w:rPr>
              <w:rFonts w:asciiTheme="minorHAnsi" w:eastAsiaTheme="minorEastAsia" w:hAnsiTheme="minorHAnsi" w:cstheme="minorBidi"/>
              <w:noProof/>
              <w:kern w:val="2"/>
              <w:sz w:val="24"/>
              <w:lang w:val="en-GB" w:eastAsia="en-GB" w:bidi="ar-SA"/>
              <w14:ligatures w14:val="standardContextual"/>
            </w:rPr>
          </w:pPr>
          <w:hyperlink w:anchor="_Toc222823336" w:history="1">
            <w:r w:rsidRPr="005840E6">
              <w:rPr>
                <w:rStyle w:val="Hyperlink"/>
                <w:noProof/>
              </w:rPr>
              <w:t>Annex E: Glossary</w:t>
            </w:r>
            <w:r>
              <w:rPr>
                <w:noProof/>
                <w:webHidden/>
              </w:rPr>
              <w:tab/>
            </w:r>
            <w:r>
              <w:rPr>
                <w:noProof/>
                <w:webHidden/>
              </w:rPr>
              <w:fldChar w:fldCharType="begin"/>
            </w:r>
            <w:r>
              <w:rPr>
                <w:noProof/>
                <w:webHidden/>
              </w:rPr>
              <w:instrText xml:space="preserve"> PAGEREF _Toc222823336 \h </w:instrText>
            </w:r>
            <w:r>
              <w:rPr>
                <w:noProof/>
                <w:webHidden/>
              </w:rPr>
            </w:r>
            <w:r>
              <w:rPr>
                <w:noProof/>
                <w:webHidden/>
              </w:rPr>
              <w:fldChar w:fldCharType="separate"/>
            </w:r>
            <w:r w:rsidR="00682229">
              <w:rPr>
                <w:noProof/>
                <w:webHidden/>
              </w:rPr>
              <w:t>48</w:t>
            </w:r>
            <w:r>
              <w:rPr>
                <w:noProof/>
                <w:webHidden/>
              </w:rPr>
              <w:fldChar w:fldCharType="end"/>
            </w:r>
          </w:hyperlink>
        </w:p>
        <w:p w14:paraId="102DFE70" w14:textId="690E2B98" w:rsidR="00277257" w:rsidRDefault="008435C7">
          <w:r>
            <w:fldChar w:fldCharType="end"/>
          </w:r>
        </w:p>
      </w:sdtContent>
    </w:sdt>
    <w:p w14:paraId="550C8DE6" w14:textId="00B297B3" w:rsidR="00BE03C5" w:rsidRPr="00BE03C5" w:rsidRDefault="29025EE5" w:rsidP="00100580">
      <w:pPr>
        <w:pStyle w:val="Heading1"/>
        <w:rPr>
          <w:b/>
        </w:rPr>
      </w:pPr>
      <w:bookmarkStart w:id="0" w:name="_Ref204545498"/>
      <w:bookmarkStart w:id="1" w:name="_Toc222823304"/>
      <w:r>
        <w:lastRenderedPageBreak/>
        <w:t>Section A – Purpose of the fund and the FSS</w:t>
      </w:r>
      <w:bookmarkEnd w:id="0"/>
      <w:bookmarkEnd w:id="1"/>
      <w:r w:rsidR="6A32C6C7">
        <w:t xml:space="preserve"> </w:t>
      </w:r>
    </w:p>
    <w:p w14:paraId="64C6A890" w14:textId="39E4C92F" w:rsidR="007E2C8D" w:rsidRPr="00BE03C5" w:rsidRDefault="007E2C8D" w:rsidP="004177FE">
      <w:pPr>
        <w:pStyle w:val="Notheader1"/>
      </w:pPr>
      <w:r>
        <w:t>Introduction</w:t>
      </w:r>
    </w:p>
    <w:p w14:paraId="5F876405" w14:textId="0F2C3B84" w:rsidR="007979A7" w:rsidRDefault="003959C8" w:rsidP="003959C8">
      <w:pPr>
        <w:pStyle w:val="BodyText"/>
      </w:pPr>
      <w:r>
        <w:t xml:space="preserve">This is the Funding Strategy Statement </w:t>
      </w:r>
      <w:r w:rsidR="00B56BC6">
        <w:t xml:space="preserve">(FSS) </w:t>
      </w:r>
      <w:r>
        <w:t xml:space="preserve">for the </w:t>
      </w:r>
      <w:r w:rsidR="004927CC">
        <w:t>London Borough of Barking and Dagenham Pension Fund</w:t>
      </w:r>
      <w:r>
        <w:t xml:space="preserve"> (the Fund)</w:t>
      </w:r>
      <w:r w:rsidR="003B5A66">
        <w:t>, part of the Local Government Pension Scheme (LGPS)</w:t>
      </w:r>
      <w:r>
        <w:t xml:space="preserve">. </w:t>
      </w:r>
      <w:r w:rsidR="00301700">
        <w:t xml:space="preserve">It has been prepared by </w:t>
      </w:r>
      <w:r w:rsidR="004927CC">
        <w:t>London Borough of Barking and Dagenham</w:t>
      </w:r>
      <w:r w:rsidR="00301700">
        <w:t xml:space="preserve"> in our capacity as </w:t>
      </w:r>
      <w:r w:rsidR="000D7F93">
        <w:t>Administering Authority</w:t>
      </w:r>
      <w:r w:rsidR="00301700">
        <w:t xml:space="preserve"> of the Fund.</w:t>
      </w:r>
    </w:p>
    <w:p w14:paraId="1AB4E359" w14:textId="388F29C9" w:rsidR="00200752" w:rsidRDefault="00943EF7" w:rsidP="003959C8">
      <w:pPr>
        <w:pStyle w:val="BodyText"/>
      </w:pPr>
      <w:r>
        <w:t xml:space="preserve">We </w:t>
      </w:r>
      <w:r w:rsidR="003959C8">
        <w:t>ha</w:t>
      </w:r>
      <w:r>
        <w:t>ve</w:t>
      </w:r>
      <w:r w:rsidR="003959C8">
        <w:t xml:space="preserve"> prepared </w:t>
      </w:r>
      <w:r w:rsidR="00301700">
        <w:t>this statement</w:t>
      </w:r>
      <w:r w:rsidR="00854E75">
        <w:t>:</w:t>
      </w:r>
    </w:p>
    <w:p w14:paraId="5B86FEA0" w14:textId="093BA7D2" w:rsidR="00200752" w:rsidRDefault="003959C8" w:rsidP="00200752">
      <w:pPr>
        <w:pStyle w:val="List"/>
      </w:pPr>
      <w:r>
        <w:t>in accordance with Regulation 58 of the L</w:t>
      </w:r>
      <w:r w:rsidR="003B5A66">
        <w:t>GPS</w:t>
      </w:r>
      <w:r>
        <w:t xml:space="preserve"> Regulations 2013 as amended (the Regulations)</w:t>
      </w:r>
      <w:r w:rsidR="00200752">
        <w:t>;</w:t>
      </w:r>
    </w:p>
    <w:p w14:paraId="244EE7FD" w14:textId="79E17812" w:rsidR="00301700" w:rsidRDefault="007979A7" w:rsidP="00200752">
      <w:pPr>
        <w:pStyle w:val="List"/>
      </w:pPr>
      <w:r>
        <w:t>with regard to the guidance (</w:t>
      </w:r>
      <w:hyperlink r:id="rId15" w:history="1">
        <w:r w:rsidRPr="00C1121C">
          <w:rPr>
            <w:rStyle w:val="Hyperlink"/>
            <w:i/>
          </w:rPr>
          <w:t>Guidance for Preparing and maintaining a Funding Strategy Statement (FSS)</w:t>
        </w:r>
      </w:hyperlink>
      <w:r>
        <w:rPr>
          <w:i/>
        </w:rPr>
        <w:t>)</w:t>
      </w:r>
      <w:r>
        <w:t xml:space="preserve"> jointly produced by the Scheme Advisory Board (SAB), the Chartered Institute of Public Finance and Accountancy (CIPFA) and Ministry of Housing, Communities and Local Government (MHCLG)</w:t>
      </w:r>
      <w:r w:rsidR="00200752">
        <w:t>; and</w:t>
      </w:r>
    </w:p>
    <w:p w14:paraId="33371B9E" w14:textId="6F995551" w:rsidR="00200752" w:rsidRDefault="00200752" w:rsidP="00735383">
      <w:pPr>
        <w:pStyle w:val="List"/>
      </w:pPr>
      <w:r>
        <w:t xml:space="preserve">having taken </w:t>
      </w:r>
      <w:r w:rsidR="004D041A">
        <w:t>advice from the Fund Actuary, Barnett Waddingham</w:t>
      </w:r>
      <w:r w:rsidR="00735383">
        <w:t>.</w:t>
      </w:r>
    </w:p>
    <w:p w14:paraId="60301EAD" w14:textId="7C9D7F6C" w:rsidR="003959C8" w:rsidRPr="00B12FAF" w:rsidRDefault="003959C8" w:rsidP="003959C8">
      <w:pPr>
        <w:pStyle w:val="BodyText"/>
      </w:pPr>
      <w:r>
        <w:t xml:space="preserve">This statement should be read in conjunction with </w:t>
      </w:r>
      <w:r w:rsidR="004D041A" w:rsidRPr="00B12FAF">
        <w:t>our</w:t>
      </w:r>
      <w:r w:rsidRPr="00B12FAF">
        <w:t xml:space="preserve"> Investment Strategy Statement (ISS)</w:t>
      </w:r>
      <w:r w:rsidR="00DE0291" w:rsidRPr="00B12FAF">
        <w:t xml:space="preserve"> </w:t>
      </w:r>
      <w:hyperlink r:id="rId16" w:history="1">
        <w:r w:rsidR="00DE0291" w:rsidRPr="00B12FAF">
          <w:rPr>
            <w:rStyle w:val="Hyperlink"/>
          </w:rPr>
          <w:t>here</w:t>
        </w:r>
        <w:r w:rsidR="00EB08EF" w:rsidRPr="00B12FAF">
          <w:rPr>
            <w:rStyle w:val="Hyperlink"/>
          </w:rPr>
          <w:t>.</w:t>
        </w:r>
      </w:hyperlink>
    </w:p>
    <w:p w14:paraId="5A56631B" w14:textId="74D3E22A" w:rsidR="005C373D" w:rsidRPr="00B12FAF" w:rsidRDefault="000F2334" w:rsidP="00E9499F">
      <w:pPr>
        <w:pStyle w:val="BodyText"/>
        <w:rPr>
          <w:rFonts w:eastAsia="Segoe UI" w:cs="Segoe UI"/>
        </w:rPr>
      </w:pPr>
      <w:r w:rsidRPr="00B12FAF">
        <w:rPr>
          <w:rFonts w:eastAsia="Segoe UI" w:cs="Segoe UI"/>
        </w:rPr>
        <w:t>Employers and other relevant parties have been consulted during the development of this FSS</w:t>
      </w:r>
      <w:r w:rsidR="00B81DEF" w:rsidRPr="00B12FAF">
        <w:rPr>
          <w:rFonts w:eastAsia="Segoe UI" w:cs="Segoe UI"/>
        </w:rPr>
        <w:t>.</w:t>
      </w:r>
      <w:r w:rsidR="005C373D" w:rsidRPr="00B12FAF">
        <w:rPr>
          <w:rFonts w:eastAsia="Segoe UI" w:cs="Segoe UI"/>
        </w:rPr>
        <w:t xml:space="preserve"> </w:t>
      </w:r>
    </w:p>
    <w:p w14:paraId="3F308356" w14:textId="10CD3BD5" w:rsidR="003959C8" w:rsidRDefault="68EE7529" w:rsidP="73138C69">
      <w:pPr>
        <w:pStyle w:val="BodyText"/>
        <w:rPr>
          <w:rFonts w:eastAsia="Segoe UI" w:cs="Segoe UI"/>
        </w:rPr>
      </w:pPr>
      <w:r w:rsidRPr="00B12FAF">
        <w:rPr>
          <w:rFonts w:eastAsia="Segoe UI" w:cs="Segoe UI"/>
        </w:rPr>
        <w:t xml:space="preserve">This FSS was approved by the Pension Committee on </w:t>
      </w:r>
      <w:r w:rsidR="00BF7CF1" w:rsidRPr="00BF7CF1">
        <w:rPr>
          <w:rFonts w:eastAsia="Segoe UI" w:cs="Segoe UI"/>
        </w:rPr>
        <w:t xml:space="preserve">26 </w:t>
      </w:r>
      <w:r w:rsidRPr="00BF7CF1">
        <w:rPr>
          <w:rFonts w:eastAsia="Segoe UI" w:cs="Segoe UI"/>
        </w:rPr>
        <w:t>March 2026</w:t>
      </w:r>
      <w:r w:rsidRPr="00B12FAF">
        <w:rPr>
          <w:rFonts w:eastAsia="Segoe UI" w:cs="Segoe UI"/>
        </w:rPr>
        <w:t xml:space="preserve"> on the recommendation</w:t>
      </w:r>
      <w:r w:rsidRPr="00B87A52">
        <w:rPr>
          <w:rFonts w:eastAsia="Segoe UI" w:cs="Segoe UI"/>
        </w:rPr>
        <w:t xml:space="preserve"> of</w:t>
      </w:r>
      <w:r w:rsidRPr="001B792E">
        <w:rPr>
          <w:rFonts w:eastAsia="Segoe UI" w:cs="Segoe UI"/>
        </w:rPr>
        <w:t xml:space="preserve"> </w:t>
      </w:r>
      <w:r w:rsidR="00275425">
        <w:rPr>
          <w:rFonts w:eastAsia="Segoe UI" w:cs="Segoe UI"/>
        </w:rPr>
        <w:t>Fund</w:t>
      </w:r>
      <w:r w:rsidRPr="001B792E">
        <w:rPr>
          <w:rFonts w:eastAsia="Segoe UI" w:cs="Segoe UI"/>
        </w:rPr>
        <w:t xml:space="preserve"> </w:t>
      </w:r>
      <w:r w:rsidR="00B87A52" w:rsidRPr="001B792E">
        <w:rPr>
          <w:rFonts w:eastAsia="Segoe UI" w:cs="Segoe UI"/>
        </w:rPr>
        <w:t>o</w:t>
      </w:r>
      <w:r w:rsidRPr="001B792E">
        <w:rPr>
          <w:rFonts w:eastAsia="Segoe UI" w:cs="Segoe UI"/>
        </w:rPr>
        <w:t>fficer</w:t>
      </w:r>
      <w:r w:rsidR="00B87A52" w:rsidRPr="001B792E">
        <w:rPr>
          <w:rFonts w:eastAsia="Segoe UI" w:cs="Segoe UI"/>
        </w:rPr>
        <w:t>s</w:t>
      </w:r>
      <w:r w:rsidRPr="00B87A52">
        <w:rPr>
          <w:rFonts w:eastAsia="Segoe UI" w:cs="Segoe UI"/>
        </w:rPr>
        <w:t xml:space="preserve"> and followin</w:t>
      </w:r>
      <w:r w:rsidRPr="3CA178B6">
        <w:rPr>
          <w:rFonts w:eastAsia="Segoe UI" w:cs="Segoe UI"/>
        </w:rPr>
        <w:t>g consultation with our employers.</w:t>
      </w:r>
    </w:p>
    <w:p w14:paraId="5FE77698" w14:textId="2C7D125A" w:rsidR="008679EA" w:rsidRDefault="008679EA" w:rsidP="73138C69">
      <w:pPr>
        <w:pStyle w:val="BodyText"/>
        <w:rPr>
          <w:rFonts w:eastAsia="Segoe UI" w:cs="Segoe UI"/>
        </w:rPr>
      </w:pPr>
      <w:r>
        <w:rPr>
          <w:rFonts w:eastAsia="Segoe UI" w:cs="Segoe UI"/>
        </w:rPr>
        <w:t xml:space="preserve">We have included </w:t>
      </w:r>
      <w:r w:rsidR="002C73D8">
        <w:rPr>
          <w:rFonts w:eastAsia="Segoe UI" w:cs="Segoe UI"/>
        </w:rPr>
        <w:t>an explanation of the key terminology</w:t>
      </w:r>
      <w:r w:rsidR="005A6CAB">
        <w:rPr>
          <w:rFonts w:eastAsia="Segoe UI" w:cs="Segoe UI"/>
        </w:rPr>
        <w:t xml:space="preserve"> used in this document</w:t>
      </w:r>
      <w:r>
        <w:rPr>
          <w:rFonts w:eastAsia="Segoe UI" w:cs="Segoe UI"/>
        </w:rPr>
        <w:t xml:space="preserve"> in </w:t>
      </w:r>
      <w:r>
        <w:rPr>
          <w:rFonts w:eastAsia="Segoe UI" w:cs="Segoe UI"/>
        </w:rPr>
        <w:fldChar w:fldCharType="begin"/>
      </w:r>
      <w:r>
        <w:rPr>
          <w:rFonts w:eastAsia="Segoe UI" w:cs="Segoe UI"/>
        </w:rPr>
        <w:instrText xml:space="preserve"> REF _Ref204460712 \h </w:instrText>
      </w:r>
      <w:r>
        <w:rPr>
          <w:rFonts w:eastAsia="Segoe UI" w:cs="Segoe UI"/>
        </w:rPr>
      </w:r>
      <w:r>
        <w:rPr>
          <w:rFonts w:eastAsia="Segoe UI" w:cs="Segoe UI"/>
        </w:rPr>
        <w:fldChar w:fldCharType="separate"/>
      </w:r>
      <w:r>
        <w:t xml:space="preserve">Annex </w:t>
      </w:r>
      <w:r w:rsidR="0018299B">
        <w:t>E</w:t>
      </w:r>
      <w:r>
        <w:t>: Glossary</w:t>
      </w:r>
      <w:r>
        <w:rPr>
          <w:rFonts w:eastAsia="Segoe UI" w:cs="Segoe UI"/>
        </w:rPr>
        <w:fldChar w:fldCharType="end"/>
      </w:r>
      <w:r w:rsidR="00732211">
        <w:rPr>
          <w:rFonts w:eastAsia="Segoe UI" w:cs="Segoe UI"/>
        </w:rPr>
        <w:t>.</w:t>
      </w:r>
    </w:p>
    <w:p w14:paraId="782D2146" w14:textId="77777777" w:rsidR="0DC0B6C7" w:rsidRDefault="0DC0B6C7" w:rsidP="73138C69">
      <w:pPr>
        <w:pStyle w:val="Sub-heading"/>
        <w:keepNext/>
        <w:keepLines/>
      </w:pPr>
      <w:r>
        <w:t>Contact details</w:t>
      </w:r>
    </w:p>
    <w:p w14:paraId="7D3323C7" w14:textId="25705B6D" w:rsidR="0DC0B6C7" w:rsidRDefault="0DC0B6C7" w:rsidP="73138C69">
      <w:pPr>
        <w:pStyle w:val="BodyText"/>
        <w:keepNext/>
        <w:keepLines/>
        <w:rPr>
          <w:i/>
          <w:iCs/>
          <w:color w:val="7030A0"/>
        </w:rPr>
      </w:pPr>
      <w:r w:rsidRPr="73138C69">
        <w:rPr>
          <w:rFonts w:eastAsia="Segoe UI" w:cs="Segoe UI"/>
        </w:rPr>
        <w:t xml:space="preserve">Any queries relating to this FSS should be directed to </w:t>
      </w:r>
      <w:hyperlink r:id="rId17" w:history="1">
        <w:r w:rsidR="00287A3B" w:rsidRPr="00287A3B">
          <w:rPr>
            <w:rStyle w:val="Hyperlink"/>
            <w:rFonts w:eastAsia="Segoe UI" w:cs="Segoe UI"/>
            <w:lang w:bidi="en-US"/>
          </w:rPr>
          <w:t>nick.vickers@lbbd.gov.uk</w:t>
        </w:r>
      </w:hyperlink>
      <w:r w:rsidR="00287A3B" w:rsidRPr="00287A3B">
        <w:rPr>
          <w:rFonts w:eastAsia="Segoe UI" w:cs="Segoe UI"/>
          <w:lang w:bidi="en-US"/>
        </w:rPr>
        <w:t>.</w:t>
      </w:r>
    </w:p>
    <w:p w14:paraId="0C9840A3" w14:textId="5754CFF9" w:rsidR="68EE7529" w:rsidRDefault="68EE7529" w:rsidP="73138C69">
      <w:pPr>
        <w:pStyle w:val="Heading2"/>
      </w:pPr>
      <w:bookmarkStart w:id="2" w:name="_Toc222823305"/>
      <w:r>
        <w:t xml:space="preserve">Aims and objectives </w:t>
      </w:r>
      <w:r w:rsidR="008E52FB">
        <w:t>of the FSS</w:t>
      </w:r>
      <w:bookmarkEnd w:id="2"/>
    </w:p>
    <w:p w14:paraId="7096E03A" w14:textId="0FC39627" w:rsidR="68EE7529" w:rsidRDefault="68EE7529" w:rsidP="00126E60">
      <w:pPr>
        <w:pStyle w:val="NoSpacing"/>
      </w:pPr>
      <w:r>
        <w:t>The aims and objectives of this FSS are to:</w:t>
      </w:r>
    </w:p>
    <w:p w14:paraId="704BE616" w14:textId="77777777" w:rsidR="001910E8" w:rsidRDefault="001910E8" w:rsidP="004E4D8B">
      <w:pPr>
        <w:pStyle w:val="NoSpacing"/>
      </w:pPr>
    </w:p>
    <w:p w14:paraId="6DC78045" w14:textId="6E4CFF8B" w:rsidR="68EE7529" w:rsidRDefault="68EE7529" w:rsidP="73138C69">
      <w:pPr>
        <w:pStyle w:val="List"/>
      </w:pPr>
      <w:r>
        <w:t>Enable our Fund Actuary to undertake appropriate funding calculations for the Fund, whether as part of a triennial actuarial valuation exercise or otherwise, which also meet the requirements of the LGPS Regulations and guidance and their professional obligations;</w:t>
      </w:r>
    </w:p>
    <w:p w14:paraId="33889074" w14:textId="779CB783" w:rsidR="68EE7529" w:rsidRDefault="68EE7529" w:rsidP="73138C69">
      <w:pPr>
        <w:pStyle w:val="List"/>
      </w:pPr>
      <w:r>
        <w:t>Establish a clear and transparent fund-specific strategy that will identify how our employers’ pension liabilities are best met going forward;</w:t>
      </w:r>
    </w:p>
    <w:p w14:paraId="537BCEFE" w14:textId="2064C7B8" w:rsidR="68EE7529" w:rsidRDefault="68EE7529" w:rsidP="73138C69">
      <w:pPr>
        <w:pStyle w:val="List"/>
      </w:pPr>
      <w:r>
        <w:t>Support the desirability of maintaining as nearly constant a primary contribution rate as possible, as defined in Regulation 62(6) of the Regulations;</w:t>
      </w:r>
    </w:p>
    <w:p w14:paraId="2F83AC93" w14:textId="06050663" w:rsidR="68EE7529" w:rsidRDefault="68EE7529" w:rsidP="73138C69">
      <w:pPr>
        <w:pStyle w:val="List"/>
      </w:pPr>
      <w:r>
        <w:t xml:space="preserve">Ensure that the regulatory requirements to set employer contributions to ensure the solvency and long-term cost efficiency of the Fund are met in the context of fiduciary duty; </w:t>
      </w:r>
    </w:p>
    <w:p w14:paraId="57106679" w14:textId="48FECA1A" w:rsidR="68EE7529" w:rsidRDefault="68EE7529" w:rsidP="73138C69">
      <w:pPr>
        <w:pStyle w:val="List"/>
      </w:pPr>
      <w:r>
        <w:t>Explain how we seek to balance the interests of different employers; and</w:t>
      </w:r>
    </w:p>
    <w:p w14:paraId="00A2AC7A" w14:textId="056FE9B6" w:rsidR="005074AF" w:rsidRDefault="68EE7529" w:rsidP="73138C69">
      <w:pPr>
        <w:pStyle w:val="List"/>
      </w:pPr>
      <w:r>
        <w:t>Explain how we deal with conflicts of interest and references other policies/strategies.</w:t>
      </w:r>
    </w:p>
    <w:p w14:paraId="02C61423" w14:textId="3291D9C2" w:rsidR="68EE7529" w:rsidRDefault="68EE7529" w:rsidP="73138C69">
      <w:pPr>
        <w:pStyle w:val="BodyText"/>
      </w:pPr>
      <w:r>
        <w:t>They have been set in the context of fiduciary duty and requirement to pay pension benefits according to the LGPS and wider regulations.</w:t>
      </w:r>
    </w:p>
    <w:p w14:paraId="2E777BF6" w14:textId="0CC37356" w:rsidR="68EE7529" w:rsidRDefault="68EE7529" w:rsidP="00723188">
      <w:pPr>
        <w:pStyle w:val="NoSpacing"/>
      </w:pPr>
      <w:r>
        <w:lastRenderedPageBreak/>
        <w:t>Our aims in relation to long-term funding are to:</w:t>
      </w:r>
    </w:p>
    <w:p w14:paraId="13C181FC" w14:textId="77777777" w:rsidR="00723188" w:rsidRDefault="00723188" w:rsidP="002B7C0D">
      <w:pPr>
        <w:pStyle w:val="NoSpacing"/>
      </w:pPr>
    </w:p>
    <w:p w14:paraId="289AEA00" w14:textId="76408DA4" w:rsidR="68EE7529" w:rsidRDefault="68EE7529" w:rsidP="73138C69">
      <w:pPr>
        <w:pStyle w:val="List"/>
      </w:pPr>
      <w:r>
        <w:t>Achieve solvency by managing employers’ liabilities effectively and ensuring that sufficient resources are available to meet all benefit payments as they arise;</w:t>
      </w:r>
    </w:p>
    <w:p w14:paraId="4C0B2150" w14:textId="7B12DCDB" w:rsidR="68EE7529" w:rsidRDefault="68EE7529" w:rsidP="73138C69">
      <w:pPr>
        <w:pStyle w:val="List"/>
      </w:pPr>
      <w:r>
        <w:t>Achieve long-term cost efficiency by ensuring that employer contribution rates are not set at a level that gives rise to additional costs;</w:t>
      </w:r>
    </w:p>
    <w:p w14:paraId="283767F1" w14:textId="58983B5F" w:rsidR="68EE7529" w:rsidRDefault="68EE7529" w:rsidP="73138C69">
      <w:pPr>
        <w:pStyle w:val="List"/>
      </w:pPr>
      <w:r>
        <w:t xml:space="preserve">Enable primary contribution rates to be kept as nearly constant as possible and (subject to not taking undue risks) at reasonable cost to our employers; and </w:t>
      </w:r>
    </w:p>
    <w:p w14:paraId="1DB3B8A5" w14:textId="02D805D9" w:rsidR="68EE7529" w:rsidRDefault="68EE7529" w:rsidP="73138C69">
      <w:pPr>
        <w:pStyle w:val="List"/>
      </w:pPr>
      <w:r>
        <w:t>Seek returns on investment within reasonable risk parameters.</w:t>
      </w:r>
    </w:p>
    <w:p w14:paraId="1328C174" w14:textId="019496B7" w:rsidR="005B070C" w:rsidRDefault="00B27BA8" w:rsidP="00BD7C45">
      <w:pPr>
        <w:pStyle w:val="Heading2"/>
      </w:pPr>
      <w:bookmarkStart w:id="3" w:name="_Toc222823306"/>
      <w:r>
        <w:t>Monitoring and review</w:t>
      </w:r>
      <w:r w:rsidR="008E52FB">
        <w:t xml:space="preserve"> of the FSS</w:t>
      </w:r>
      <w:bookmarkEnd w:id="3"/>
    </w:p>
    <w:p w14:paraId="4947A6BA" w14:textId="46E325AA" w:rsidR="00E9499F" w:rsidRDefault="00244DFC" w:rsidP="00E9499F">
      <w:pPr>
        <w:pStyle w:val="BodyText"/>
        <w:rPr>
          <w:rFonts w:eastAsia="Segoe UI" w:cs="Segoe UI"/>
        </w:rPr>
      </w:pPr>
      <w:r w:rsidRPr="7122E37C">
        <w:rPr>
          <w:rFonts w:eastAsia="Segoe UI" w:cs="Segoe UI"/>
        </w:rPr>
        <w:t>The FSS will</w:t>
      </w:r>
      <w:r w:rsidR="00B01DEE" w:rsidRPr="7122E37C">
        <w:rPr>
          <w:rFonts w:eastAsia="Segoe UI" w:cs="Segoe UI"/>
        </w:rPr>
        <w:t xml:space="preserve"> be monitored annually and i</w:t>
      </w:r>
      <w:r w:rsidR="001D4C12" w:rsidRPr="7122E37C">
        <w:rPr>
          <w:rFonts w:eastAsia="Segoe UI" w:cs="Segoe UI"/>
        </w:rPr>
        <w:t xml:space="preserve">t </w:t>
      </w:r>
      <w:r w:rsidR="00975C8B" w:rsidRPr="7122E37C">
        <w:rPr>
          <w:rFonts w:eastAsia="Segoe UI" w:cs="Segoe UI"/>
        </w:rPr>
        <w:t xml:space="preserve">will be </w:t>
      </w:r>
      <w:r w:rsidR="001D4C12" w:rsidRPr="7122E37C">
        <w:rPr>
          <w:rFonts w:eastAsia="Segoe UI" w:cs="Segoe UI"/>
        </w:rPr>
        <w:t>review</w:t>
      </w:r>
      <w:r w:rsidR="00975C8B" w:rsidRPr="7122E37C">
        <w:rPr>
          <w:rFonts w:eastAsia="Segoe UI" w:cs="Segoe UI"/>
        </w:rPr>
        <w:t>ed</w:t>
      </w:r>
      <w:r w:rsidR="001D4C12" w:rsidRPr="7122E37C">
        <w:rPr>
          <w:rFonts w:eastAsia="Segoe UI" w:cs="Segoe UI"/>
        </w:rPr>
        <w:t xml:space="preserve"> </w:t>
      </w:r>
      <w:r w:rsidR="001B7023" w:rsidRPr="7122E37C">
        <w:rPr>
          <w:rFonts w:eastAsia="Segoe UI" w:cs="Segoe UI"/>
        </w:rPr>
        <w:t>before the completion of the</w:t>
      </w:r>
      <w:r w:rsidR="001D4C12" w:rsidRPr="7122E37C">
        <w:rPr>
          <w:rFonts w:eastAsia="Segoe UI" w:cs="Segoe UI"/>
        </w:rPr>
        <w:t xml:space="preserve"> </w:t>
      </w:r>
      <w:r w:rsidR="00BD3891" w:rsidRPr="7122E37C">
        <w:rPr>
          <w:rFonts w:eastAsia="Segoe UI" w:cs="Segoe UI"/>
        </w:rPr>
        <w:t>next</w:t>
      </w:r>
      <w:r w:rsidR="00714637" w:rsidRPr="7122E37C">
        <w:rPr>
          <w:rFonts w:eastAsia="Segoe UI" w:cs="Segoe UI"/>
        </w:rPr>
        <w:t xml:space="preserve"> actuarial</w:t>
      </w:r>
      <w:r w:rsidR="001D4C12" w:rsidRPr="7122E37C">
        <w:rPr>
          <w:rFonts w:eastAsia="Segoe UI" w:cs="Segoe UI"/>
        </w:rPr>
        <w:t xml:space="preserve"> valuation of the Fund</w:t>
      </w:r>
      <w:r w:rsidR="00AB3266" w:rsidRPr="7122E37C">
        <w:rPr>
          <w:rFonts w:eastAsia="Segoe UI" w:cs="Segoe UI"/>
        </w:rPr>
        <w:t xml:space="preserve"> unless circumstances suggest an earlier review would be desirable</w:t>
      </w:r>
      <w:r w:rsidR="007A33D2" w:rsidRPr="7122E37C">
        <w:rPr>
          <w:rFonts w:eastAsia="Segoe UI" w:cs="Segoe UI"/>
        </w:rPr>
        <w:t xml:space="preserve"> or required</w:t>
      </w:r>
      <w:r w:rsidR="00AB3266" w:rsidRPr="7122E37C">
        <w:rPr>
          <w:rFonts w:eastAsia="Segoe UI" w:cs="Segoe UI"/>
        </w:rPr>
        <w:t>.</w:t>
      </w:r>
    </w:p>
    <w:p w14:paraId="1CDBDE94" w14:textId="5131AB8F" w:rsidR="00822955" w:rsidRDefault="00727B55" w:rsidP="00822955">
      <w:pPr>
        <w:spacing w:after="200"/>
        <w:rPr>
          <w:rFonts w:eastAsia="Segoe UI" w:cs="Segoe UI"/>
          <w:lang w:val="en-GB"/>
        </w:rPr>
      </w:pPr>
      <w:r>
        <w:rPr>
          <w:rFonts w:eastAsia="Segoe UI" w:cs="Segoe UI"/>
          <w:lang w:val="en-GB"/>
        </w:rPr>
        <w:t>E</w:t>
      </w:r>
      <w:r w:rsidR="00822955" w:rsidRPr="3AEB75FB">
        <w:rPr>
          <w:rFonts w:eastAsia="Segoe UI" w:cs="Segoe UI"/>
          <w:lang w:val="en-GB"/>
        </w:rPr>
        <w:t xml:space="preserve">xamples of when </w:t>
      </w:r>
      <w:r>
        <w:rPr>
          <w:rFonts w:eastAsia="Segoe UI" w:cs="Segoe UI"/>
          <w:lang w:val="en-GB"/>
        </w:rPr>
        <w:t>we</w:t>
      </w:r>
      <w:r w:rsidR="00822955" w:rsidRPr="3AEB75FB">
        <w:rPr>
          <w:rFonts w:eastAsia="Segoe UI" w:cs="Segoe UI"/>
          <w:lang w:val="en-GB"/>
        </w:rPr>
        <w:t xml:space="preserve"> may wish to review the FSS</w:t>
      </w:r>
      <w:r w:rsidR="00822955">
        <w:rPr>
          <w:rFonts w:eastAsia="Segoe UI" w:cs="Segoe UI"/>
          <w:lang w:val="en-GB"/>
        </w:rPr>
        <w:t xml:space="preserve"> </w:t>
      </w:r>
      <w:r>
        <w:rPr>
          <w:rFonts w:eastAsia="Segoe UI" w:cs="Segoe UI"/>
          <w:lang w:val="en-GB"/>
        </w:rPr>
        <w:t>include</w:t>
      </w:r>
      <w:r w:rsidR="00822955">
        <w:rPr>
          <w:rFonts w:eastAsia="Segoe UI" w:cs="Segoe UI"/>
          <w:lang w:val="en-GB"/>
        </w:rPr>
        <w:t>:</w:t>
      </w:r>
    </w:p>
    <w:p w14:paraId="39F69B06" w14:textId="44356A26" w:rsidR="00822955" w:rsidRPr="00211BFF" w:rsidRDefault="00822955" w:rsidP="008539C5">
      <w:pPr>
        <w:pStyle w:val="List"/>
      </w:pPr>
      <w:r w:rsidRPr="3AEB75FB">
        <w:t xml:space="preserve">Material changes to the </w:t>
      </w:r>
      <w:r w:rsidR="007C18C7">
        <w:t>LGPS</w:t>
      </w:r>
      <w:r w:rsidR="007C18C7" w:rsidRPr="3AEB75FB">
        <w:t xml:space="preserve"> </w:t>
      </w:r>
      <w:r w:rsidRPr="3AEB75FB">
        <w:t>benefit structure or regulations</w:t>
      </w:r>
      <w:r w:rsidR="00727B55">
        <w:t>;</w:t>
      </w:r>
    </w:p>
    <w:p w14:paraId="44A6050E" w14:textId="5803C0DF" w:rsidR="00822955" w:rsidRDefault="00822955" w:rsidP="008539C5">
      <w:pPr>
        <w:pStyle w:val="List"/>
      </w:pPr>
      <w:r w:rsidRPr="3AEB75FB">
        <w:t xml:space="preserve">Significant changes to </w:t>
      </w:r>
      <w:r w:rsidR="004E4DB7">
        <w:t>our</w:t>
      </w:r>
      <w:r w:rsidRPr="3AEB75FB">
        <w:t xml:space="preserve"> investment strategy;</w:t>
      </w:r>
    </w:p>
    <w:p w14:paraId="301CB5B1" w14:textId="5036161C" w:rsidR="00822955" w:rsidRDefault="00822955" w:rsidP="008539C5">
      <w:pPr>
        <w:pStyle w:val="List"/>
      </w:pPr>
      <w:r w:rsidRPr="3AEB75FB">
        <w:t xml:space="preserve">Significant changes to </w:t>
      </w:r>
      <w:r w:rsidR="007C18C7">
        <w:t>our</w:t>
      </w:r>
      <w:r w:rsidRPr="3AEB75FB">
        <w:t xml:space="preserve"> membership profile;</w:t>
      </w:r>
    </w:p>
    <w:p w14:paraId="58730557" w14:textId="5B3A2176" w:rsidR="00822955" w:rsidRDefault="00822955" w:rsidP="008539C5">
      <w:pPr>
        <w:pStyle w:val="List"/>
      </w:pPr>
      <w:r>
        <w:t>S</w:t>
      </w:r>
      <w:r w:rsidR="004E4DB7">
        <w:t>uch s</w:t>
      </w:r>
      <w:r>
        <w:t>ignificant changes to the number, type, or individual circumstances of any employers to such a</w:t>
      </w:r>
      <w:r w:rsidR="00D36D54">
        <w:t>n</w:t>
      </w:r>
      <w:r>
        <w:t xml:space="preserve"> extent that they impact on the funding strategy (e.g. exit/restructuring/failure which could materially impact cashflow and/or maturity profile and/or covenant</w:t>
      </w:r>
      <w:r w:rsidR="006B140E">
        <w:t>)</w:t>
      </w:r>
      <w:r>
        <w:t>;</w:t>
      </w:r>
    </w:p>
    <w:p w14:paraId="4FA0C3BB" w14:textId="77777777" w:rsidR="00822955" w:rsidRDefault="00822955" w:rsidP="008539C5">
      <w:pPr>
        <w:pStyle w:val="List"/>
      </w:pPr>
      <w:r w:rsidRPr="3AEB75FB">
        <w:t>A material change in the affordability of contributions and/or employer(s) financial strength which has an impact on the future solvency of the Fund;</w:t>
      </w:r>
    </w:p>
    <w:p w14:paraId="6581B0B4" w14:textId="05063334" w:rsidR="00822955" w:rsidRDefault="00822955" w:rsidP="008539C5">
      <w:pPr>
        <w:pStyle w:val="List"/>
      </w:pPr>
      <w:r w:rsidRPr="3AEB75FB">
        <w:t>Recommendations from MHCLG/</w:t>
      </w:r>
      <w:r w:rsidR="00806187">
        <w:t>Government Actuary’s Department (</w:t>
      </w:r>
      <w:r w:rsidRPr="3AEB75FB">
        <w:t>GAD</w:t>
      </w:r>
      <w:r w:rsidR="00806187">
        <w:t>)</w:t>
      </w:r>
      <w:r w:rsidRPr="3AEB75FB">
        <w:t>; or</w:t>
      </w:r>
    </w:p>
    <w:p w14:paraId="3B64C614" w14:textId="5A29F4AF" w:rsidR="00822955" w:rsidRDefault="00822955" w:rsidP="008539C5">
      <w:pPr>
        <w:pStyle w:val="List"/>
      </w:pPr>
      <w:r w:rsidRPr="3AEB75FB">
        <w:t>On the advice of the Fund Actuary</w:t>
      </w:r>
      <w:r w:rsidR="00F95241">
        <w:t>.</w:t>
      </w:r>
    </w:p>
    <w:p w14:paraId="0A8D1D0C" w14:textId="1FA076CC" w:rsidR="00822955" w:rsidRDefault="007A33D2" w:rsidP="00822955">
      <w:pPr>
        <w:spacing w:after="200"/>
        <w:rPr>
          <w:rFonts w:eastAsia="Segoe UI" w:cs="Segoe UI"/>
          <w:lang w:val="en-GB"/>
        </w:rPr>
      </w:pPr>
      <w:r w:rsidRPr="7122E37C">
        <w:rPr>
          <w:rFonts w:eastAsia="Segoe UI" w:cs="Segoe UI"/>
          <w:lang w:val="en-GB"/>
        </w:rPr>
        <w:t>In a</w:t>
      </w:r>
      <w:r w:rsidR="00822955" w:rsidRPr="7122E37C">
        <w:rPr>
          <w:rFonts w:eastAsia="Segoe UI" w:cs="Segoe UI"/>
          <w:lang w:val="en-GB"/>
        </w:rPr>
        <w:t xml:space="preserve"> review of the FSS</w:t>
      </w:r>
      <w:r w:rsidR="00F41EAD" w:rsidRPr="7122E37C">
        <w:rPr>
          <w:rFonts w:eastAsia="Segoe UI" w:cs="Segoe UI"/>
          <w:lang w:val="en-GB"/>
        </w:rPr>
        <w:t>,</w:t>
      </w:r>
      <w:r w:rsidR="00822955" w:rsidRPr="7122E37C">
        <w:rPr>
          <w:rFonts w:eastAsia="Segoe UI" w:cs="Segoe UI"/>
          <w:lang w:val="en-GB"/>
        </w:rPr>
        <w:t xml:space="preserve"> </w:t>
      </w:r>
      <w:r w:rsidRPr="7122E37C">
        <w:rPr>
          <w:rFonts w:eastAsia="Segoe UI" w:cs="Segoe UI"/>
          <w:lang w:val="en-GB"/>
        </w:rPr>
        <w:t xml:space="preserve">we </w:t>
      </w:r>
      <w:r w:rsidR="00822955" w:rsidRPr="7122E37C">
        <w:rPr>
          <w:rFonts w:eastAsia="Segoe UI" w:cs="Segoe UI"/>
          <w:lang w:val="en-GB"/>
        </w:rPr>
        <w:t>would consider</w:t>
      </w:r>
      <w:r w:rsidR="00E032E3" w:rsidRPr="7122E37C">
        <w:rPr>
          <w:rFonts w:eastAsia="Segoe UI" w:cs="Segoe UI"/>
          <w:lang w:val="en-GB"/>
        </w:rPr>
        <w:t xml:space="preserve"> whether an update to the FSS was required</w:t>
      </w:r>
      <w:r w:rsidR="00577E81" w:rsidRPr="7122E37C">
        <w:rPr>
          <w:rFonts w:eastAsia="Segoe UI" w:cs="Segoe UI"/>
          <w:lang w:val="en-GB"/>
        </w:rPr>
        <w:t xml:space="preserve"> (and consequently whether an update to the ISS was also required)</w:t>
      </w:r>
      <w:r w:rsidR="00F54B84" w:rsidRPr="7122E37C">
        <w:rPr>
          <w:rFonts w:eastAsia="Segoe UI" w:cs="Segoe UI"/>
          <w:lang w:val="en-GB"/>
        </w:rPr>
        <w:t xml:space="preserve">. </w:t>
      </w:r>
      <w:r w:rsidR="00DE41E6" w:rsidRPr="7122E37C">
        <w:rPr>
          <w:rFonts w:eastAsia="Segoe UI" w:cs="Segoe UI"/>
          <w:lang w:val="en-GB"/>
        </w:rPr>
        <w:t>If we felt an update was required, we will consider</w:t>
      </w:r>
      <w:r w:rsidR="00055FAD" w:rsidRPr="7122E37C">
        <w:rPr>
          <w:rFonts w:eastAsia="Segoe UI" w:cs="Segoe UI"/>
          <w:lang w:val="en-GB"/>
        </w:rPr>
        <w:t xml:space="preserve"> communicating with those employers specifically impacted by any changes. </w:t>
      </w:r>
    </w:p>
    <w:p w14:paraId="72CE6DA8" w14:textId="73974906" w:rsidR="00FB18BA" w:rsidRDefault="00B56BC6">
      <w:pPr>
        <w:spacing w:after="200" w:line="276" w:lineRule="auto"/>
        <w:rPr>
          <w:rFonts w:ascii="Segoe UI Semibold" w:eastAsiaTheme="majorEastAsia" w:hAnsi="Segoe UI Semibold"/>
          <w:bCs/>
          <w:color w:val="0069B4"/>
          <w:kern w:val="32"/>
          <w:sz w:val="36"/>
          <w:szCs w:val="32"/>
          <w:lang w:val="en-GB" w:bidi="ar-SA"/>
        </w:rPr>
      </w:pPr>
      <w:r>
        <w:br w:type="page"/>
      </w:r>
    </w:p>
    <w:p w14:paraId="117A2BB2" w14:textId="6630A247" w:rsidR="00483F3D" w:rsidRPr="00BE03C5" w:rsidRDefault="00483F3D" w:rsidP="00483F3D">
      <w:pPr>
        <w:pStyle w:val="Heading1"/>
      </w:pPr>
      <w:bookmarkStart w:id="4" w:name="_Toc222823307"/>
      <w:r>
        <w:lastRenderedPageBreak/>
        <w:t xml:space="preserve">Section </w:t>
      </w:r>
      <w:r w:rsidR="009A6859">
        <w:t>B: Key funding principles</w:t>
      </w:r>
      <w:bookmarkEnd w:id="4"/>
    </w:p>
    <w:p w14:paraId="16EB1060" w14:textId="3C87D175" w:rsidR="00483F3D" w:rsidRPr="00BE03C5" w:rsidRDefault="009A6859" w:rsidP="009D2245">
      <w:pPr>
        <w:pStyle w:val="Heading2"/>
      </w:pPr>
      <w:bookmarkStart w:id="5" w:name="_Ref204544412"/>
      <w:bookmarkStart w:id="6" w:name="_Ref204545464"/>
      <w:bookmarkStart w:id="7" w:name="_Toc222823308"/>
      <w:r>
        <w:t>Funding target</w:t>
      </w:r>
      <w:bookmarkEnd w:id="5"/>
      <w:bookmarkEnd w:id="6"/>
      <w:bookmarkEnd w:id="7"/>
    </w:p>
    <w:p w14:paraId="5E5BADE1" w14:textId="09994012" w:rsidR="00931925" w:rsidRPr="00317DA0" w:rsidRDefault="00C21EFD" w:rsidP="62DD8BBA">
      <w:pPr>
        <w:spacing w:after="200"/>
        <w:rPr>
          <w:rFonts w:eastAsia="Segoe UI" w:cs="Segoe UI"/>
          <w:szCs w:val="20"/>
        </w:rPr>
      </w:pPr>
      <w:r>
        <w:rPr>
          <w:rFonts w:eastAsia="Segoe UI" w:cs="Segoe UI"/>
        </w:rPr>
        <w:t>Employer contribution rates are required by Regulations to be set</w:t>
      </w:r>
      <w:r w:rsidR="002375CA">
        <w:rPr>
          <w:rFonts w:eastAsia="Segoe UI" w:cs="Segoe UI"/>
        </w:rPr>
        <w:t xml:space="preserve"> by an actuarial valuation exercise</w:t>
      </w:r>
      <w:r w:rsidR="0078177C">
        <w:rPr>
          <w:rFonts w:eastAsia="Segoe UI" w:cs="Segoe UI"/>
        </w:rPr>
        <w:t xml:space="preserve"> and securing the solvency and long-term cost efficiency </w:t>
      </w:r>
      <w:r w:rsidR="00E513C4">
        <w:rPr>
          <w:rFonts w:eastAsia="Segoe UI" w:cs="Segoe UI"/>
        </w:rPr>
        <w:t>of our Fund is a regulatory requirement</w:t>
      </w:r>
      <w:r w:rsidR="002375CA">
        <w:rPr>
          <w:rFonts w:eastAsia="Segoe UI" w:cs="Segoe UI"/>
        </w:rPr>
        <w:t>.</w:t>
      </w:r>
      <w:r w:rsidR="00B60BCB">
        <w:rPr>
          <w:rFonts w:eastAsia="Segoe UI" w:cs="Segoe UI"/>
        </w:rPr>
        <w:t xml:space="preserve"> The Regulations also state</w:t>
      </w:r>
      <w:r w:rsidR="00A04934">
        <w:rPr>
          <w:rFonts w:eastAsia="Segoe UI" w:cs="Segoe UI"/>
        </w:rPr>
        <w:t xml:space="preserve"> it is desirable to maintain as nearly constant a </w:t>
      </w:r>
      <w:r w:rsidR="007B09BB">
        <w:rPr>
          <w:rFonts w:eastAsia="Segoe UI" w:cs="Segoe UI"/>
          <w:szCs w:val="20"/>
          <w:lang w:val="en-GB" w:bidi="ar-SA"/>
        </w:rPr>
        <w:fldChar w:fldCharType="begin"/>
      </w:r>
      <w:r w:rsidR="007B09BB">
        <w:rPr>
          <w:rFonts w:eastAsia="Segoe UI" w:cs="Segoe UI"/>
        </w:rPr>
        <w:instrText xml:space="preserve"> REF _Ref204168060 \h </w:instrText>
      </w:r>
      <w:r w:rsidR="007B09BB">
        <w:rPr>
          <w:rFonts w:eastAsia="Segoe UI" w:cs="Segoe UI"/>
          <w:szCs w:val="20"/>
          <w:lang w:val="en-GB" w:bidi="ar-SA"/>
        </w:rPr>
      </w:r>
      <w:r w:rsidR="007B09BB">
        <w:rPr>
          <w:rFonts w:eastAsia="Segoe UI" w:cs="Segoe UI"/>
          <w:szCs w:val="20"/>
          <w:lang w:val="en-GB" w:bidi="ar-SA"/>
        </w:rPr>
        <w:fldChar w:fldCharType="separate"/>
      </w:r>
      <w:r w:rsidR="007B09BB">
        <w:t>Primary rate of employers’ contribution</w:t>
      </w:r>
      <w:r w:rsidR="007B09BB">
        <w:rPr>
          <w:rFonts w:eastAsia="Segoe UI" w:cs="Segoe UI"/>
          <w:szCs w:val="20"/>
          <w:lang w:val="en-GB" w:bidi="ar-SA"/>
        </w:rPr>
        <w:fldChar w:fldCharType="end"/>
      </w:r>
      <w:r w:rsidR="0063538C">
        <w:rPr>
          <w:rFonts w:eastAsia="Segoe UI" w:cs="Segoe UI"/>
        </w:rPr>
        <w:t xml:space="preserve"> </w:t>
      </w:r>
      <w:r w:rsidR="00A04934">
        <w:rPr>
          <w:rFonts w:eastAsia="Segoe UI" w:cs="Segoe UI"/>
        </w:rPr>
        <w:t>as possible</w:t>
      </w:r>
      <w:r w:rsidR="001531CF">
        <w:rPr>
          <w:rFonts w:eastAsia="Segoe UI" w:cs="Segoe UI"/>
        </w:rPr>
        <w:t xml:space="preserve"> and </w:t>
      </w:r>
      <w:r w:rsidR="00B12286">
        <w:rPr>
          <w:rFonts w:eastAsia="Segoe UI" w:cs="Segoe UI"/>
        </w:rPr>
        <w:t xml:space="preserve">the Fund aims to </w:t>
      </w:r>
      <w:r w:rsidR="00ED67BD">
        <w:rPr>
          <w:rFonts w:eastAsia="Segoe UI" w:cs="Segoe UI"/>
        </w:rPr>
        <w:t>achieve this.</w:t>
      </w:r>
      <w:r w:rsidR="002375CA">
        <w:rPr>
          <w:rFonts w:eastAsia="Segoe UI" w:cs="Segoe UI"/>
        </w:rPr>
        <w:t xml:space="preserve"> </w:t>
      </w:r>
      <w:r w:rsidR="00997601">
        <w:rPr>
          <w:rFonts w:eastAsia="Segoe UI" w:cs="Segoe UI"/>
        </w:rPr>
        <w:t xml:space="preserve">A </w:t>
      </w:r>
      <w:r w:rsidR="6595ADDA" w:rsidRPr="62DD8BBA">
        <w:rPr>
          <w:rFonts w:eastAsia="Segoe UI" w:cs="Segoe UI"/>
        </w:rPr>
        <w:t xml:space="preserve">key </w:t>
      </w:r>
      <w:r w:rsidR="00E513C4">
        <w:rPr>
          <w:rFonts w:eastAsia="Segoe UI" w:cs="Segoe UI"/>
        </w:rPr>
        <w:t xml:space="preserve">principle </w:t>
      </w:r>
      <w:r w:rsidR="6595ADDA" w:rsidRPr="62DD8BBA">
        <w:rPr>
          <w:rFonts w:eastAsia="Segoe UI" w:cs="Segoe UI"/>
        </w:rPr>
        <w:t>in determining employer contribution rates is to establish a funding target</w:t>
      </w:r>
      <w:r w:rsidR="00FD50A5">
        <w:rPr>
          <w:rFonts w:eastAsia="Segoe UI" w:cs="Segoe UI"/>
        </w:rPr>
        <w:t>, with</w:t>
      </w:r>
      <w:r w:rsidR="6595ADDA" w:rsidRPr="62DD8BBA">
        <w:rPr>
          <w:rFonts w:eastAsia="Segoe UI" w:cs="Segoe UI"/>
        </w:rPr>
        <w:t xml:space="preserve"> employer contribution rates</w:t>
      </w:r>
      <w:r w:rsidR="00FD50A5">
        <w:rPr>
          <w:rFonts w:eastAsia="Segoe UI" w:cs="Segoe UI"/>
        </w:rPr>
        <w:t xml:space="preserve"> then set</w:t>
      </w:r>
      <w:r w:rsidR="6595ADDA" w:rsidRPr="62DD8BBA">
        <w:rPr>
          <w:rFonts w:eastAsia="Segoe UI" w:cs="Segoe UI"/>
        </w:rPr>
        <w:t xml:space="preserve"> to meet that target over an agreed period.</w:t>
      </w:r>
      <w:r w:rsidR="000F52FF">
        <w:rPr>
          <w:rFonts w:eastAsia="Segoe UI" w:cs="Segoe UI"/>
        </w:rPr>
        <w:t xml:space="preserve"> </w:t>
      </w:r>
    </w:p>
    <w:p w14:paraId="3974EECC" w14:textId="7DDC2594" w:rsidR="00981EB1" w:rsidRPr="00F2122E" w:rsidRDefault="00981EB1" w:rsidP="00981EB1">
      <w:pPr>
        <w:pStyle w:val="BodyText"/>
      </w:pPr>
      <w:r w:rsidRPr="00F2122E">
        <w:t xml:space="preserve">The past service funding level (often referred to as simply the funding level) is the ratio of assets to liabilities in respect of </w:t>
      </w:r>
      <w:r>
        <w:t xml:space="preserve">accrued </w:t>
      </w:r>
      <w:r w:rsidRPr="00F2122E">
        <w:t>past service.</w:t>
      </w:r>
    </w:p>
    <w:p w14:paraId="76249004" w14:textId="5370E466" w:rsidR="007B28CC" w:rsidRDefault="007B28CC" w:rsidP="00F2122E">
      <w:pPr>
        <w:pStyle w:val="BodyText"/>
        <w:rPr>
          <w:rFonts w:cs="Segoe UI"/>
        </w:rPr>
      </w:pPr>
      <w:r>
        <w:t xml:space="preserve">We define the funding target as having </w:t>
      </w:r>
      <w:r w:rsidR="000F3822">
        <w:t xml:space="preserve">at least </w:t>
      </w:r>
      <w:r>
        <w:t>sufficient assets in the Fund to meet the</w:t>
      </w:r>
      <w:r w:rsidR="1C04285C">
        <w:t xml:space="preserve"> accrued past service</w:t>
      </w:r>
      <w:r>
        <w:t xml:space="preserve"> liabilities</w:t>
      </w:r>
      <w:r w:rsidR="002D457A">
        <w:t xml:space="preserve"> (i.e. a funding level of 100%)</w:t>
      </w:r>
      <w:r>
        <w:t xml:space="preserve">. We </w:t>
      </w:r>
      <w:r w:rsidR="003F3BF8">
        <w:t xml:space="preserve">may </w:t>
      </w:r>
      <w:r>
        <w:t>set different funding targets for different employers or groups (pools) of employers in the Fund</w:t>
      </w:r>
      <w:r w:rsidRPr="3CA178B6">
        <w:rPr>
          <w:rFonts w:cs="Segoe UI"/>
        </w:rPr>
        <w:t>.</w:t>
      </w:r>
      <w:r w:rsidR="009A228C">
        <w:rPr>
          <w:rFonts w:cs="Segoe UI"/>
        </w:rPr>
        <w:t xml:space="preserve"> </w:t>
      </w:r>
    </w:p>
    <w:p w14:paraId="7B02AC3E" w14:textId="06564FAA" w:rsidR="006B2133" w:rsidRDefault="001D2528" w:rsidP="007B28CC">
      <w:pPr>
        <w:pStyle w:val="BodyText"/>
        <w:rPr>
          <w:rFonts w:eastAsia="Segoe UI" w:cs="Segoe UI"/>
        </w:rPr>
      </w:pPr>
      <w:r w:rsidRPr="62DD8BBA">
        <w:rPr>
          <w:rFonts w:eastAsia="Segoe UI" w:cs="Segoe UI"/>
        </w:rPr>
        <w:t xml:space="preserve">The </w:t>
      </w:r>
      <w:r w:rsidR="00917A00">
        <w:rPr>
          <w:rFonts w:eastAsia="Segoe UI" w:cs="Segoe UI"/>
        </w:rPr>
        <w:t xml:space="preserve">Fund </w:t>
      </w:r>
      <w:r w:rsidR="00BA4093">
        <w:rPr>
          <w:rFonts w:eastAsia="Segoe UI" w:cs="Segoe UI"/>
        </w:rPr>
        <w:t>Actuary can then assess how the value of the assets held by the Fund compares to the funding target</w:t>
      </w:r>
      <w:r w:rsidR="00FD50A5">
        <w:rPr>
          <w:rFonts w:eastAsia="Segoe UI" w:cs="Segoe UI"/>
        </w:rPr>
        <w:t xml:space="preserve"> and calculate the past service funding level</w:t>
      </w:r>
      <w:r w:rsidR="00BA4093">
        <w:rPr>
          <w:rFonts w:eastAsia="Segoe UI" w:cs="Segoe UI"/>
        </w:rPr>
        <w:t xml:space="preserve">. </w:t>
      </w:r>
    </w:p>
    <w:p w14:paraId="5DE87382" w14:textId="604C0216" w:rsidR="00E43D8D" w:rsidRDefault="00E43D8D" w:rsidP="00F2122E">
      <w:pPr>
        <w:pStyle w:val="BodyText"/>
      </w:pPr>
      <w:r>
        <w:t>We have many different employers in our Fund and our strategy seeks to strike the right balance between affordable, stable contributions whilst also recogni</w:t>
      </w:r>
      <w:r w:rsidR="002C09DA">
        <w:t>s</w:t>
      </w:r>
      <w:r>
        <w:t xml:space="preserve">ing that failure of an employer </w:t>
      </w:r>
      <w:r w:rsidR="002C09DA">
        <w:t xml:space="preserve">to pay contributions, </w:t>
      </w:r>
      <w:r>
        <w:t xml:space="preserve">can lead to financial consequences for other employers. </w:t>
      </w:r>
      <w:r w:rsidR="000A4038">
        <w:t xml:space="preserve">More information on the funding target for different employers </w:t>
      </w:r>
      <w:r w:rsidR="000A4038">
        <w:rPr>
          <w:rFonts w:cs="Segoe UI"/>
        </w:rPr>
        <w:t xml:space="preserve">is set out in the </w:t>
      </w:r>
      <w:r w:rsidR="000A4038">
        <w:rPr>
          <w:rFonts w:cs="Segoe UI"/>
        </w:rPr>
        <w:fldChar w:fldCharType="begin"/>
      </w:r>
      <w:r w:rsidR="000A4038">
        <w:rPr>
          <w:rFonts w:cs="Segoe UI"/>
        </w:rPr>
        <w:instrText xml:space="preserve"> REF _Ref204168845 \h </w:instrText>
      </w:r>
      <w:r w:rsidR="000A4038">
        <w:rPr>
          <w:rFonts w:cs="Segoe UI"/>
        </w:rPr>
      </w:r>
      <w:r w:rsidR="000A4038">
        <w:rPr>
          <w:rFonts w:cs="Segoe UI"/>
        </w:rPr>
        <w:fldChar w:fldCharType="separate"/>
      </w:r>
      <w:r w:rsidR="000A4038">
        <w:t xml:space="preserve">Summary of </w:t>
      </w:r>
      <w:r w:rsidR="000A4038" w:rsidRPr="00BF1746">
        <w:t>funding approach</w:t>
      </w:r>
      <w:r w:rsidR="000A4038">
        <w:rPr>
          <w:rFonts w:cs="Segoe UI"/>
        </w:rPr>
        <w:fldChar w:fldCharType="end"/>
      </w:r>
      <w:r w:rsidR="000A4038">
        <w:rPr>
          <w:rFonts w:cs="Segoe UI"/>
        </w:rPr>
        <w:t xml:space="preserve"> table.</w:t>
      </w:r>
    </w:p>
    <w:p w14:paraId="328A8B73" w14:textId="77777777" w:rsidR="00FD50A5" w:rsidRDefault="00FD50A5" w:rsidP="00B9734D">
      <w:pPr>
        <w:pStyle w:val="Sub-heading"/>
      </w:pPr>
      <w:r>
        <w:t>How we set employer funding targets</w:t>
      </w:r>
    </w:p>
    <w:p w14:paraId="6275AE00" w14:textId="44DEE329" w:rsidR="00BA79B6" w:rsidRDefault="00FD50A5" w:rsidP="00F2122E">
      <w:pPr>
        <w:pStyle w:val="BodyText"/>
      </w:pPr>
      <w:r>
        <w:t>M</w:t>
      </w:r>
      <w:r w:rsidR="00776E2E">
        <w:t xml:space="preserve">embers’ benefits are </w:t>
      </w:r>
      <w:r>
        <w:t>payable many years into the future and positive investment returns can help make the benefits more affordable for employers</w:t>
      </w:r>
      <w:r w:rsidR="00A3739C">
        <w:t xml:space="preserve">. </w:t>
      </w:r>
      <w:r w:rsidR="00CC4055">
        <w:t xml:space="preserve">Investment returns are not guaranteed </w:t>
      </w:r>
      <w:r>
        <w:t xml:space="preserve">or </w:t>
      </w:r>
      <w:r w:rsidR="00CC4055">
        <w:t>known in advance so t</w:t>
      </w:r>
      <w:r w:rsidR="006B520D">
        <w:t xml:space="preserve">he assumed future rate of investment return (also known as the discount rate) is </w:t>
      </w:r>
      <w:r>
        <w:t xml:space="preserve">the </w:t>
      </w:r>
      <w:r w:rsidR="006B520D">
        <w:t>key assumption</w:t>
      </w:r>
      <w:r w:rsidR="00E312E3">
        <w:t xml:space="preserve"> the </w:t>
      </w:r>
      <w:r w:rsidR="000137B4">
        <w:t xml:space="preserve">Fund </w:t>
      </w:r>
      <w:r w:rsidR="00E312E3">
        <w:t>Actuary make</w:t>
      </w:r>
      <w:r>
        <w:t>s in calculating the liabilities</w:t>
      </w:r>
      <w:r w:rsidR="006B520D">
        <w:t xml:space="preserve">. </w:t>
      </w:r>
      <w:r w:rsidR="00EE128B">
        <w:t>In general:</w:t>
      </w:r>
    </w:p>
    <w:p w14:paraId="5419BABB" w14:textId="167FF6C5" w:rsidR="0032660B" w:rsidRDefault="00A3739C" w:rsidP="00BA79B6">
      <w:pPr>
        <w:pStyle w:val="List"/>
      </w:pPr>
      <w:r>
        <w:t xml:space="preserve">the lower the investment return over a time period the higher the </w:t>
      </w:r>
      <w:r w:rsidR="00BA79B6">
        <w:t xml:space="preserve">required </w:t>
      </w:r>
      <w:r>
        <w:t>contributions to the Fund over that time period and vice versa</w:t>
      </w:r>
      <w:r w:rsidR="00EB7DEC">
        <w:t>;</w:t>
      </w:r>
    </w:p>
    <w:p w14:paraId="05E82808" w14:textId="761EA4C7" w:rsidR="00630955" w:rsidRDefault="003823B0" w:rsidP="00BA79B6">
      <w:pPr>
        <w:pStyle w:val="List"/>
      </w:pPr>
      <w:r>
        <w:t xml:space="preserve">the higher the assessed risk an employer </w:t>
      </w:r>
      <w:r w:rsidR="00EB7DEC">
        <w:t>(</w:t>
      </w:r>
      <w:r>
        <w:t>or group of employers</w:t>
      </w:r>
      <w:r w:rsidR="00EB7DEC">
        <w:t>)</w:t>
      </w:r>
      <w:r>
        <w:t xml:space="preserve"> may cease to exist in future and be unable to meet </w:t>
      </w:r>
      <w:r w:rsidR="003765B4">
        <w:t xml:space="preserve">their </w:t>
      </w:r>
      <w:r>
        <w:t>obligations to the Fund</w:t>
      </w:r>
      <w:r w:rsidR="00494DCA">
        <w:t>,</w:t>
      </w:r>
      <w:r>
        <w:t xml:space="preserve"> </w:t>
      </w:r>
      <w:r w:rsidR="00E60476">
        <w:t xml:space="preserve">the lower the assumed rate of future investment return </w:t>
      </w:r>
      <w:r w:rsidR="00494DCA">
        <w:t xml:space="preserve">may </w:t>
      </w:r>
      <w:r w:rsidR="00E60476">
        <w:t>be</w:t>
      </w:r>
      <w:r w:rsidR="003F3843">
        <w:t>, whilst recognising this must be balanced with affordability considerations</w:t>
      </w:r>
      <w:r w:rsidR="00494DCA">
        <w:t>; and</w:t>
      </w:r>
    </w:p>
    <w:p w14:paraId="0439821C" w14:textId="57FE1CEF" w:rsidR="00A3739C" w:rsidRDefault="00630955" w:rsidP="00B9734D">
      <w:pPr>
        <w:pStyle w:val="List"/>
      </w:pPr>
      <w:r>
        <w:t>t</w:t>
      </w:r>
      <w:r w:rsidR="00A3739C">
        <w:t xml:space="preserve">he time period over which it is appropriate to consider the contributions and investment return </w:t>
      </w:r>
      <w:r>
        <w:t>may</w:t>
      </w:r>
      <w:r w:rsidR="00A3739C">
        <w:t xml:space="preserve"> vary depending on the </w:t>
      </w:r>
      <w:r w:rsidR="008538B3">
        <w:t xml:space="preserve">circumstances </w:t>
      </w:r>
      <w:r w:rsidR="00A3739C">
        <w:t xml:space="preserve">of </w:t>
      </w:r>
      <w:r w:rsidR="008538B3">
        <w:t>an</w:t>
      </w:r>
      <w:r w:rsidR="00A3739C">
        <w:t xml:space="preserve"> employer</w:t>
      </w:r>
      <w:r w:rsidR="008538B3">
        <w:t xml:space="preserve"> </w:t>
      </w:r>
      <w:r w:rsidR="00B91698">
        <w:t>(</w:t>
      </w:r>
      <w:r w:rsidR="008538B3">
        <w:t>or group of employers</w:t>
      </w:r>
      <w:r w:rsidR="00B91698">
        <w:t>)</w:t>
      </w:r>
      <w:r w:rsidR="00A3739C">
        <w:t>.</w:t>
      </w:r>
      <w:r w:rsidR="00A3739C" w:rsidRPr="00835F88">
        <w:t xml:space="preserve"> </w:t>
      </w:r>
    </w:p>
    <w:p w14:paraId="3F8DD47E" w14:textId="77777777" w:rsidR="00E306E5" w:rsidRDefault="00E306E5">
      <w:pPr>
        <w:spacing w:after="200" w:line="276" w:lineRule="auto"/>
        <w:rPr>
          <w:rFonts w:eastAsia="Segoe UI" w:cs="Segoe UI"/>
        </w:rPr>
      </w:pPr>
      <w:r>
        <w:rPr>
          <w:rFonts w:eastAsia="Segoe UI" w:cs="Segoe UI"/>
        </w:rPr>
        <w:br w:type="page"/>
      </w:r>
    </w:p>
    <w:p w14:paraId="4BFA3EBE" w14:textId="2FA7484F" w:rsidR="00FE74C0" w:rsidRDefault="00FD50A5" w:rsidP="73138C69">
      <w:pPr>
        <w:rPr>
          <w:rFonts w:eastAsia="Segoe UI" w:cs="Segoe UI"/>
        </w:rPr>
      </w:pPr>
      <w:r w:rsidRPr="7122E37C">
        <w:rPr>
          <w:rFonts w:eastAsia="Segoe UI" w:cs="Segoe UI"/>
        </w:rPr>
        <w:lastRenderedPageBreak/>
        <w:t xml:space="preserve">There are broadly </w:t>
      </w:r>
      <w:r w:rsidR="00186C79" w:rsidRPr="7122E37C">
        <w:rPr>
          <w:rFonts w:eastAsia="Segoe UI" w:cs="Segoe UI"/>
        </w:rPr>
        <w:t>three</w:t>
      </w:r>
      <w:r w:rsidRPr="7122E37C">
        <w:rPr>
          <w:rFonts w:eastAsia="Segoe UI" w:cs="Segoe UI"/>
        </w:rPr>
        <w:t xml:space="preserve"> </w:t>
      </w:r>
      <w:r w:rsidR="004271B6" w:rsidRPr="7122E37C">
        <w:rPr>
          <w:rFonts w:eastAsia="Segoe UI" w:cs="Segoe UI"/>
        </w:rPr>
        <w:t xml:space="preserve">categories </w:t>
      </w:r>
      <w:r w:rsidR="003F3843" w:rsidRPr="7122E37C">
        <w:rPr>
          <w:rFonts w:eastAsia="Segoe UI" w:cs="Segoe UI"/>
        </w:rPr>
        <w:t xml:space="preserve">of employer </w:t>
      </w:r>
      <w:r w:rsidR="00FE74C0" w:rsidRPr="7122E37C">
        <w:rPr>
          <w:rFonts w:eastAsia="Segoe UI" w:cs="Segoe UI"/>
        </w:rPr>
        <w:t>according to the Regulations:</w:t>
      </w:r>
    </w:p>
    <w:p w14:paraId="53CC8808" w14:textId="77777777" w:rsidR="00DE67FD" w:rsidRDefault="00DE67FD">
      <w:pPr>
        <w:rPr>
          <w:rFonts w:eastAsia="Segoe UI" w:cs="Segoe UI"/>
          <w:szCs w:val="20"/>
        </w:rPr>
      </w:pPr>
    </w:p>
    <w:p w14:paraId="04F04D10" w14:textId="7BB5E86A" w:rsidR="00914ED5" w:rsidRDefault="00914ED5" w:rsidP="00FE74C0">
      <w:pPr>
        <w:pStyle w:val="List"/>
      </w:pPr>
      <w:r>
        <w:t xml:space="preserve">Schedule 2 </w:t>
      </w:r>
      <w:r w:rsidR="00490B5D">
        <w:t xml:space="preserve">Part 1 </w:t>
      </w:r>
      <w:r>
        <w:t xml:space="preserve">(“Scheduled”) </w:t>
      </w:r>
      <w:r w:rsidR="00134133">
        <w:t xml:space="preserve">bodies </w:t>
      </w:r>
      <w:r>
        <w:t xml:space="preserve">which </w:t>
      </w:r>
      <w:r w:rsidR="006D0C6B">
        <w:t xml:space="preserve">must </w:t>
      </w:r>
      <w:r w:rsidR="00490B5D">
        <w:t xml:space="preserve">admit </w:t>
      </w:r>
      <w:r w:rsidR="006D0C6B">
        <w:t>eligible employees</w:t>
      </w:r>
      <w:r w:rsidR="00EA07B3">
        <w:t xml:space="preserve"> to the LGPS</w:t>
      </w:r>
      <w:r w:rsidR="009D1199">
        <w:t xml:space="preserve"> (</w:t>
      </w:r>
      <w:r w:rsidR="00DD662C">
        <w:t>for example</w:t>
      </w:r>
      <w:r w:rsidR="009D1199">
        <w:t xml:space="preserve"> </w:t>
      </w:r>
      <w:r w:rsidR="00F0250D">
        <w:t xml:space="preserve">County and District councils, </w:t>
      </w:r>
      <w:r w:rsidR="00A85AE2">
        <w:t xml:space="preserve">police and fire bodies and </w:t>
      </w:r>
      <w:r w:rsidR="00F0250D">
        <w:t>academies</w:t>
      </w:r>
      <w:r w:rsidR="00A85AE2">
        <w:t>)</w:t>
      </w:r>
      <w:r>
        <w:t>;</w:t>
      </w:r>
    </w:p>
    <w:p w14:paraId="0F60A087" w14:textId="5E3987DC" w:rsidR="00914ED5" w:rsidRDefault="00914ED5" w:rsidP="00FE74C0">
      <w:pPr>
        <w:pStyle w:val="List"/>
      </w:pPr>
      <w:r>
        <w:t>Schedule 2 Part 2 (“</w:t>
      </w:r>
      <w:r w:rsidR="00E6104F">
        <w:t>Resolution</w:t>
      </w:r>
      <w:r>
        <w:t>”)</w:t>
      </w:r>
      <w:r w:rsidR="00E6104F">
        <w:t xml:space="preserve"> bodies </w:t>
      </w:r>
      <w:r>
        <w:t xml:space="preserve">which </w:t>
      </w:r>
      <w:r w:rsidR="005D3AA0">
        <w:t xml:space="preserve">designate </w:t>
      </w:r>
      <w:r w:rsidR="00DD289D">
        <w:t xml:space="preserve">employees </w:t>
      </w:r>
      <w:r w:rsidR="005D3AA0">
        <w:t xml:space="preserve">or posts </w:t>
      </w:r>
      <w:r w:rsidR="005A4ED2">
        <w:t>a</w:t>
      </w:r>
      <w:r w:rsidR="005D3AA0">
        <w:t xml:space="preserve">s being eligible </w:t>
      </w:r>
      <w:r w:rsidR="005A4ED2">
        <w:t>to join the LGPS</w:t>
      </w:r>
      <w:r w:rsidR="00A85AE2">
        <w:t xml:space="preserve"> (</w:t>
      </w:r>
      <w:r w:rsidR="00DD662C">
        <w:t>for example</w:t>
      </w:r>
      <w:r w:rsidR="00A85AE2">
        <w:t xml:space="preserve"> town and parish councils);</w:t>
      </w:r>
    </w:p>
    <w:p w14:paraId="4119759E" w14:textId="4632C97E" w:rsidR="00E306E5" w:rsidRDefault="00AE75EB" w:rsidP="00E306E5">
      <w:pPr>
        <w:pStyle w:val="List"/>
      </w:pPr>
      <w:r>
        <w:t>Schedule 2 Part 3 (“</w:t>
      </w:r>
      <w:r w:rsidR="00F4058F">
        <w:t>Admission</w:t>
      </w:r>
      <w:r>
        <w:t>”)</w:t>
      </w:r>
      <w:r w:rsidR="00F4058F">
        <w:t xml:space="preserve"> Bod</w:t>
      </w:r>
      <w:r w:rsidR="00D84EC1">
        <w:t>ies</w:t>
      </w:r>
      <w:r>
        <w:t xml:space="preserve"> </w:t>
      </w:r>
      <w:r w:rsidR="00301D16">
        <w:t xml:space="preserve">which </w:t>
      </w:r>
      <w:r w:rsidR="00E306E5">
        <w:tab/>
      </w:r>
    </w:p>
    <w:p w14:paraId="7731B3EF" w14:textId="71ECE5F6" w:rsidR="00E306E5" w:rsidRPr="00CB0183" w:rsidRDefault="00EB1602" w:rsidP="00E306E5">
      <w:pPr>
        <w:pStyle w:val="List"/>
        <w:ind w:left="1071" w:hanging="357"/>
      </w:pPr>
      <w:r>
        <w:t>p</w:t>
      </w:r>
      <w:r w:rsidR="00E306E5">
        <w:t>articipate by virtue of paragraph 1(d)</w:t>
      </w:r>
      <w:r w:rsidR="00E306E5">
        <w:rPr>
          <w:rStyle w:val="FootnoteReference"/>
          <w:rFonts w:eastAsia="Segoe UI" w:cs="Segoe UI"/>
        </w:rPr>
        <w:footnoteReference w:id="2"/>
      </w:r>
      <w:r w:rsidR="00E306E5">
        <w:t xml:space="preserve"> (generally where a service has been outsourced to a private sector contractor) – “Transferee Admission Bodies” and</w:t>
      </w:r>
    </w:p>
    <w:p w14:paraId="03F2D830" w14:textId="73CA6F71" w:rsidR="008D2803" w:rsidRPr="00CB0183" w:rsidRDefault="00E80F63" w:rsidP="00CB0183">
      <w:pPr>
        <w:pStyle w:val="List"/>
        <w:ind w:left="1071" w:hanging="357"/>
      </w:pPr>
      <w:r>
        <w:t xml:space="preserve">meet the criteria </w:t>
      </w:r>
      <w:r w:rsidR="00E036A1">
        <w:t xml:space="preserve">in paragraphs 1(a) to (c) </w:t>
      </w:r>
      <w:r w:rsidR="00124C3C">
        <w:t>or</w:t>
      </w:r>
      <w:r w:rsidR="00E036A1">
        <w:t xml:space="preserve"> 1(e) are typically referred to as Community Admission Bodies (CABs)</w:t>
      </w:r>
      <w:r w:rsidR="00DD662C">
        <w:t xml:space="preserve"> (for example</w:t>
      </w:r>
      <w:r w:rsidR="0057704A">
        <w:t xml:space="preserve"> Charities and Housing associations)</w:t>
      </w:r>
      <w:r w:rsidR="00C12CB4">
        <w:t xml:space="preserve">. </w:t>
      </w:r>
    </w:p>
    <w:p w14:paraId="0C9118C3" w14:textId="34360524" w:rsidR="00442EC3" w:rsidRDefault="00CD323D" w:rsidP="00F2122E">
      <w:pPr>
        <w:pStyle w:val="BodyText"/>
      </w:pPr>
      <w:r>
        <w:t xml:space="preserve">We aim to be fair and consistent across our </w:t>
      </w:r>
      <w:r w:rsidR="00A356CE">
        <w:t xml:space="preserve">employers, so </w:t>
      </w:r>
      <w:r w:rsidR="00413E73">
        <w:t xml:space="preserve">for </w:t>
      </w:r>
      <w:r w:rsidR="00DD2012">
        <w:t xml:space="preserve">all employers within a </w:t>
      </w:r>
      <w:r w:rsidR="00C60828">
        <w:t>category</w:t>
      </w:r>
      <w:r w:rsidR="00440B31">
        <w:t>,</w:t>
      </w:r>
      <w:r w:rsidR="00413E73">
        <w:t xml:space="preserve"> </w:t>
      </w:r>
      <w:r w:rsidR="00F22DD9">
        <w:t>unless justified by a covenant assessment</w:t>
      </w:r>
      <w:r w:rsidR="00294C71">
        <w:t xml:space="preserve"> or agreed</w:t>
      </w:r>
      <w:r w:rsidR="00A744B3">
        <w:t xml:space="preserve"> </w:t>
      </w:r>
      <w:r w:rsidR="00246351">
        <w:t>with the Fund Actuary</w:t>
      </w:r>
      <w:r w:rsidR="00F22DD9">
        <w:t xml:space="preserve">, </w:t>
      </w:r>
      <w:r w:rsidR="00413E73">
        <w:t>we will</w:t>
      </w:r>
      <w:r w:rsidR="00442EC3">
        <w:t>:</w:t>
      </w:r>
    </w:p>
    <w:p w14:paraId="1D1AD645" w14:textId="047117BA" w:rsidR="00442EC3" w:rsidRDefault="00413E73" w:rsidP="00294C71">
      <w:pPr>
        <w:pStyle w:val="List"/>
      </w:pPr>
      <w:r>
        <w:t>adopt</w:t>
      </w:r>
      <w:r w:rsidR="00DD2012">
        <w:t xml:space="preserve"> the same </w:t>
      </w:r>
      <w:r w:rsidR="00B44A44">
        <w:t>maximum period</w:t>
      </w:r>
      <w:r w:rsidR="00933E32">
        <w:t>s</w:t>
      </w:r>
      <w:r w:rsidR="00B44A44">
        <w:t xml:space="preserve"> to recover any deficit</w:t>
      </w:r>
      <w:r w:rsidR="00B0193B">
        <w:t xml:space="preserve"> or surplus</w:t>
      </w:r>
      <w:r w:rsidR="00440B31">
        <w:t>;</w:t>
      </w:r>
    </w:p>
    <w:p w14:paraId="56B79482" w14:textId="70EF37EB" w:rsidR="00927BF3" w:rsidRPr="00211BFF" w:rsidRDefault="00413E73" w:rsidP="00294C71">
      <w:pPr>
        <w:pStyle w:val="List"/>
      </w:pPr>
      <w:r>
        <w:t>apply</w:t>
      </w:r>
      <w:r w:rsidR="00CF2882">
        <w:t xml:space="preserve"> the same </w:t>
      </w:r>
      <w:r w:rsidR="00927BF3">
        <w:t>minimum employer contribution rate</w:t>
      </w:r>
      <w:r w:rsidR="00440B31">
        <w:t>;</w:t>
      </w:r>
    </w:p>
    <w:p w14:paraId="4E1B83B8" w14:textId="4945930F" w:rsidR="00442EC3" w:rsidRDefault="001D110E" w:rsidP="00294C71">
      <w:pPr>
        <w:pStyle w:val="List"/>
      </w:pPr>
      <w:r w:rsidRPr="00211BFF">
        <w:t xml:space="preserve">use the same </w:t>
      </w:r>
      <w:r w:rsidR="00442EC3" w:rsidRPr="00211BFF">
        <w:t xml:space="preserve">funding basis to set the employer contributions for the </w:t>
      </w:r>
      <w:r w:rsidR="00D4545F">
        <w:t>actuarial</w:t>
      </w:r>
      <w:r w:rsidR="00D4545F" w:rsidRPr="00211BFF">
        <w:t xml:space="preserve"> </w:t>
      </w:r>
      <w:r w:rsidR="00442EC3" w:rsidRPr="00211BFF">
        <w:t>valuation</w:t>
      </w:r>
      <w:r w:rsidR="00440B31">
        <w:t>;</w:t>
      </w:r>
    </w:p>
    <w:p w14:paraId="1A83C5B5" w14:textId="4309C282" w:rsidR="00736E25" w:rsidRDefault="00442EC3" w:rsidP="00294C71">
      <w:pPr>
        <w:pStyle w:val="List"/>
      </w:pPr>
      <w:r w:rsidRPr="00211BFF">
        <w:t xml:space="preserve">use the </w:t>
      </w:r>
      <w:r w:rsidRPr="5564DED6">
        <w:t>same cessation basis</w:t>
      </w:r>
      <w:r w:rsidR="00025222" w:rsidRPr="5564DED6">
        <w:t xml:space="preserve"> in the event of an employer exit</w:t>
      </w:r>
      <w:r w:rsidR="00440B31">
        <w:t>;</w:t>
      </w:r>
    </w:p>
    <w:p w14:paraId="1334D7D1" w14:textId="26C58422" w:rsidR="00FD62AB" w:rsidRPr="00F258D0" w:rsidRDefault="002D71E2" w:rsidP="00294C71">
      <w:pPr>
        <w:pStyle w:val="List"/>
      </w:pPr>
      <w:r>
        <w:t>apply</w:t>
      </w:r>
      <w:r w:rsidR="00CC6E7E">
        <w:t xml:space="preserve"> the same maximum terms for any deferred debt </w:t>
      </w:r>
      <w:r w:rsidR="00A33553">
        <w:t>agreement</w:t>
      </w:r>
      <w:r w:rsidR="007477E7">
        <w:t xml:space="preserve"> </w:t>
      </w:r>
      <w:r w:rsidR="00CC6E7E">
        <w:t xml:space="preserve">and debt spreading </w:t>
      </w:r>
      <w:r w:rsidR="00A33553">
        <w:t>arrangement</w:t>
      </w:r>
      <w:r w:rsidR="00B41F17">
        <w:t>s.</w:t>
      </w:r>
    </w:p>
    <w:p w14:paraId="25755BC9" w14:textId="5388B35A" w:rsidR="00BC28D7" w:rsidRPr="00B6045B" w:rsidRDefault="00BC28D7" w:rsidP="00AA2131">
      <w:pPr>
        <w:pStyle w:val="BodyText"/>
      </w:pPr>
    </w:p>
    <w:p w14:paraId="6E96DF76" w14:textId="55A71E5F" w:rsidR="008842DF" w:rsidRDefault="008842DF">
      <w:pPr>
        <w:spacing w:after="200" w:line="276" w:lineRule="auto"/>
        <w:rPr>
          <w:lang w:val="en-GB" w:bidi="ar-SA"/>
        </w:rPr>
      </w:pPr>
    </w:p>
    <w:p w14:paraId="18A2936B" w14:textId="77777777" w:rsidR="00A97B27" w:rsidRDefault="00A97B27">
      <w:pPr>
        <w:spacing w:after="200" w:line="276" w:lineRule="auto"/>
        <w:rPr>
          <w:lang w:val="en-GB" w:bidi="ar-SA"/>
        </w:rPr>
        <w:sectPr w:rsidR="00A97B27" w:rsidSect="00965216">
          <w:footerReference w:type="default" r:id="rId18"/>
          <w:pgSz w:w="11906" w:h="16838"/>
          <w:pgMar w:top="2268" w:right="1020" w:bottom="1440" w:left="1020" w:header="708" w:footer="708" w:gutter="0"/>
          <w:cols w:space="708"/>
          <w:docGrid w:linePitch="360"/>
        </w:sectPr>
      </w:pPr>
    </w:p>
    <w:p w14:paraId="20227154" w14:textId="6148EC3E" w:rsidR="0076257D" w:rsidRDefault="00BF1746" w:rsidP="003912EA">
      <w:pPr>
        <w:pStyle w:val="Heading3"/>
      </w:pPr>
      <w:bookmarkStart w:id="8" w:name="_Summary_of_funding"/>
      <w:bookmarkStart w:id="9" w:name="_Ref204168845"/>
      <w:bookmarkEnd w:id="8"/>
      <w:r>
        <w:lastRenderedPageBreak/>
        <w:t xml:space="preserve">Summary of </w:t>
      </w:r>
      <w:r w:rsidRPr="00BF1746">
        <w:t>funding approach</w:t>
      </w:r>
      <w:bookmarkEnd w:id="9"/>
      <w:r w:rsidRPr="00BF1746">
        <w:t xml:space="preserve"> </w:t>
      </w:r>
    </w:p>
    <w:p w14:paraId="2676D8AA" w14:textId="712A3DA9" w:rsidR="00A93E34" w:rsidRDefault="00A93E34" w:rsidP="00A93E34">
      <w:pPr>
        <w:pStyle w:val="NoSpacing"/>
      </w:pPr>
      <w:r w:rsidRPr="00C71BC3">
        <w:t xml:space="preserve">Below we have </w:t>
      </w:r>
      <w:r w:rsidR="005F0C2E">
        <w:t>summarise</w:t>
      </w:r>
      <w:r w:rsidR="00F01597">
        <w:t>d</w:t>
      </w:r>
      <w:r w:rsidR="005F0C2E">
        <w:t xml:space="preserve"> the</w:t>
      </w:r>
      <w:r w:rsidRPr="00C71BC3">
        <w:t xml:space="preserve"> funding approach </w:t>
      </w:r>
      <w:r>
        <w:t>to participating employers in the</w:t>
      </w:r>
      <w:r w:rsidR="00B87A52">
        <w:t xml:space="preserve"> Fund</w:t>
      </w:r>
      <w:r w:rsidR="00596D09">
        <w:t>.</w:t>
      </w:r>
      <w:r>
        <w:t xml:space="preserve"> </w:t>
      </w:r>
    </w:p>
    <w:p w14:paraId="648712DD" w14:textId="77777777" w:rsidR="005F0C2E" w:rsidRDefault="005F0C2E" w:rsidP="00A93E34">
      <w:pPr>
        <w:pStyle w:val="NoSpacing"/>
      </w:pPr>
    </w:p>
    <w:tbl>
      <w:tblPr>
        <w:tblStyle w:val="bwTable"/>
        <w:tblW w:w="0" w:type="auto"/>
        <w:jc w:val="center"/>
        <w:tblBorders>
          <w:top w:val="none" w:sz="0" w:space="0" w:color="auto"/>
          <w:bottom w:val="none" w:sz="0" w:space="0" w:color="auto"/>
        </w:tblBorders>
        <w:tblLook w:val="04A0" w:firstRow="1" w:lastRow="0" w:firstColumn="1" w:lastColumn="0" w:noHBand="0" w:noVBand="1"/>
      </w:tblPr>
      <w:tblGrid>
        <w:gridCol w:w="1735"/>
        <w:gridCol w:w="2376"/>
        <w:gridCol w:w="2126"/>
        <w:gridCol w:w="2371"/>
        <w:gridCol w:w="2116"/>
        <w:gridCol w:w="69"/>
        <w:gridCol w:w="38"/>
      </w:tblGrid>
      <w:tr w:rsidR="000E4343" w14:paraId="54A6503A" w14:textId="77777777" w:rsidTr="001B792E">
        <w:trPr>
          <w:cnfStyle w:val="100000000000" w:firstRow="1" w:lastRow="0" w:firstColumn="0" w:lastColumn="0" w:oddVBand="0" w:evenVBand="0" w:oddHBand="0" w:evenHBand="0" w:firstRowFirstColumn="0" w:firstRowLastColumn="0" w:lastRowFirstColumn="0" w:lastRowLastColumn="0"/>
          <w:tblHeader/>
          <w:jc w:val="center"/>
        </w:trPr>
        <w:tc>
          <w:tcPr>
            <w:tcW w:w="1735" w:type="dxa"/>
          </w:tcPr>
          <w:p w14:paraId="3862A7C8" w14:textId="77777777" w:rsidR="000E4343" w:rsidRPr="0083438C" w:rsidRDefault="000E4343" w:rsidP="00AD7B83">
            <w:pPr>
              <w:pStyle w:val="NoSpacing"/>
              <w:rPr>
                <w:b/>
                <w:bCs/>
              </w:rPr>
            </w:pPr>
            <w:r w:rsidRPr="003B730E">
              <w:rPr>
                <w:bCs/>
              </w:rPr>
              <w:t>Employer category</w:t>
            </w:r>
          </w:p>
        </w:tc>
        <w:tc>
          <w:tcPr>
            <w:tcW w:w="2376" w:type="dxa"/>
          </w:tcPr>
          <w:p w14:paraId="3BCB7C12" w14:textId="77777777" w:rsidR="000E4343" w:rsidRPr="00DB622D" w:rsidRDefault="000E4343" w:rsidP="00AD7B83">
            <w:pPr>
              <w:pStyle w:val="NoSpacing"/>
              <w:jc w:val="center"/>
              <w:rPr>
                <w:b/>
              </w:rPr>
            </w:pPr>
            <w:r>
              <w:t>Scheduled bodies 1</w:t>
            </w:r>
          </w:p>
        </w:tc>
        <w:tc>
          <w:tcPr>
            <w:tcW w:w="2126" w:type="dxa"/>
          </w:tcPr>
          <w:p w14:paraId="0863A545" w14:textId="77777777" w:rsidR="000E4343" w:rsidRPr="00DB622D" w:rsidRDefault="000E4343" w:rsidP="00AD7B83">
            <w:pPr>
              <w:pStyle w:val="NoSpacing"/>
              <w:jc w:val="center"/>
              <w:rPr>
                <w:b/>
              </w:rPr>
            </w:pPr>
            <w:r>
              <w:t>Scheduled bodies 2</w:t>
            </w:r>
          </w:p>
        </w:tc>
        <w:tc>
          <w:tcPr>
            <w:tcW w:w="2371" w:type="dxa"/>
          </w:tcPr>
          <w:p w14:paraId="2034F33B" w14:textId="7C8C60A5" w:rsidR="000E4343" w:rsidRPr="00DB622D" w:rsidRDefault="00BC1CE5" w:rsidP="00AD7B83">
            <w:pPr>
              <w:pStyle w:val="NoSpacing"/>
              <w:jc w:val="center"/>
            </w:pPr>
            <w:r>
              <w:t>Admitted bodies 1</w:t>
            </w:r>
          </w:p>
        </w:tc>
        <w:tc>
          <w:tcPr>
            <w:tcW w:w="2223" w:type="dxa"/>
            <w:gridSpan w:val="3"/>
          </w:tcPr>
          <w:p w14:paraId="2A63E072" w14:textId="30649BA5" w:rsidR="000E4343" w:rsidRPr="00DB622D" w:rsidRDefault="00BC1CE5" w:rsidP="00AD7B83">
            <w:pPr>
              <w:pStyle w:val="NoSpacing"/>
              <w:jc w:val="center"/>
            </w:pPr>
            <w:r>
              <w:t>Admitted bodies</w:t>
            </w:r>
            <w:r w:rsidR="000E4343">
              <w:t xml:space="preserve"> 2</w:t>
            </w:r>
          </w:p>
        </w:tc>
      </w:tr>
      <w:tr w:rsidR="00C676D4" w:rsidRPr="000B4336" w14:paraId="6AC02C84" w14:textId="77777777" w:rsidTr="001B792E">
        <w:trPr>
          <w:cnfStyle w:val="000000100000" w:firstRow="0" w:lastRow="0" w:firstColumn="0" w:lastColumn="0" w:oddVBand="0" w:evenVBand="0" w:oddHBand="1" w:evenHBand="0" w:firstRowFirstColumn="0" w:firstRowLastColumn="0" w:lastRowFirstColumn="0" w:lastRowLastColumn="0"/>
          <w:jc w:val="center"/>
        </w:trPr>
        <w:tc>
          <w:tcPr>
            <w:tcW w:w="1735" w:type="dxa"/>
            <w:tcBorders>
              <w:top w:val="single" w:sz="4" w:space="0" w:color="009FE3" w:themeColor="background2"/>
              <w:bottom w:val="single" w:sz="4" w:space="0" w:color="D9D9DA" w:themeColor="text1" w:themeTint="33"/>
              <w:right w:val="single" w:sz="4" w:space="0" w:color="D9D9DA" w:themeColor="text1" w:themeTint="33"/>
            </w:tcBorders>
            <w:vAlign w:val="top"/>
          </w:tcPr>
          <w:p w14:paraId="0B60A09B" w14:textId="77777777" w:rsidR="000E4343" w:rsidRPr="00740AC4" w:rsidRDefault="000E4343" w:rsidP="00AD7B83">
            <w:pPr>
              <w:pStyle w:val="NoSpacing"/>
              <w:rPr>
                <w:b/>
                <w:bCs/>
                <w:sz w:val="18"/>
                <w:szCs w:val="18"/>
              </w:rPr>
            </w:pPr>
            <w:r w:rsidRPr="00740AC4">
              <w:rPr>
                <w:b/>
                <w:bCs/>
                <w:sz w:val="18"/>
                <w:szCs w:val="18"/>
              </w:rPr>
              <w:t>Example</w:t>
            </w:r>
            <w:r>
              <w:rPr>
                <w:b/>
                <w:bCs/>
                <w:sz w:val="18"/>
                <w:szCs w:val="18"/>
              </w:rPr>
              <w:t xml:space="preserve"> employer within category</w:t>
            </w:r>
          </w:p>
        </w:tc>
        <w:tc>
          <w:tcPr>
            <w:tcW w:w="2376" w:type="dxa"/>
            <w:tcBorders>
              <w:top w:val="single" w:sz="4" w:space="0" w:color="009FE3" w:themeColor="background2"/>
              <w:left w:val="single" w:sz="4" w:space="0" w:color="D9D9DA" w:themeColor="text1" w:themeTint="33"/>
              <w:bottom w:val="single" w:sz="4" w:space="0" w:color="D9D9DA" w:themeColor="text1" w:themeTint="33"/>
              <w:right w:val="single" w:sz="4" w:space="0" w:color="D9D9DA" w:themeColor="text1" w:themeTint="33"/>
            </w:tcBorders>
            <w:vAlign w:val="top"/>
          </w:tcPr>
          <w:p w14:paraId="130BA86D" w14:textId="77777777" w:rsidR="00B87A52" w:rsidRPr="001B792E" w:rsidRDefault="00B87A52" w:rsidP="00AD7B83">
            <w:pPr>
              <w:pStyle w:val="bwTableText"/>
              <w:rPr>
                <w:sz w:val="18"/>
                <w:szCs w:val="18"/>
              </w:rPr>
            </w:pPr>
            <w:r w:rsidRPr="001B792E">
              <w:rPr>
                <w:sz w:val="18"/>
                <w:szCs w:val="18"/>
              </w:rPr>
              <w:t xml:space="preserve">London Borough of Barking and Dagenham </w:t>
            </w:r>
          </w:p>
          <w:p w14:paraId="2B9D92AD" w14:textId="77777777" w:rsidR="00BC1CE5" w:rsidRPr="00B87A52" w:rsidRDefault="00BC1CE5" w:rsidP="00BC1CE5">
            <w:pPr>
              <w:pStyle w:val="bwTableText"/>
              <w:rPr>
                <w:sz w:val="18"/>
                <w:szCs w:val="18"/>
                <w:lang w:val="en-US"/>
              </w:rPr>
            </w:pPr>
            <w:r w:rsidRPr="00B87A52">
              <w:rPr>
                <w:sz w:val="18"/>
                <w:szCs w:val="18"/>
                <w:lang w:val="en-US"/>
              </w:rPr>
              <w:t xml:space="preserve">Academies </w:t>
            </w:r>
          </w:p>
          <w:p w14:paraId="69E675F6" w14:textId="38DCD043" w:rsidR="000E4343" w:rsidRPr="001B792E" w:rsidRDefault="00BC1CE5" w:rsidP="00BC1CE5">
            <w:pPr>
              <w:pStyle w:val="bwTableText"/>
              <w:rPr>
                <w:sz w:val="18"/>
                <w:szCs w:val="18"/>
                <w:lang w:val="en-US"/>
              </w:rPr>
            </w:pPr>
            <w:r w:rsidRPr="00B87A52">
              <w:rPr>
                <w:sz w:val="18"/>
                <w:szCs w:val="18"/>
                <w:lang w:val="en-US"/>
              </w:rPr>
              <w:t>Further Ed</w:t>
            </w:r>
            <w:r w:rsidR="008C49B2">
              <w:rPr>
                <w:sz w:val="18"/>
                <w:szCs w:val="18"/>
                <w:lang w:val="en-US"/>
              </w:rPr>
              <w:t>ucation Colleges</w:t>
            </w:r>
          </w:p>
        </w:tc>
        <w:tc>
          <w:tcPr>
            <w:tcW w:w="2126" w:type="dxa"/>
            <w:tcBorders>
              <w:top w:val="single" w:sz="4" w:space="0" w:color="009FE3" w:themeColor="background2"/>
              <w:left w:val="single" w:sz="4" w:space="0" w:color="D9D9DA" w:themeColor="text1" w:themeTint="33"/>
              <w:bottom w:val="single" w:sz="4" w:space="0" w:color="D9D9DA" w:themeColor="text1" w:themeTint="33"/>
              <w:right w:val="single" w:sz="4" w:space="0" w:color="D9D9DA" w:themeColor="text1" w:themeTint="33"/>
            </w:tcBorders>
            <w:vAlign w:val="top"/>
          </w:tcPr>
          <w:p w14:paraId="775584BC" w14:textId="3109B2F5" w:rsidR="000E4343" w:rsidRPr="001B792E" w:rsidRDefault="000E4343" w:rsidP="00AD7B83">
            <w:pPr>
              <w:pStyle w:val="bwTableText"/>
              <w:rPr>
                <w:sz w:val="18"/>
                <w:szCs w:val="18"/>
              </w:rPr>
            </w:pPr>
            <w:r w:rsidRPr="001B792E">
              <w:rPr>
                <w:sz w:val="18"/>
                <w:szCs w:val="18"/>
              </w:rPr>
              <w:t xml:space="preserve">Further Education (FE) bodies </w:t>
            </w:r>
            <w:r w:rsidR="00BC1CE5" w:rsidRPr="001B792E">
              <w:rPr>
                <w:sz w:val="18"/>
                <w:szCs w:val="18"/>
              </w:rPr>
              <w:t>outside</w:t>
            </w:r>
            <w:r w:rsidRPr="001B792E">
              <w:rPr>
                <w:sz w:val="18"/>
                <w:szCs w:val="18"/>
              </w:rPr>
              <w:t xml:space="preserve"> the guarantee of the Department for Education</w:t>
            </w:r>
            <w:r w:rsidR="00B87A52">
              <w:rPr>
                <w:sz w:val="18"/>
                <w:szCs w:val="18"/>
              </w:rPr>
              <w:t xml:space="preserve"> (e.g. University of East London)</w:t>
            </w:r>
          </w:p>
        </w:tc>
        <w:tc>
          <w:tcPr>
            <w:tcW w:w="2371" w:type="dxa"/>
            <w:tcBorders>
              <w:top w:val="single" w:sz="4" w:space="0" w:color="009FE3" w:themeColor="background2"/>
              <w:left w:val="single" w:sz="4" w:space="0" w:color="D9D9DA" w:themeColor="text1" w:themeTint="33"/>
              <w:bottom w:val="single" w:sz="4" w:space="0" w:color="D9D9DA" w:themeColor="text1" w:themeTint="33"/>
              <w:right w:val="single" w:sz="4" w:space="0" w:color="D9D9DA" w:themeColor="text1" w:themeTint="33"/>
            </w:tcBorders>
            <w:vAlign w:val="top"/>
          </w:tcPr>
          <w:p w14:paraId="75480493" w14:textId="4B1FE9F9" w:rsidR="000E4343" w:rsidRPr="001B792E" w:rsidRDefault="00BC1CE5" w:rsidP="00AD7B83">
            <w:pPr>
              <w:pStyle w:val="NoSpacing"/>
              <w:rPr>
                <w:sz w:val="18"/>
                <w:szCs w:val="18"/>
              </w:rPr>
            </w:pPr>
            <w:r w:rsidRPr="001B792E">
              <w:rPr>
                <w:sz w:val="18"/>
                <w:szCs w:val="18"/>
              </w:rPr>
              <w:t>A</w:t>
            </w:r>
            <w:r w:rsidR="000E4343" w:rsidRPr="001B792E">
              <w:rPr>
                <w:sz w:val="18"/>
                <w:szCs w:val="18"/>
              </w:rPr>
              <w:t>dmission bodies with Letting Authority as guarantor</w:t>
            </w:r>
          </w:p>
          <w:p w14:paraId="66E46BDE" w14:textId="77777777" w:rsidR="000E4343" w:rsidRPr="001B792E" w:rsidRDefault="000E4343" w:rsidP="00AD7B83">
            <w:pPr>
              <w:pStyle w:val="NoSpacing"/>
              <w:rPr>
                <w:sz w:val="18"/>
                <w:szCs w:val="18"/>
              </w:rPr>
            </w:pPr>
            <w:r w:rsidRPr="001B792E">
              <w:rPr>
                <w:sz w:val="18"/>
                <w:szCs w:val="18"/>
              </w:rPr>
              <w:t>Pass-through employers</w:t>
            </w:r>
          </w:p>
          <w:p w14:paraId="640B1636" w14:textId="225FD225" w:rsidR="000E4343" w:rsidRPr="001B792E" w:rsidRDefault="000E4343" w:rsidP="00AD7B83">
            <w:pPr>
              <w:pStyle w:val="NoSpacing"/>
              <w:rPr>
                <w:sz w:val="18"/>
                <w:szCs w:val="18"/>
              </w:rPr>
            </w:pPr>
          </w:p>
        </w:tc>
        <w:tc>
          <w:tcPr>
            <w:tcW w:w="2223" w:type="dxa"/>
            <w:gridSpan w:val="3"/>
            <w:tcBorders>
              <w:top w:val="single" w:sz="4" w:space="0" w:color="009FE3" w:themeColor="background2"/>
              <w:left w:val="single" w:sz="4" w:space="0" w:color="D9D9DA" w:themeColor="text1" w:themeTint="33"/>
              <w:bottom w:val="single" w:sz="4" w:space="0" w:color="D9D9DA" w:themeColor="text1" w:themeTint="33"/>
            </w:tcBorders>
            <w:vAlign w:val="top"/>
          </w:tcPr>
          <w:p w14:paraId="37A25CF0" w14:textId="13412365" w:rsidR="000E4343" w:rsidRPr="001B792E" w:rsidRDefault="00BC1CE5" w:rsidP="00AD7B83">
            <w:pPr>
              <w:pStyle w:val="NoSpacing"/>
              <w:rPr>
                <w:sz w:val="18"/>
                <w:szCs w:val="18"/>
              </w:rPr>
            </w:pPr>
            <w:r w:rsidRPr="001B792E">
              <w:rPr>
                <w:sz w:val="18"/>
                <w:szCs w:val="18"/>
              </w:rPr>
              <w:t>A</w:t>
            </w:r>
            <w:r w:rsidR="000E4343" w:rsidRPr="001B792E">
              <w:rPr>
                <w:sz w:val="18"/>
                <w:szCs w:val="18"/>
              </w:rPr>
              <w:t>dmission bodies without guarantor</w:t>
            </w:r>
          </w:p>
          <w:p w14:paraId="6AD439F4" w14:textId="44F78FCA" w:rsidR="000E4343" w:rsidRPr="001B792E" w:rsidRDefault="000E4343" w:rsidP="00AD7B83">
            <w:pPr>
              <w:pStyle w:val="NoSpacing"/>
              <w:rPr>
                <w:sz w:val="18"/>
                <w:szCs w:val="18"/>
              </w:rPr>
            </w:pPr>
          </w:p>
        </w:tc>
      </w:tr>
      <w:tr w:rsidR="00BC1CE5" w:rsidRPr="000B4336" w14:paraId="7577431A" w14:textId="77777777">
        <w:trPr>
          <w:gridAfter w:val="2"/>
          <w:cnfStyle w:val="000000010000" w:firstRow="0" w:lastRow="0" w:firstColumn="0" w:lastColumn="0" w:oddVBand="0" w:evenVBand="0" w:oddHBand="0" w:evenHBand="1" w:firstRowFirstColumn="0" w:firstRowLastColumn="0" w:lastRowFirstColumn="0" w:lastRowLastColumn="0"/>
          <w:wAfter w:w="107" w:type="dxa"/>
          <w:jc w:val="center"/>
        </w:trPr>
        <w:tc>
          <w:tcPr>
            <w:tcW w:w="1735" w:type="dxa"/>
            <w:tcBorders>
              <w:top w:val="single" w:sz="4" w:space="0" w:color="D9D9DA" w:themeColor="text1" w:themeTint="33"/>
              <w:bottom w:val="single" w:sz="4" w:space="0" w:color="D9D9DA" w:themeColor="text1" w:themeTint="33"/>
              <w:right w:val="single" w:sz="4" w:space="0" w:color="D9D9DA" w:themeColor="text1" w:themeTint="33"/>
            </w:tcBorders>
            <w:vAlign w:val="top"/>
          </w:tcPr>
          <w:p w14:paraId="6E3CB1DE" w14:textId="77777777" w:rsidR="00BC1CE5" w:rsidRPr="00740AC4" w:rsidRDefault="00BC1CE5" w:rsidP="00AD7B83">
            <w:pPr>
              <w:pStyle w:val="NoSpacing"/>
              <w:rPr>
                <w:b/>
                <w:bCs/>
                <w:sz w:val="18"/>
                <w:szCs w:val="18"/>
              </w:rPr>
            </w:pPr>
            <w:r w:rsidRPr="00740AC4">
              <w:rPr>
                <w:b/>
                <w:bCs/>
                <w:sz w:val="18"/>
                <w:szCs w:val="18"/>
              </w:rPr>
              <w:t>2025 valuation – funding basis</w:t>
            </w:r>
          </w:p>
        </w:tc>
        <w:tc>
          <w:tcPr>
            <w:tcW w:w="8989" w:type="dxa"/>
            <w:gridSpan w:val="4"/>
            <w:tcBorders>
              <w:top w:val="single" w:sz="4" w:space="0" w:color="D9D9DA" w:themeColor="text1" w:themeTint="33"/>
              <w:left w:val="single" w:sz="4" w:space="0" w:color="D9D9DA" w:themeColor="text1" w:themeTint="33"/>
              <w:bottom w:val="single" w:sz="4" w:space="0" w:color="D9D9DA" w:themeColor="text1" w:themeTint="33"/>
            </w:tcBorders>
            <w:vAlign w:val="top"/>
          </w:tcPr>
          <w:p w14:paraId="0A231F3F" w14:textId="77777777" w:rsidR="00BC1CE5" w:rsidRPr="001B792E" w:rsidRDefault="00BC1CE5" w:rsidP="00AD7B83">
            <w:pPr>
              <w:pStyle w:val="NoSpacing"/>
              <w:jc w:val="center"/>
              <w:rPr>
                <w:sz w:val="18"/>
                <w:szCs w:val="18"/>
              </w:rPr>
            </w:pPr>
            <w:r w:rsidRPr="001B792E">
              <w:rPr>
                <w:sz w:val="18"/>
                <w:szCs w:val="18"/>
              </w:rPr>
              <w:t>Ongoing basis</w:t>
            </w:r>
          </w:p>
          <w:p w14:paraId="4151AD6F" w14:textId="685417C4" w:rsidR="00BC1CE5" w:rsidRPr="001B792E" w:rsidRDefault="00BC1CE5" w:rsidP="00AD7B83">
            <w:pPr>
              <w:pStyle w:val="NoSpacing"/>
              <w:rPr>
                <w:sz w:val="18"/>
                <w:szCs w:val="18"/>
              </w:rPr>
            </w:pPr>
          </w:p>
        </w:tc>
      </w:tr>
      <w:tr w:rsidR="00466107" w:rsidRPr="000B4336" w14:paraId="153A6288" w14:textId="77777777" w:rsidTr="001B792E">
        <w:trPr>
          <w:gridAfter w:val="1"/>
          <w:cnfStyle w:val="000000100000" w:firstRow="0" w:lastRow="0" w:firstColumn="0" w:lastColumn="0" w:oddVBand="0" w:evenVBand="0" w:oddHBand="1" w:evenHBand="0" w:firstRowFirstColumn="0" w:firstRowLastColumn="0" w:lastRowFirstColumn="0" w:lastRowLastColumn="0"/>
          <w:wAfter w:w="38" w:type="dxa"/>
          <w:jc w:val="center"/>
        </w:trPr>
        <w:tc>
          <w:tcPr>
            <w:tcW w:w="1735" w:type="dxa"/>
            <w:tcBorders>
              <w:top w:val="single" w:sz="4" w:space="0" w:color="D9D9DA" w:themeColor="text1" w:themeTint="33"/>
              <w:bottom w:val="single" w:sz="4" w:space="0" w:color="D9D9DA" w:themeColor="text1" w:themeTint="33"/>
              <w:right w:val="single" w:sz="4" w:space="0" w:color="D9D9DA" w:themeColor="text1" w:themeTint="33"/>
            </w:tcBorders>
            <w:vAlign w:val="top"/>
          </w:tcPr>
          <w:p w14:paraId="7B563D18" w14:textId="77777777" w:rsidR="00466107" w:rsidRPr="00740AC4" w:rsidRDefault="00466107" w:rsidP="00AD7B83">
            <w:pPr>
              <w:pStyle w:val="NoSpacing"/>
              <w:rPr>
                <w:b/>
                <w:bCs/>
                <w:sz w:val="18"/>
                <w:szCs w:val="18"/>
              </w:rPr>
            </w:pPr>
            <w:r w:rsidRPr="00740AC4">
              <w:rPr>
                <w:b/>
                <w:bCs/>
                <w:sz w:val="18"/>
                <w:szCs w:val="18"/>
              </w:rPr>
              <w:t>2025 funding approach – deficit</w:t>
            </w:r>
          </w:p>
        </w:tc>
        <w:tc>
          <w:tcPr>
            <w:tcW w:w="4502" w:type="dxa"/>
            <w:gridSpan w:val="2"/>
            <w:tcBorders>
              <w:top w:val="single" w:sz="4" w:space="0" w:color="D9D9DA" w:themeColor="text1" w:themeTint="33"/>
              <w:left w:val="single" w:sz="4" w:space="0" w:color="D9D9DA" w:themeColor="text1" w:themeTint="33"/>
              <w:bottom w:val="single" w:sz="4" w:space="0" w:color="D9D9DA" w:themeColor="text1" w:themeTint="33"/>
              <w:right w:val="single" w:sz="4" w:space="0" w:color="D9D9DA" w:themeColor="text1" w:themeTint="33"/>
            </w:tcBorders>
            <w:vAlign w:val="top"/>
          </w:tcPr>
          <w:p w14:paraId="6A22F7B6" w14:textId="33184DCB" w:rsidR="00466107" w:rsidRPr="001B792E" w:rsidRDefault="00466107" w:rsidP="00AD7B83">
            <w:pPr>
              <w:pStyle w:val="NoSpacing"/>
              <w:rPr>
                <w:sz w:val="18"/>
                <w:szCs w:val="18"/>
              </w:rPr>
            </w:pPr>
            <w:r w:rsidRPr="001B792E">
              <w:rPr>
                <w:sz w:val="18"/>
                <w:szCs w:val="18"/>
              </w:rPr>
              <w:t>Recovery period of 11 years (t</w:t>
            </w:r>
            <w:r w:rsidR="00B87A52">
              <w:rPr>
                <w:sz w:val="18"/>
                <w:szCs w:val="18"/>
              </w:rPr>
              <w:t>o maintain an end date of 31 March 2027</w:t>
            </w:r>
            <w:r w:rsidRPr="001B792E">
              <w:rPr>
                <w:sz w:val="18"/>
                <w:szCs w:val="18"/>
              </w:rPr>
              <w:t>)</w:t>
            </w:r>
          </w:p>
        </w:tc>
        <w:tc>
          <w:tcPr>
            <w:tcW w:w="2371" w:type="dxa"/>
            <w:tcBorders>
              <w:top w:val="single" w:sz="4" w:space="0" w:color="D9D9DA" w:themeColor="text1" w:themeTint="33"/>
              <w:left w:val="single" w:sz="4" w:space="0" w:color="D9D9DA" w:themeColor="text1" w:themeTint="33"/>
              <w:bottom w:val="single" w:sz="4" w:space="0" w:color="D9D9DA" w:themeColor="text1" w:themeTint="33"/>
              <w:right w:val="single" w:sz="4" w:space="0" w:color="D9D9DA" w:themeColor="text1" w:themeTint="33"/>
            </w:tcBorders>
            <w:vAlign w:val="top"/>
          </w:tcPr>
          <w:p w14:paraId="6AD4147F" w14:textId="466D3F69" w:rsidR="00466107" w:rsidRPr="001B792E" w:rsidRDefault="00466107" w:rsidP="00AD7B83">
            <w:pPr>
              <w:pStyle w:val="NoSpacing"/>
              <w:rPr>
                <w:sz w:val="18"/>
                <w:szCs w:val="18"/>
              </w:rPr>
            </w:pPr>
            <w:r w:rsidRPr="001B792E">
              <w:rPr>
                <w:sz w:val="18"/>
                <w:szCs w:val="18"/>
              </w:rPr>
              <w:t>Recovery period set as the lower of the contract length, EFWL, and 11 years (a lower recovery period may be used depending on an employer’s covenant)</w:t>
            </w:r>
          </w:p>
        </w:tc>
        <w:tc>
          <w:tcPr>
            <w:tcW w:w="2185" w:type="dxa"/>
            <w:gridSpan w:val="2"/>
            <w:tcBorders>
              <w:top w:val="single" w:sz="4" w:space="0" w:color="D9D9DA" w:themeColor="text1" w:themeTint="33"/>
              <w:left w:val="single" w:sz="4" w:space="0" w:color="D9D9DA" w:themeColor="text1" w:themeTint="33"/>
              <w:bottom w:val="single" w:sz="4" w:space="0" w:color="D9D9DA" w:themeColor="text1" w:themeTint="33"/>
            </w:tcBorders>
            <w:vAlign w:val="top"/>
          </w:tcPr>
          <w:p w14:paraId="652345D1" w14:textId="682670BD" w:rsidR="00466107" w:rsidRPr="001B792E" w:rsidRDefault="00466107" w:rsidP="00AD7B83">
            <w:pPr>
              <w:pStyle w:val="NoSpacing"/>
              <w:rPr>
                <w:sz w:val="18"/>
                <w:szCs w:val="18"/>
              </w:rPr>
            </w:pPr>
            <w:r w:rsidRPr="001B792E">
              <w:rPr>
                <w:sz w:val="18"/>
                <w:szCs w:val="18"/>
              </w:rPr>
              <w:t xml:space="preserve">Recovery period set as the lower of the contract length, EFWL, and </w:t>
            </w:r>
            <w:r w:rsidR="00F47B41">
              <w:rPr>
                <w:sz w:val="18"/>
                <w:szCs w:val="18"/>
              </w:rPr>
              <w:t>11</w:t>
            </w:r>
            <w:r w:rsidRPr="001B792E">
              <w:rPr>
                <w:sz w:val="18"/>
                <w:szCs w:val="18"/>
              </w:rPr>
              <w:t xml:space="preserve"> years (a lower recovery period may be used depending on an employer’s covenant)</w:t>
            </w:r>
          </w:p>
        </w:tc>
      </w:tr>
      <w:tr w:rsidR="008C49B2" w:rsidRPr="000B4336" w14:paraId="1D5C3B63" w14:textId="77777777" w:rsidTr="008C49B2">
        <w:trPr>
          <w:gridAfter w:val="1"/>
          <w:cnfStyle w:val="000000010000" w:firstRow="0" w:lastRow="0" w:firstColumn="0" w:lastColumn="0" w:oddVBand="0" w:evenVBand="0" w:oddHBand="0" w:evenHBand="1" w:firstRowFirstColumn="0" w:firstRowLastColumn="0" w:lastRowFirstColumn="0" w:lastRowLastColumn="0"/>
          <w:wAfter w:w="38" w:type="dxa"/>
          <w:jc w:val="center"/>
        </w:trPr>
        <w:tc>
          <w:tcPr>
            <w:tcW w:w="1735" w:type="dxa"/>
            <w:tcBorders>
              <w:top w:val="single" w:sz="4" w:space="0" w:color="D9D9DA" w:themeColor="text1" w:themeTint="33"/>
              <w:bottom w:val="single" w:sz="4" w:space="0" w:color="D9D9DA" w:themeColor="text1" w:themeTint="33"/>
              <w:right w:val="single" w:sz="4" w:space="0" w:color="D9D9DA" w:themeColor="text1" w:themeTint="33"/>
            </w:tcBorders>
            <w:vAlign w:val="top"/>
          </w:tcPr>
          <w:p w14:paraId="1147223E" w14:textId="1496064E" w:rsidR="000E4343" w:rsidRPr="00740AC4" w:rsidRDefault="000E4343" w:rsidP="00AD7B83">
            <w:pPr>
              <w:pStyle w:val="NoSpacing"/>
              <w:rPr>
                <w:b/>
                <w:bCs/>
                <w:sz w:val="18"/>
                <w:szCs w:val="18"/>
              </w:rPr>
            </w:pPr>
            <w:r w:rsidRPr="00740AC4">
              <w:rPr>
                <w:b/>
                <w:bCs/>
                <w:sz w:val="18"/>
                <w:szCs w:val="18"/>
              </w:rPr>
              <w:t>2025 funding approach – surplus</w:t>
            </w:r>
          </w:p>
        </w:tc>
        <w:tc>
          <w:tcPr>
            <w:tcW w:w="2376" w:type="dxa"/>
            <w:tcBorders>
              <w:top w:val="single" w:sz="4" w:space="0" w:color="D9D9DA" w:themeColor="text1" w:themeTint="33"/>
              <w:left w:val="single" w:sz="4" w:space="0" w:color="D9D9DA" w:themeColor="text1" w:themeTint="33"/>
              <w:bottom w:val="single" w:sz="4" w:space="0" w:color="D9D9DA" w:themeColor="text1" w:themeTint="33"/>
              <w:right w:val="single" w:sz="4" w:space="0" w:color="D9D9DA" w:themeColor="text1" w:themeTint="33"/>
            </w:tcBorders>
            <w:vAlign w:val="top"/>
          </w:tcPr>
          <w:p w14:paraId="4E0ED245" w14:textId="0A5C0239" w:rsidR="005A7FB0" w:rsidRPr="00B87A52" w:rsidRDefault="005A7FB0" w:rsidP="005A7FB0">
            <w:pPr>
              <w:pStyle w:val="NoSpacing"/>
              <w:rPr>
                <w:sz w:val="18"/>
                <w:szCs w:val="18"/>
              </w:rPr>
            </w:pPr>
            <w:r w:rsidRPr="00B87A52">
              <w:rPr>
                <w:sz w:val="18"/>
                <w:szCs w:val="18"/>
              </w:rPr>
              <w:t>Less than 115% funded – primary rate</w:t>
            </w:r>
          </w:p>
          <w:p w14:paraId="70F95F0A" w14:textId="2078E0B5" w:rsidR="000E4343" w:rsidRPr="001B792E" w:rsidRDefault="005A7FB0" w:rsidP="005A7FB0">
            <w:pPr>
              <w:pStyle w:val="NoSpacing"/>
              <w:rPr>
                <w:sz w:val="18"/>
                <w:szCs w:val="18"/>
              </w:rPr>
            </w:pPr>
            <w:r w:rsidRPr="00B87A52">
              <w:rPr>
                <w:sz w:val="18"/>
                <w:szCs w:val="18"/>
              </w:rPr>
              <w:t xml:space="preserve">More than 115% funded – total contribution rate allowing for excess surplus (above </w:t>
            </w:r>
            <w:r w:rsidR="00F47B41">
              <w:rPr>
                <w:sz w:val="18"/>
                <w:szCs w:val="18"/>
              </w:rPr>
              <w:t>115% funding level)</w:t>
            </w:r>
            <w:r w:rsidRPr="00B87A52">
              <w:rPr>
                <w:sz w:val="18"/>
                <w:szCs w:val="18"/>
              </w:rPr>
              <w:t xml:space="preserve"> to be paid back over 1</w:t>
            </w:r>
            <w:r w:rsidR="008C49B2">
              <w:rPr>
                <w:sz w:val="18"/>
                <w:szCs w:val="18"/>
              </w:rPr>
              <w:t>1</w:t>
            </w:r>
            <w:r w:rsidRPr="00B87A52">
              <w:rPr>
                <w:sz w:val="18"/>
                <w:szCs w:val="18"/>
              </w:rPr>
              <w:t xml:space="preserve"> years</w:t>
            </w:r>
          </w:p>
        </w:tc>
        <w:tc>
          <w:tcPr>
            <w:tcW w:w="2126" w:type="dxa"/>
            <w:tcBorders>
              <w:top w:val="single" w:sz="4" w:space="0" w:color="D9D9DA" w:themeColor="text1" w:themeTint="33"/>
              <w:left w:val="single" w:sz="4" w:space="0" w:color="D9D9DA" w:themeColor="text1" w:themeTint="33"/>
              <w:bottom w:val="single" w:sz="4" w:space="0" w:color="D9D9DA" w:themeColor="text1" w:themeTint="33"/>
              <w:right w:val="single" w:sz="4" w:space="0" w:color="D9D9DA" w:themeColor="text1" w:themeTint="33"/>
            </w:tcBorders>
          </w:tcPr>
          <w:p w14:paraId="4C0DFAC3" w14:textId="76A23A14" w:rsidR="00466107" w:rsidRPr="00B87A52" w:rsidRDefault="00466107" w:rsidP="00466107">
            <w:pPr>
              <w:pStyle w:val="NoSpacing"/>
              <w:rPr>
                <w:sz w:val="18"/>
                <w:szCs w:val="18"/>
              </w:rPr>
            </w:pPr>
            <w:r w:rsidRPr="00B87A52">
              <w:rPr>
                <w:sz w:val="18"/>
                <w:szCs w:val="18"/>
              </w:rPr>
              <w:t>Less than 100% funded on full cessation ba</w:t>
            </w:r>
            <w:r w:rsidR="00C676D4">
              <w:rPr>
                <w:sz w:val="18"/>
                <w:szCs w:val="18"/>
              </w:rPr>
              <w:t>s</w:t>
            </w:r>
            <w:r w:rsidRPr="00B87A52">
              <w:rPr>
                <w:sz w:val="18"/>
                <w:szCs w:val="18"/>
              </w:rPr>
              <w:t>is –p</w:t>
            </w:r>
            <w:r w:rsidR="00F47B41">
              <w:rPr>
                <w:sz w:val="18"/>
                <w:szCs w:val="18"/>
              </w:rPr>
              <w:t>r</w:t>
            </w:r>
            <w:r w:rsidRPr="00B87A52">
              <w:rPr>
                <w:sz w:val="18"/>
                <w:szCs w:val="18"/>
              </w:rPr>
              <w:t>imary rate</w:t>
            </w:r>
          </w:p>
          <w:p w14:paraId="29BFFD84" w14:textId="7A3F8FF0" w:rsidR="000E4343" w:rsidRPr="001B792E" w:rsidRDefault="00466107" w:rsidP="00466107">
            <w:pPr>
              <w:pStyle w:val="NoSpacing"/>
              <w:rPr>
                <w:sz w:val="18"/>
                <w:szCs w:val="18"/>
              </w:rPr>
            </w:pPr>
            <w:r w:rsidRPr="00B87A52">
              <w:rPr>
                <w:sz w:val="18"/>
                <w:szCs w:val="18"/>
              </w:rPr>
              <w:t xml:space="preserve">More than 100% funded </w:t>
            </w:r>
            <w:r w:rsidR="00F47B41">
              <w:rPr>
                <w:sz w:val="18"/>
                <w:szCs w:val="18"/>
              </w:rPr>
              <w:t xml:space="preserve">on full cessation basis </w:t>
            </w:r>
            <w:r w:rsidRPr="00B87A52">
              <w:rPr>
                <w:sz w:val="18"/>
                <w:szCs w:val="18"/>
              </w:rPr>
              <w:t xml:space="preserve">– total contribution rate allowing for excess </w:t>
            </w:r>
            <w:r w:rsidRPr="00B87A52">
              <w:rPr>
                <w:sz w:val="18"/>
                <w:szCs w:val="18"/>
              </w:rPr>
              <w:lastRenderedPageBreak/>
              <w:t>surplus to be paid back over 1</w:t>
            </w:r>
            <w:r w:rsidR="008C49B2">
              <w:rPr>
                <w:sz w:val="18"/>
                <w:szCs w:val="18"/>
              </w:rPr>
              <w:t>1</w:t>
            </w:r>
            <w:r w:rsidRPr="00B87A52">
              <w:rPr>
                <w:sz w:val="18"/>
                <w:szCs w:val="18"/>
              </w:rPr>
              <w:t xml:space="preserve"> years</w:t>
            </w:r>
          </w:p>
        </w:tc>
        <w:tc>
          <w:tcPr>
            <w:tcW w:w="2371" w:type="dxa"/>
            <w:tcBorders>
              <w:top w:val="single" w:sz="4" w:space="0" w:color="D9D9DA" w:themeColor="text1" w:themeTint="33"/>
              <w:left w:val="single" w:sz="4" w:space="0" w:color="D9D9DA" w:themeColor="text1" w:themeTint="33"/>
              <w:bottom w:val="single" w:sz="4" w:space="0" w:color="D9D9DA" w:themeColor="text1" w:themeTint="33"/>
              <w:right w:val="single" w:sz="4" w:space="0" w:color="D9D9DA" w:themeColor="text1" w:themeTint="33"/>
            </w:tcBorders>
            <w:vAlign w:val="top"/>
          </w:tcPr>
          <w:p w14:paraId="20CF69CE" w14:textId="5EC1F586" w:rsidR="00F47B41" w:rsidRDefault="005A7FB0" w:rsidP="00F47B41">
            <w:pPr>
              <w:pStyle w:val="NoSpacing"/>
              <w:rPr>
                <w:sz w:val="18"/>
                <w:szCs w:val="18"/>
              </w:rPr>
            </w:pPr>
            <w:r w:rsidRPr="00B87A52">
              <w:rPr>
                <w:sz w:val="18"/>
                <w:szCs w:val="18"/>
              </w:rPr>
              <w:lastRenderedPageBreak/>
              <w:t>Less than 115% funded –primary rate</w:t>
            </w:r>
          </w:p>
          <w:p w14:paraId="456D8699" w14:textId="68AAE43F" w:rsidR="000E4343" w:rsidRPr="001B792E" w:rsidRDefault="005A7FB0" w:rsidP="00F47B41">
            <w:pPr>
              <w:pStyle w:val="NoSpacing"/>
              <w:rPr>
                <w:sz w:val="18"/>
                <w:szCs w:val="18"/>
              </w:rPr>
            </w:pPr>
            <w:r w:rsidRPr="00B87A52">
              <w:rPr>
                <w:sz w:val="18"/>
                <w:szCs w:val="18"/>
              </w:rPr>
              <w:t xml:space="preserve">More than 115% funded –total contribution rate allowing for excess surplus (above </w:t>
            </w:r>
            <w:r w:rsidR="00F47B41">
              <w:rPr>
                <w:sz w:val="18"/>
                <w:szCs w:val="18"/>
              </w:rPr>
              <w:t xml:space="preserve">115% </w:t>
            </w:r>
            <w:r w:rsidRPr="00B87A52">
              <w:rPr>
                <w:sz w:val="18"/>
                <w:szCs w:val="18"/>
              </w:rPr>
              <w:t>funding</w:t>
            </w:r>
            <w:r w:rsidR="00F47B41">
              <w:rPr>
                <w:sz w:val="18"/>
                <w:szCs w:val="18"/>
              </w:rPr>
              <w:t xml:space="preserve"> level</w:t>
            </w:r>
            <w:r w:rsidRPr="00B87A52">
              <w:rPr>
                <w:sz w:val="18"/>
                <w:szCs w:val="18"/>
              </w:rPr>
              <w:t>) to be paid back over 1</w:t>
            </w:r>
            <w:r w:rsidR="008C49B2">
              <w:rPr>
                <w:sz w:val="18"/>
                <w:szCs w:val="18"/>
              </w:rPr>
              <w:t>1</w:t>
            </w:r>
            <w:r w:rsidRPr="00B87A52">
              <w:rPr>
                <w:sz w:val="18"/>
                <w:szCs w:val="18"/>
              </w:rPr>
              <w:t xml:space="preserve"> years</w:t>
            </w:r>
          </w:p>
        </w:tc>
        <w:tc>
          <w:tcPr>
            <w:tcW w:w="2185" w:type="dxa"/>
            <w:gridSpan w:val="2"/>
            <w:tcBorders>
              <w:top w:val="single" w:sz="4" w:space="0" w:color="D9D9DA" w:themeColor="text1" w:themeTint="33"/>
              <w:left w:val="single" w:sz="4" w:space="0" w:color="D9D9DA" w:themeColor="text1" w:themeTint="33"/>
              <w:bottom w:val="single" w:sz="4" w:space="0" w:color="D9D9DA" w:themeColor="text1" w:themeTint="33"/>
            </w:tcBorders>
            <w:vAlign w:val="top"/>
          </w:tcPr>
          <w:p w14:paraId="4E5A731A" w14:textId="53F16571" w:rsidR="005A7FB0" w:rsidRPr="00B87A52" w:rsidRDefault="005A7FB0" w:rsidP="005A7FB0">
            <w:pPr>
              <w:pStyle w:val="NoSpacing"/>
              <w:rPr>
                <w:sz w:val="18"/>
                <w:szCs w:val="18"/>
              </w:rPr>
            </w:pPr>
            <w:r w:rsidRPr="00B87A52">
              <w:rPr>
                <w:sz w:val="18"/>
                <w:szCs w:val="18"/>
              </w:rPr>
              <w:t xml:space="preserve">Less than 100% funded on full cessation </w:t>
            </w:r>
            <w:r w:rsidR="009319B6">
              <w:rPr>
                <w:sz w:val="18"/>
                <w:szCs w:val="18"/>
              </w:rPr>
              <w:t>basis</w:t>
            </w:r>
            <w:r w:rsidRPr="00B87A52">
              <w:rPr>
                <w:sz w:val="18"/>
                <w:szCs w:val="18"/>
              </w:rPr>
              <w:t xml:space="preserve"> – new primary rate</w:t>
            </w:r>
          </w:p>
          <w:p w14:paraId="15D166AA" w14:textId="43FB9F73" w:rsidR="000E4343" w:rsidRPr="001B792E" w:rsidRDefault="005A7FB0" w:rsidP="005A7FB0">
            <w:pPr>
              <w:pStyle w:val="NoSpacing"/>
              <w:rPr>
                <w:sz w:val="18"/>
                <w:szCs w:val="18"/>
              </w:rPr>
            </w:pPr>
            <w:r w:rsidRPr="00B87A52">
              <w:rPr>
                <w:sz w:val="18"/>
                <w:szCs w:val="18"/>
              </w:rPr>
              <w:t xml:space="preserve">More than 100% funded – total contribution rate allowing for excess surplus (above the </w:t>
            </w:r>
            <w:r w:rsidRPr="00B87A52">
              <w:rPr>
                <w:sz w:val="18"/>
                <w:szCs w:val="18"/>
              </w:rPr>
              <w:lastRenderedPageBreak/>
              <w:t>funding target) to be paid back over 1</w:t>
            </w:r>
            <w:r w:rsidR="008C49B2">
              <w:rPr>
                <w:sz w:val="18"/>
                <w:szCs w:val="18"/>
              </w:rPr>
              <w:t>1</w:t>
            </w:r>
            <w:r w:rsidRPr="00B87A52">
              <w:rPr>
                <w:sz w:val="18"/>
                <w:szCs w:val="18"/>
              </w:rPr>
              <w:t xml:space="preserve"> years</w:t>
            </w:r>
          </w:p>
        </w:tc>
      </w:tr>
      <w:tr w:rsidR="00BC1CE5" w:rsidRPr="000B4336" w14:paraId="01BB2B40" w14:textId="77777777" w:rsidTr="001B792E">
        <w:trPr>
          <w:gridAfter w:val="1"/>
          <w:cnfStyle w:val="000000100000" w:firstRow="0" w:lastRow="0" w:firstColumn="0" w:lastColumn="0" w:oddVBand="0" w:evenVBand="0" w:oddHBand="1" w:evenHBand="0" w:firstRowFirstColumn="0" w:firstRowLastColumn="0" w:lastRowFirstColumn="0" w:lastRowLastColumn="0"/>
          <w:wAfter w:w="38" w:type="dxa"/>
          <w:jc w:val="center"/>
        </w:trPr>
        <w:tc>
          <w:tcPr>
            <w:tcW w:w="1735" w:type="dxa"/>
            <w:tcBorders>
              <w:top w:val="single" w:sz="4" w:space="0" w:color="D9D9DA" w:themeColor="text1" w:themeTint="33"/>
              <w:bottom w:val="single" w:sz="4" w:space="0" w:color="D9D9DA" w:themeColor="text1" w:themeTint="33"/>
              <w:right w:val="single" w:sz="4" w:space="0" w:color="D9D9DA" w:themeColor="text1" w:themeTint="33"/>
            </w:tcBorders>
            <w:vAlign w:val="top"/>
          </w:tcPr>
          <w:p w14:paraId="51B84932" w14:textId="77777777" w:rsidR="00BC1CE5" w:rsidRPr="00740AC4" w:rsidRDefault="00BC1CE5" w:rsidP="00AD7B83">
            <w:pPr>
              <w:pStyle w:val="NoSpacing"/>
              <w:rPr>
                <w:b/>
                <w:bCs/>
                <w:sz w:val="18"/>
                <w:szCs w:val="18"/>
              </w:rPr>
            </w:pPr>
            <w:r w:rsidRPr="00740AC4">
              <w:rPr>
                <w:b/>
                <w:bCs/>
                <w:sz w:val="18"/>
                <w:szCs w:val="18"/>
              </w:rPr>
              <w:lastRenderedPageBreak/>
              <w:t>2025 minimum contribution rate</w:t>
            </w:r>
          </w:p>
        </w:tc>
        <w:tc>
          <w:tcPr>
            <w:tcW w:w="4502" w:type="dxa"/>
            <w:gridSpan w:val="2"/>
            <w:tcBorders>
              <w:top w:val="single" w:sz="4" w:space="0" w:color="D9D9DA" w:themeColor="text1" w:themeTint="33"/>
              <w:left w:val="single" w:sz="4" w:space="0" w:color="D9D9DA" w:themeColor="text1" w:themeTint="33"/>
              <w:bottom w:val="single" w:sz="4" w:space="0" w:color="D9D9DA" w:themeColor="text1" w:themeTint="33"/>
              <w:right w:val="single" w:sz="4" w:space="0" w:color="D9D9DA" w:themeColor="text1" w:themeTint="33"/>
            </w:tcBorders>
            <w:vAlign w:val="top"/>
          </w:tcPr>
          <w:p w14:paraId="5B3FBEBE" w14:textId="77777777" w:rsidR="00BC1CE5" w:rsidRPr="001B792E" w:rsidRDefault="00BC1CE5" w:rsidP="00AD7B83">
            <w:pPr>
              <w:pStyle w:val="NoSpacing"/>
              <w:rPr>
                <w:sz w:val="18"/>
                <w:szCs w:val="18"/>
              </w:rPr>
            </w:pPr>
            <w:r w:rsidRPr="001B792E">
              <w:rPr>
                <w:sz w:val="18"/>
                <w:szCs w:val="18"/>
              </w:rPr>
              <w:t>12.5% in line with maximum member contributions</w:t>
            </w:r>
          </w:p>
          <w:p w14:paraId="08F2EB81" w14:textId="2720C49D" w:rsidR="00BC1CE5" w:rsidRPr="001B792E" w:rsidRDefault="00BC1CE5" w:rsidP="00AD7B83">
            <w:pPr>
              <w:pStyle w:val="NoSpacing"/>
              <w:rPr>
                <w:sz w:val="18"/>
                <w:szCs w:val="18"/>
              </w:rPr>
            </w:pPr>
          </w:p>
        </w:tc>
        <w:tc>
          <w:tcPr>
            <w:tcW w:w="2371" w:type="dxa"/>
            <w:tcBorders>
              <w:top w:val="single" w:sz="4" w:space="0" w:color="D9D9DA" w:themeColor="text1" w:themeTint="33"/>
              <w:left w:val="single" w:sz="4" w:space="0" w:color="D9D9DA" w:themeColor="text1" w:themeTint="33"/>
              <w:bottom w:val="single" w:sz="4" w:space="0" w:color="D9D9DA" w:themeColor="text1" w:themeTint="33"/>
              <w:right w:val="single" w:sz="4" w:space="0" w:color="D9D9DA" w:themeColor="text1" w:themeTint="33"/>
            </w:tcBorders>
            <w:vAlign w:val="top"/>
          </w:tcPr>
          <w:p w14:paraId="065F08B5" w14:textId="6F60ABF4" w:rsidR="00BC1CE5" w:rsidRPr="001B792E" w:rsidRDefault="00BC1CE5" w:rsidP="00AD7B83">
            <w:pPr>
              <w:pStyle w:val="NoSpacing"/>
              <w:rPr>
                <w:sz w:val="18"/>
                <w:szCs w:val="18"/>
              </w:rPr>
            </w:pPr>
            <w:r w:rsidRPr="001B792E">
              <w:rPr>
                <w:sz w:val="18"/>
                <w:szCs w:val="18"/>
              </w:rPr>
              <w:t xml:space="preserve">0% - contribution </w:t>
            </w:r>
            <w:r w:rsidR="0018299B">
              <w:rPr>
                <w:sz w:val="18"/>
                <w:szCs w:val="18"/>
              </w:rPr>
              <w:t>rate</w:t>
            </w:r>
            <w:r w:rsidR="0018299B" w:rsidRPr="001B792E">
              <w:rPr>
                <w:sz w:val="18"/>
                <w:szCs w:val="18"/>
              </w:rPr>
              <w:t xml:space="preserve"> </w:t>
            </w:r>
            <w:r w:rsidRPr="001B792E">
              <w:rPr>
                <w:sz w:val="18"/>
                <w:szCs w:val="18"/>
              </w:rPr>
              <w:t>possible</w:t>
            </w:r>
          </w:p>
        </w:tc>
        <w:tc>
          <w:tcPr>
            <w:tcW w:w="2185" w:type="dxa"/>
            <w:gridSpan w:val="2"/>
            <w:tcBorders>
              <w:top w:val="single" w:sz="4" w:space="0" w:color="D9D9DA" w:themeColor="text1" w:themeTint="33"/>
              <w:left w:val="single" w:sz="4" w:space="0" w:color="D9D9DA" w:themeColor="text1" w:themeTint="33"/>
              <w:bottom w:val="single" w:sz="4" w:space="0" w:color="D9D9DA" w:themeColor="text1" w:themeTint="33"/>
            </w:tcBorders>
            <w:vAlign w:val="top"/>
          </w:tcPr>
          <w:p w14:paraId="06DDB025" w14:textId="6AB1A6ED" w:rsidR="00BC1CE5" w:rsidRPr="001B792E" w:rsidRDefault="00BC1CE5" w:rsidP="00AD7B83">
            <w:pPr>
              <w:pStyle w:val="NoSpacing"/>
              <w:rPr>
                <w:sz w:val="18"/>
                <w:szCs w:val="18"/>
              </w:rPr>
            </w:pPr>
            <w:r w:rsidRPr="001B792E">
              <w:rPr>
                <w:sz w:val="18"/>
                <w:szCs w:val="18"/>
              </w:rPr>
              <w:t xml:space="preserve">0% - contribution </w:t>
            </w:r>
            <w:r w:rsidR="0018299B">
              <w:rPr>
                <w:sz w:val="18"/>
                <w:szCs w:val="18"/>
              </w:rPr>
              <w:t>rate</w:t>
            </w:r>
            <w:r w:rsidR="0018299B" w:rsidRPr="001B792E">
              <w:rPr>
                <w:sz w:val="18"/>
                <w:szCs w:val="18"/>
              </w:rPr>
              <w:t xml:space="preserve"> </w:t>
            </w:r>
            <w:r w:rsidRPr="001B792E">
              <w:rPr>
                <w:sz w:val="18"/>
                <w:szCs w:val="18"/>
              </w:rPr>
              <w:t>possible</w:t>
            </w:r>
          </w:p>
        </w:tc>
      </w:tr>
      <w:tr w:rsidR="000E4343" w:rsidRPr="000B4336" w14:paraId="64EDD0B7" w14:textId="77777777" w:rsidTr="001B792E">
        <w:trPr>
          <w:gridAfter w:val="1"/>
          <w:cnfStyle w:val="000000010000" w:firstRow="0" w:lastRow="0" w:firstColumn="0" w:lastColumn="0" w:oddVBand="0" w:evenVBand="0" w:oddHBand="0" w:evenHBand="1" w:firstRowFirstColumn="0" w:firstRowLastColumn="0" w:lastRowFirstColumn="0" w:lastRowLastColumn="0"/>
          <w:wAfter w:w="38" w:type="dxa"/>
          <w:jc w:val="center"/>
        </w:trPr>
        <w:tc>
          <w:tcPr>
            <w:tcW w:w="1735" w:type="dxa"/>
            <w:tcBorders>
              <w:top w:val="single" w:sz="4" w:space="0" w:color="D9D9DA" w:themeColor="text1" w:themeTint="33"/>
              <w:bottom w:val="single" w:sz="4" w:space="0" w:color="D9D9DA" w:themeColor="text1" w:themeTint="33"/>
              <w:right w:val="single" w:sz="4" w:space="0" w:color="D9D9DA" w:themeColor="text1" w:themeTint="33"/>
            </w:tcBorders>
            <w:vAlign w:val="top"/>
          </w:tcPr>
          <w:p w14:paraId="7B9E4BF3" w14:textId="0DBA02B3" w:rsidR="000E4343" w:rsidRPr="00740AC4" w:rsidRDefault="000E4343" w:rsidP="00AD7B83">
            <w:pPr>
              <w:pStyle w:val="NoSpacing"/>
              <w:rPr>
                <w:b/>
                <w:bCs/>
                <w:sz w:val="18"/>
                <w:szCs w:val="18"/>
              </w:rPr>
            </w:pPr>
            <w:r w:rsidRPr="3CA178B6">
              <w:rPr>
                <w:b/>
                <w:bCs/>
                <w:sz w:val="18"/>
                <w:szCs w:val="18"/>
              </w:rPr>
              <w:t>2025 cessation basis</w:t>
            </w:r>
          </w:p>
        </w:tc>
        <w:tc>
          <w:tcPr>
            <w:tcW w:w="9058" w:type="dxa"/>
            <w:gridSpan w:val="5"/>
            <w:tcBorders>
              <w:top w:val="single" w:sz="4" w:space="0" w:color="D9D9DA" w:themeColor="text1" w:themeTint="33"/>
              <w:left w:val="single" w:sz="4" w:space="0" w:color="D9D9DA" w:themeColor="text1" w:themeTint="33"/>
              <w:bottom w:val="single" w:sz="4" w:space="0" w:color="D9D9DA" w:themeColor="text1" w:themeTint="33"/>
            </w:tcBorders>
            <w:vAlign w:val="top"/>
          </w:tcPr>
          <w:p w14:paraId="1126FF52" w14:textId="77777777" w:rsidR="000E4343" w:rsidRPr="001B792E" w:rsidRDefault="000E4343" w:rsidP="000E4343">
            <w:pPr>
              <w:pStyle w:val="NoSpacing"/>
              <w:rPr>
                <w:sz w:val="18"/>
                <w:szCs w:val="18"/>
              </w:rPr>
            </w:pPr>
            <w:r w:rsidRPr="001B792E">
              <w:rPr>
                <w:sz w:val="18"/>
                <w:szCs w:val="18"/>
              </w:rPr>
              <w:t>No subsuming guarantor – full cessation basis</w:t>
            </w:r>
          </w:p>
          <w:p w14:paraId="201DA1E1" w14:textId="77777777" w:rsidR="000E4343" w:rsidRPr="001B792E" w:rsidRDefault="000E4343" w:rsidP="000E4343">
            <w:pPr>
              <w:pStyle w:val="NoSpacing"/>
              <w:rPr>
                <w:sz w:val="18"/>
                <w:szCs w:val="18"/>
              </w:rPr>
            </w:pPr>
            <w:r w:rsidRPr="001B792E">
              <w:rPr>
                <w:sz w:val="18"/>
                <w:szCs w:val="18"/>
              </w:rPr>
              <w:t>With subsuming guarantor – ongoing basis</w:t>
            </w:r>
          </w:p>
          <w:p w14:paraId="2194CF9F" w14:textId="77777777" w:rsidR="000E4343" w:rsidRPr="001B792E" w:rsidRDefault="000E4343" w:rsidP="00AD7B83">
            <w:pPr>
              <w:pStyle w:val="NoSpacing"/>
              <w:rPr>
                <w:sz w:val="18"/>
                <w:szCs w:val="18"/>
              </w:rPr>
            </w:pPr>
          </w:p>
        </w:tc>
      </w:tr>
    </w:tbl>
    <w:p w14:paraId="33C26C2E" w14:textId="77777777" w:rsidR="00630699" w:rsidRDefault="00630699" w:rsidP="00BC1CE5">
      <w:pPr>
        <w:pStyle w:val="BodyText"/>
      </w:pPr>
    </w:p>
    <w:p w14:paraId="2227C756" w14:textId="4ABC457B" w:rsidR="00BC1CE5" w:rsidRDefault="00BC1CE5" w:rsidP="00BC1CE5">
      <w:pPr>
        <w:pStyle w:val="BodyText"/>
      </w:pPr>
      <w:r w:rsidRPr="00011C59">
        <w:t>In exceptional circumstances, the Administering Authority may agree contributions that do not align with the table above. In such circumstances, advice will be sought from the Fund Actuary.</w:t>
      </w:r>
    </w:p>
    <w:p w14:paraId="673C271D" w14:textId="77777777" w:rsidR="00F368BC" w:rsidRPr="00F368BC" w:rsidRDefault="00F368BC" w:rsidP="00F368BC">
      <w:pPr>
        <w:rPr>
          <w:lang w:val="en-GB" w:bidi="ar-SA"/>
        </w:rPr>
        <w:sectPr w:rsidR="00F368BC" w:rsidRPr="00F368BC" w:rsidSect="00F368BC">
          <w:pgSz w:w="16838" w:h="11906" w:orient="landscape"/>
          <w:pgMar w:top="2127" w:right="2268" w:bottom="1020" w:left="1440" w:header="708" w:footer="708" w:gutter="0"/>
          <w:cols w:space="708"/>
          <w:docGrid w:linePitch="360"/>
        </w:sectPr>
      </w:pPr>
    </w:p>
    <w:p w14:paraId="7A81A1D9" w14:textId="0AD46438" w:rsidR="00B53BF6" w:rsidRDefault="00B53BF6" w:rsidP="00B53BF6">
      <w:pPr>
        <w:pStyle w:val="Heading2"/>
      </w:pPr>
      <w:bookmarkStart w:id="10" w:name="_Toc222823309"/>
      <w:r>
        <w:lastRenderedPageBreak/>
        <w:t>Managing risk</w:t>
      </w:r>
      <w:bookmarkEnd w:id="10"/>
    </w:p>
    <w:p w14:paraId="5A2B05EE" w14:textId="77777777" w:rsidR="00B53BF6" w:rsidRDefault="00B53BF6" w:rsidP="00B53BF6">
      <w:pPr>
        <w:spacing w:after="200"/>
      </w:pPr>
      <w:r w:rsidRPr="73138C69">
        <w:rPr>
          <w:rFonts w:eastAsia="Segoe UI" w:cs="Segoe UI"/>
          <w:lang w:val="en-GB"/>
        </w:rPr>
        <w:t>Whilst our funding strategy aims to satisfy the funding objectives of ensuring sufficient assets to meet liabilities and stable levels of employer contributions, there are risks that may impact on the ability of the strategy to meet our funding objectives.</w:t>
      </w:r>
    </w:p>
    <w:p w14:paraId="3F8F5E4B" w14:textId="77777777" w:rsidR="00B53BF6" w:rsidRPr="00B12FAF" w:rsidRDefault="00B53BF6" w:rsidP="00B53BF6">
      <w:pPr>
        <w:spacing w:after="200"/>
        <w:rPr>
          <w:rFonts w:eastAsia="Segoe UI" w:cs="Segoe UI"/>
          <w:lang w:val="en-GB"/>
        </w:rPr>
      </w:pPr>
      <w:r w:rsidRPr="73138C69">
        <w:rPr>
          <w:rFonts w:eastAsia="Segoe UI" w:cs="Segoe UI"/>
          <w:lang w:val="en-GB"/>
        </w:rPr>
        <w:t xml:space="preserve">The major risks to the funding strategy are financial, although there are other external factors including demographic risks, </w:t>
      </w:r>
      <w:r w:rsidRPr="00B12FAF">
        <w:rPr>
          <w:rFonts w:eastAsia="Segoe UI" w:cs="Segoe UI"/>
          <w:lang w:val="en-GB"/>
        </w:rPr>
        <w:t>regulatory risks and governance risks.</w:t>
      </w:r>
    </w:p>
    <w:p w14:paraId="7A212D1F" w14:textId="3C5DB288" w:rsidR="00B53BF6" w:rsidRDefault="00B53BF6" w:rsidP="3CA178B6">
      <w:pPr>
        <w:spacing w:after="200"/>
        <w:rPr>
          <w:rFonts w:eastAsia="Segoe UI" w:cs="Segoe UI"/>
          <w:lang w:val="en-GB"/>
        </w:rPr>
      </w:pPr>
      <w:r w:rsidRPr="00B12FAF">
        <w:rPr>
          <w:rFonts w:eastAsia="Segoe UI" w:cs="Segoe UI"/>
          <w:lang w:val="en-GB"/>
        </w:rPr>
        <w:t xml:space="preserve">We maintain a risk register, available </w:t>
      </w:r>
      <w:hyperlink r:id="rId19" w:history="1">
        <w:r w:rsidR="00224EAE" w:rsidRPr="00B12FAF">
          <w:rPr>
            <w:rStyle w:val="Hyperlink"/>
            <w:rFonts w:eastAsia="Segoe UI" w:cs="Segoe UI"/>
            <w:lang w:val="en-GB"/>
          </w:rPr>
          <w:t>here</w:t>
        </w:r>
      </w:hyperlink>
      <w:r w:rsidRPr="00B12FAF">
        <w:rPr>
          <w:rFonts w:eastAsia="Segoe UI" w:cs="Segoe UI"/>
          <w:lang w:val="en-GB"/>
        </w:rPr>
        <w:t>, where</w:t>
      </w:r>
      <w:r w:rsidRPr="3CA178B6">
        <w:rPr>
          <w:rFonts w:eastAsia="Segoe UI" w:cs="Segoe UI"/>
          <w:lang w:val="en-GB"/>
        </w:rPr>
        <w:t xml:space="preserve"> recent developments are reported. More detail of the various funding-specific risks can be found in </w:t>
      </w:r>
      <w:r w:rsidR="00C24378">
        <w:rPr>
          <w:rFonts w:eastAsia="Segoe UI" w:cs="Segoe UI"/>
          <w:lang w:val="en-GB"/>
        </w:rPr>
        <w:fldChar w:fldCharType="begin"/>
      </w:r>
      <w:r w:rsidR="00C24378">
        <w:rPr>
          <w:rFonts w:eastAsia="Segoe UI" w:cs="Segoe UI"/>
          <w:lang w:val="en-GB"/>
        </w:rPr>
        <w:instrText xml:space="preserve"> REF _Ref204266482 \h </w:instrText>
      </w:r>
      <w:r w:rsidR="00C24378">
        <w:rPr>
          <w:rFonts w:eastAsia="Segoe UI" w:cs="Segoe UI"/>
          <w:lang w:val="en-GB"/>
        </w:rPr>
      </w:r>
      <w:r w:rsidR="00C24378">
        <w:rPr>
          <w:rFonts w:eastAsia="Segoe UI" w:cs="Segoe UI"/>
          <w:lang w:val="en-GB"/>
        </w:rPr>
        <w:fldChar w:fldCharType="separate"/>
      </w:r>
      <w:r w:rsidR="00C24378">
        <w:t xml:space="preserve">Annex </w:t>
      </w:r>
      <w:r w:rsidR="0018299B">
        <w:t>D</w:t>
      </w:r>
      <w:r w:rsidR="00C24378">
        <w:t>: Managing Risks</w:t>
      </w:r>
      <w:r w:rsidR="00C24378">
        <w:rPr>
          <w:rFonts w:eastAsia="Segoe UI" w:cs="Segoe UI"/>
          <w:lang w:val="en-GB"/>
        </w:rPr>
        <w:fldChar w:fldCharType="end"/>
      </w:r>
    </w:p>
    <w:p w14:paraId="65CD0235" w14:textId="77777777" w:rsidR="00B53BF6" w:rsidRDefault="00B53BF6" w:rsidP="003D11ED">
      <w:pPr>
        <w:pStyle w:val="Heading2"/>
      </w:pPr>
      <w:bookmarkStart w:id="11" w:name="_Ref204267986"/>
      <w:bookmarkStart w:id="12" w:name="_Toc222823310"/>
      <w:r>
        <w:t>Main actuarial assumptions</w:t>
      </w:r>
      <w:bookmarkEnd w:id="11"/>
      <w:bookmarkEnd w:id="12"/>
    </w:p>
    <w:p w14:paraId="04DAA684" w14:textId="457D86C9" w:rsidR="00B53BF6" w:rsidRDefault="003A5615" w:rsidP="00B53BF6">
      <w:pPr>
        <w:spacing w:after="200"/>
        <w:rPr>
          <w:rFonts w:eastAsia="Segoe UI" w:cs="Segoe UI"/>
        </w:rPr>
      </w:pPr>
      <w:r w:rsidRPr="3CA178B6">
        <w:rPr>
          <w:rFonts w:eastAsia="Segoe UI" w:cs="Segoe UI"/>
        </w:rPr>
        <w:t>To value liabilities, the</w:t>
      </w:r>
      <w:r w:rsidR="00B53BF6" w:rsidRPr="3CA178B6">
        <w:rPr>
          <w:rFonts w:eastAsia="Segoe UI" w:cs="Segoe UI"/>
        </w:rPr>
        <w:t xml:space="preserve"> Fund Actuary needs to make assumptions about the factors affecting the Fund's future finances such as price inflation, pay increases, investment returns, rates of mortality, early retirement and </w:t>
      </w:r>
      <w:r w:rsidR="00B53930">
        <w:rPr>
          <w:rFonts w:eastAsia="Segoe UI" w:cs="Segoe UI"/>
        </w:rPr>
        <w:t>employee</w:t>
      </w:r>
      <w:r w:rsidR="00B53930" w:rsidRPr="3CA178B6">
        <w:rPr>
          <w:rFonts w:eastAsia="Segoe UI" w:cs="Segoe UI"/>
        </w:rPr>
        <w:t xml:space="preserve"> </w:t>
      </w:r>
      <w:r w:rsidR="00B53BF6" w:rsidRPr="3CA178B6">
        <w:rPr>
          <w:rFonts w:eastAsia="Segoe UI" w:cs="Segoe UI"/>
        </w:rPr>
        <w:t>turnover etc.</w:t>
      </w:r>
    </w:p>
    <w:p w14:paraId="5332C1B6" w14:textId="77777777" w:rsidR="00B53BF6" w:rsidRDefault="00B53BF6" w:rsidP="00B53BF6">
      <w:pPr>
        <w:spacing w:after="200"/>
      </w:pPr>
      <w:r w:rsidRPr="73138C69">
        <w:rPr>
          <w:rFonts w:eastAsia="Segoe UI" w:cs="Segoe UI"/>
        </w:rPr>
        <w:t>The assumptions adopted at the valuation can be considered as:</w:t>
      </w:r>
    </w:p>
    <w:p w14:paraId="5D3E3FF4" w14:textId="77777777" w:rsidR="00B53BF6" w:rsidRDefault="00B53BF6" w:rsidP="00B53BF6">
      <w:pPr>
        <w:pStyle w:val="List"/>
      </w:pPr>
      <w:r>
        <w:t>The demographic (or statistical) assumptions which are essentially estimates of the likelihood or timing of benefits and contributions being paid, and</w:t>
      </w:r>
    </w:p>
    <w:p w14:paraId="38284F81" w14:textId="77777777" w:rsidR="00B53BF6" w:rsidRDefault="00B53BF6" w:rsidP="00B53BF6">
      <w:pPr>
        <w:pStyle w:val="List"/>
      </w:pPr>
      <w:r>
        <w:t>The financial assumptions which will determine the estimated value of the amount of benefits and contributions payable.</w:t>
      </w:r>
    </w:p>
    <w:p w14:paraId="7D7ED5DC" w14:textId="7E404EA1" w:rsidR="00B53BF6" w:rsidRPr="00F2122E" w:rsidRDefault="00B53BF6" w:rsidP="00B53BF6">
      <w:pPr>
        <w:pStyle w:val="BodyText"/>
        <w:rPr>
          <w:rStyle w:val="BodyTextChar"/>
        </w:rPr>
      </w:pPr>
      <w:r>
        <w:t>A summary of our methodology to determine and monitor the actuarial assumptions</w:t>
      </w:r>
      <w:r w:rsidR="006F5E06">
        <w:t xml:space="preserve"> </w:t>
      </w:r>
      <w:r>
        <w:t xml:space="preserve">is </w:t>
      </w:r>
      <w:r w:rsidRPr="3CA178B6">
        <w:rPr>
          <w:rStyle w:val="BodyTextChar"/>
        </w:rPr>
        <w:t xml:space="preserve">explained below. </w:t>
      </w:r>
      <w:r w:rsidR="00917A1C" w:rsidRPr="3CA178B6">
        <w:rPr>
          <w:rStyle w:val="BodyTextChar"/>
        </w:rPr>
        <w:t>Financial assumptions are based on a particular date</w:t>
      </w:r>
      <w:r w:rsidR="0084233F" w:rsidRPr="3CA178B6">
        <w:rPr>
          <w:rStyle w:val="BodyTextChar"/>
        </w:rPr>
        <w:t xml:space="preserve"> and </w:t>
      </w:r>
      <w:r w:rsidRPr="3CA178B6">
        <w:rPr>
          <w:rFonts w:eastAsia="Segoe UI" w:cs="Segoe UI"/>
        </w:rPr>
        <w:t xml:space="preserve">consider average market yields over the six months straddling the </w:t>
      </w:r>
      <w:r w:rsidR="0084233F" w:rsidRPr="3CA178B6">
        <w:rPr>
          <w:rFonts w:eastAsia="Segoe UI" w:cs="Segoe UI"/>
        </w:rPr>
        <w:t>relevant date. The relevant date may be the date of the valuation, or the date an employer joins or leaves the Fund.</w:t>
      </w:r>
      <w:r w:rsidRPr="3CA178B6">
        <w:rPr>
          <w:rStyle w:val="BodyTextChar"/>
        </w:rPr>
        <w:t xml:space="preserve"> </w:t>
      </w:r>
    </w:p>
    <w:p w14:paraId="64EC4C7A" w14:textId="18F89DF2" w:rsidR="00B53BF6" w:rsidRDefault="00B53BF6" w:rsidP="00783C24">
      <w:pPr>
        <w:pStyle w:val="Heading3"/>
      </w:pPr>
      <w:r>
        <w:t xml:space="preserve">Retail Prices Index (RPI) inflation </w:t>
      </w:r>
    </w:p>
    <w:p w14:paraId="583EC414" w14:textId="77777777" w:rsidR="00B53BF6" w:rsidRPr="001B792E" w:rsidRDefault="00B53BF6" w:rsidP="00B53BF6">
      <w:pPr>
        <w:spacing w:after="200"/>
        <w:rPr>
          <w:rFonts w:eastAsia="Segoe UI" w:cs="Segoe UI"/>
        </w:rPr>
      </w:pPr>
      <w:r w:rsidRPr="73138C69">
        <w:rPr>
          <w:rFonts w:eastAsia="Segoe UI" w:cs="Segoe UI"/>
        </w:rPr>
        <w:t>To measure the future level of price inflation over the long-term</w:t>
      </w:r>
      <w:r w:rsidRPr="00C74FF4">
        <w:rPr>
          <w:rFonts w:eastAsia="Segoe UI" w:cs="Segoe UI"/>
        </w:rPr>
        <w:t>,</w:t>
      </w:r>
      <w:r w:rsidRPr="001B792E">
        <w:rPr>
          <w:rFonts w:eastAsia="Segoe UI" w:cs="Segoe UI"/>
        </w:rPr>
        <w:t xml:space="preserve"> we use the 20 year point on the Bank of England implied RPI inflation curve. A fixed inflation risk premium deduction of 0.3% p.a. is made to the assumption. </w:t>
      </w:r>
    </w:p>
    <w:p w14:paraId="7AF51259" w14:textId="77777777" w:rsidR="00B53BF6" w:rsidRDefault="00B53BF6" w:rsidP="00B53BF6">
      <w:pPr>
        <w:pStyle w:val="Sub-heading"/>
      </w:pPr>
      <w:r>
        <w:t>Consumer Prices Index (CPI) inflation (future revaluation and pension increases)</w:t>
      </w:r>
    </w:p>
    <w:p w14:paraId="404EBA6B" w14:textId="68126017" w:rsidR="00B53BF6" w:rsidRPr="00D429D0" w:rsidRDefault="00B53BF6" w:rsidP="00B53BF6">
      <w:pPr>
        <w:spacing w:after="200"/>
      </w:pPr>
      <w:r w:rsidRPr="73138C69">
        <w:rPr>
          <w:rFonts w:eastAsia="Segoe UI" w:cs="Segoe UI"/>
        </w:rPr>
        <w:t xml:space="preserve">Pension increases, both in payment and the rate of revaluation applied to pension accounts, are linked to changes in the level of the CPI. Inflation as measured by the CPI has historically been less than RPI due mainly to different calculation methods. </w:t>
      </w:r>
      <w:r w:rsidR="00943850" w:rsidRPr="00943850">
        <w:rPr>
          <w:rFonts w:eastAsia="Segoe UI" w:cs="Segoe UI"/>
        </w:rPr>
        <w:t>Based on analysis</w:t>
      </w:r>
      <w:r w:rsidR="00010D21">
        <w:rPr>
          <w:rFonts w:eastAsia="Segoe UI" w:cs="Segoe UI"/>
        </w:rPr>
        <w:t xml:space="preserve"> undertaken by the Fund Actuary</w:t>
      </w:r>
      <w:r w:rsidR="00943850" w:rsidRPr="00C74FF4">
        <w:rPr>
          <w:rFonts w:eastAsia="Segoe UI" w:cs="Segoe UI"/>
        </w:rPr>
        <w:t xml:space="preserve">, </w:t>
      </w:r>
      <w:r w:rsidR="00943850" w:rsidRPr="001B792E">
        <w:rPr>
          <w:rFonts w:eastAsia="Segoe UI" w:cs="Segoe UI"/>
        </w:rPr>
        <w:t>a deduction of 0.4% p.a. is made to the RPI assumption to derive the CPI assumption as at 31 March 2025. This deduction will taper down to 0.2% p.a. by February 2030 when it is anticipated that the RPI will be aligned with the Consumer Prices Index including owner occupiers’ housing costs (CPIH).</w:t>
      </w:r>
    </w:p>
    <w:p w14:paraId="27528353" w14:textId="77777777" w:rsidR="00B53BF6" w:rsidRPr="00D429D0" w:rsidRDefault="00B53BF6" w:rsidP="00B53BF6">
      <w:pPr>
        <w:pStyle w:val="Heading3"/>
        <w:rPr>
          <w:rFonts w:eastAsia="Segoe UI Semibold" w:cs="Segoe UI Semibold"/>
        </w:rPr>
      </w:pPr>
      <w:r w:rsidRPr="3CA178B6">
        <w:rPr>
          <w:rFonts w:eastAsia="Segoe UI Semibold" w:cs="Segoe UI Semibold"/>
        </w:rPr>
        <w:t>Pay increases</w:t>
      </w:r>
    </w:p>
    <w:p w14:paraId="2384C293" w14:textId="1D08D271" w:rsidR="00B53BF6" w:rsidRPr="00D429D0" w:rsidRDefault="00B53BF6" w:rsidP="00B53BF6">
      <w:pPr>
        <w:spacing w:after="200"/>
      </w:pPr>
      <w:r w:rsidRPr="73138C69">
        <w:rPr>
          <w:rFonts w:eastAsia="Segoe UI" w:cs="Segoe UI"/>
        </w:rPr>
        <w:t xml:space="preserve">As some of the benefits are still linked to final pay, the Fund Actuary needs to make an assumption as to future levels of pay increases. Historically, there has been a close link between price inflation and pay increases with </w:t>
      </w:r>
      <w:r w:rsidRPr="73138C69">
        <w:rPr>
          <w:rFonts w:eastAsia="Segoe UI" w:cs="Segoe UI"/>
        </w:rPr>
        <w:lastRenderedPageBreak/>
        <w:t xml:space="preserve">pay increases exceeding price inflation in the longer </w:t>
      </w:r>
      <w:r w:rsidRPr="00C74FF4">
        <w:rPr>
          <w:rFonts w:eastAsia="Segoe UI" w:cs="Segoe UI"/>
        </w:rPr>
        <w:t xml:space="preserve">term. </w:t>
      </w:r>
      <w:r w:rsidRPr="001B792E">
        <w:rPr>
          <w:rFonts w:eastAsia="Segoe UI" w:cs="Segoe UI"/>
        </w:rPr>
        <w:t>The long-term pay increase assumption adopted was CPI plus 1.0% p.a. which includes allowance for promotional increases.</w:t>
      </w:r>
    </w:p>
    <w:p w14:paraId="37293674" w14:textId="15E7E099" w:rsidR="00B53BF6" w:rsidRPr="00D429D0" w:rsidRDefault="00B53BF6" w:rsidP="00B53BF6">
      <w:pPr>
        <w:pStyle w:val="Heading3"/>
      </w:pPr>
      <w:r w:rsidRPr="73138C69">
        <w:rPr>
          <w:rFonts w:eastAsia="Segoe UI Semibold" w:cs="Segoe UI Semibold"/>
        </w:rPr>
        <w:t>Future investment returns/</w:t>
      </w:r>
      <w:r w:rsidR="00A42F53">
        <w:rPr>
          <w:rFonts w:eastAsia="Segoe UI Semibold" w:cs="Segoe UI Semibold"/>
        </w:rPr>
        <w:t xml:space="preserve"> </w:t>
      </w:r>
      <w:r w:rsidRPr="73138C69">
        <w:rPr>
          <w:rFonts w:eastAsia="Segoe UI Semibold" w:cs="Segoe UI Semibold"/>
        </w:rPr>
        <w:t>discount rate</w:t>
      </w:r>
    </w:p>
    <w:p w14:paraId="6C91E332" w14:textId="766821DA" w:rsidR="00F842E0" w:rsidRDefault="00B53BF6">
      <w:pPr>
        <w:spacing w:after="200"/>
        <w:rPr>
          <w:rFonts w:eastAsia="Segoe UI" w:cs="Segoe UI"/>
        </w:rPr>
      </w:pPr>
      <w:r w:rsidRPr="73138C69">
        <w:rPr>
          <w:rFonts w:eastAsia="Segoe UI" w:cs="Segoe UI"/>
        </w:rPr>
        <w:t>To determine the value of accrued liabilities and derive future contribution requirements it is necessary to discount future payments to present day values.</w:t>
      </w:r>
      <w:r w:rsidRPr="7122E37C">
        <w:rPr>
          <w:rFonts w:eastAsia="Segoe UI" w:cs="Segoe UI"/>
        </w:rPr>
        <w:t xml:space="preserve"> </w:t>
      </w:r>
      <w:r w:rsidR="00892687" w:rsidRPr="7122E37C">
        <w:rPr>
          <w:rFonts w:eastAsia="Segoe UI" w:cs="Segoe UI"/>
        </w:rPr>
        <w:t>The discount rate that is applied to all projected liabilities reflects an estimate of the rate of investment return that is expected to be earned from the underlying investment strategy by considering average market yields in the six month</w:t>
      </w:r>
      <w:r w:rsidR="00666A2D" w:rsidRPr="7122E37C">
        <w:rPr>
          <w:rFonts w:eastAsia="Segoe UI" w:cs="Segoe UI"/>
        </w:rPr>
        <w:t>s</w:t>
      </w:r>
      <w:r w:rsidR="00892687" w:rsidRPr="7122E37C">
        <w:rPr>
          <w:rFonts w:eastAsia="Segoe UI" w:cs="Segoe UI"/>
        </w:rPr>
        <w:t xml:space="preserve"> straddling</w:t>
      </w:r>
      <w:r w:rsidR="001A1947" w:rsidRPr="7122E37C">
        <w:rPr>
          <w:rFonts w:eastAsia="Segoe UI" w:cs="Segoe UI"/>
        </w:rPr>
        <w:t xml:space="preserve"> the </w:t>
      </w:r>
      <w:r w:rsidR="00752F7D" w:rsidRPr="7122E37C">
        <w:rPr>
          <w:rFonts w:eastAsia="Segoe UI" w:cs="Segoe UI"/>
        </w:rPr>
        <w:t>relevant date.</w:t>
      </w:r>
      <w:r w:rsidR="00666A2D" w:rsidRPr="7122E37C">
        <w:rPr>
          <w:rFonts w:eastAsia="Segoe UI" w:cs="Segoe UI"/>
        </w:rPr>
        <w:t xml:space="preserve"> </w:t>
      </w:r>
    </w:p>
    <w:p w14:paraId="6D10AC36" w14:textId="6414AF64" w:rsidR="00B53BF6" w:rsidRDefault="005234ED">
      <w:pPr>
        <w:spacing w:after="200"/>
        <w:rPr>
          <w:rFonts w:eastAsia="Segoe UI" w:cs="Segoe UI"/>
        </w:rPr>
      </w:pPr>
      <w:r w:rsidRPr="3CA178B6">
        <w:rPr>
          <w:rFonts w:eastAsia="Segoe UI" w:cs="Segoe UI"/>
        </w:rPr>
        <w:t xml:space="preserve">The discount </w:t>
      </w:r>
      <w:r w:rsidR="007A2A92" w:rsidRPr="3CA178B6">
        <w:rPr>
          <w:rFonts w:eastAsia="Segoe UI" w:cs="Segoe UI"/>
        </w:rPr>
        <w:t>rate</w:t>
      </w:r>
      <w:r w:rsidR="0074532B" w:rsidRPr="3CA178B6">
        <w:rPr>
          <w:rFonts w:eastAsia="Segoe UI" w:cs="Segoe UI"/>
        </w:rPr>
        <w:t xml:space="preserve"> </w:t>
      </w:r>
      <w:r w:rsidR="00CA3826" w:rsidRPr="3CA178B6">
        <w:rPr>
          <w:rFonts w:eastAsia="Segoe UI" w:cs="Segoe UI"/>
        </w:rPr>
        <w:t xml:space="preserve">is </w:t>
      </w:r>
      <w:r w:rsidR="00666A2D">
        <w:rPr>
          <w:rFonts w:eastAsia="Segoe UI" w:cs="Segoe UI"/>
        </w:rPr>
        <w:t>this rate of return</w:t>
      </w:r>
      <w:r w:rsidR="00CA3826" w:rsidRPr="3CA178B6">
        <w:rPr>
          <w:rFonts w:eastAsia="Segoe UI" w:cs="Segoe UI"/>
        </w:rPr>
        <w:t xml:space="preserve"> </w:t>
      </w:r>
      <w:r w:rsidR="008E0D04" w:rsidRPr="3CA178B6">
        <w:rPr>
          <w:rFonts w:eastAsia="Segoe UI" w:cs="Segoe UI"/>
        </w:rPr>
        <w:t>with an adjustment for prudence</w:t>
      </w:r>
      <w:r w:rsidR="00330804">
        <w:rPr>
          <w:rFonts w:eastAsia="Segoe UI" w:cs="Segoe UI"/>
        </w:rPr>
        <w:t>.</w:t>
      </w:r>
      <w:r w:rsidR="00A26433">
        <w:rPr>
          <w:rFonts w:eastAsia="Segoe UI" w:cs="Segoe UI"/>
        </w:rPr>
        <w:t xml:space="preserve"> The adjustment for prudence</w:t>
      </w:r>
      <w:r w:rsidR="00AF7B0C">
        <w:rPr>
          <w:rFonts w:eastAsia="Segoe UI" w:cs="Segoe UI"/>
        </w:rPr>
        <w:t xml:space="preserve"> has the effect of, all else being equal, increasing the value of liabilities.</w:t>
      </w:r>
      <w:r w:rsidR="00534086">
        <w:rPr>
          <w:rFonts w:eastAsia="Segoe UI" w:cs="Segoe UI"/>
        </w:rPr>
        <w:t xml:space="preserve"> </w:t>
      </w:r>
    </w:p>
    <w:p w14:paraId="402DCA9E" w14:textId="0E8C01DA" w:rsidR="00B53BF6" w:rsidRDefault="00B53BF6" w:rsidP="3CA178B6">
      <w:pPr>
        <w:spacing w:after="200"/>
        <w:rPr>
          <w:rFonts w:eastAsia="Segoe UI" w:cs="Segoe UI"/>
        </w:rPr>
      </w:pPr>
      <w:r w:rsidRPr="001B792E">
        <w:rPr>
          <w:rFonts w:eastAsia="Segoe UI" w:cs="Segoe UI"/>
        </w:rPr>
        <w:t xml:space="preserve">The level of “prudence” in the ongoing discount rate has been determined based on a success probability of </w:t>
      </w:r>
      <w:r w:rsidR="00B0105E" w:rsidRPr="001B792E">
        <w:rPr>
          <w:rFonts w:eastAsia="Segoe UI" w:cs="Segoe UI"/>
        </w:rPr>
        <w:t>72</w:t>
      </w:r>
      <w:r w:rsidRPr="001B792E">
        <w:rPr>
          <w:rFonts w:eastAsia="Segoe UI" w:cs="Segoe UI"/>
        </w:rPr>
        <w:t xml:space="preserve">% which translates to a fixed deduction of </w:t>
      </w:r>
      <w:r w:rsidR="00B0105E" w:rsidRPr="001B792E">
        <w:rPr>
          <w:rFonts w:eastAsia="Segoe UI" w:cs="Segoe UI"/>
        </w:rPr>
        <w:t>1.8</w:t>
      </w:r>
      <w:r w:rsidRPr="001B792E">
        <w:rPr>
          <w:rFonts w:eastAsia="Segoe UI" w:cs="Segoe UI"/>
        </w:rPr>
        <w:t xml:space="preserve">% p.a. for all employers. </w:t>
      </w:r>
    </w:p>
    <w:p w14:paraId="02D6A8AD" w14:textId="638EBF8B" w:rsidR="003C156F" w:rsidRDefault="00C646CF" w:rsidP="3CA178B6">
      <w:pPr>
        <w:spacing w:after="200"/>
        <w:rPr>
          <w:rFonts w:eastAsia="Segoe UI" w:cs="Segoe UI"/>
        </w:rPr>
      </w:pPr>
      <w:r>
        <w:rPr>
          <w:rFonts w:eastAsia="Segoe UI" w:cs="Segoe UI"/>
        </w:rPr>
        <w:t xml:space="preserve">The adjustment for prudence is higher if the discount rate is used </w:t>
      </w:r>
      <w:r w:rsidR="000E346C">
        <w:rPr>
          <w:rFonts w:eastAsia="Segoe UI" w:cs="Segoe UI"/>
        </w:rPr>
        <w:t xml:space="preserve">to value liabilities where the employer is leaving the fund. Further detail is given in </w:t>
      </w:r>
      <w:r w:rsidR="00003C16">
        <w:rPr>
          <w:rFonts w:eastAsia="Segoe UI" w:cs="Segoe UI"/>
        </w:rPr>
        <w:fldChar w:fldCharType="begin"/>
      </w:r>
      <w:r w:rsidR="00003C16">
        <w:rPr>
          <w:rFonts w:eastAsia="Segoe UI" w:cs="Segoe UI"/>
          <w:highlight w:val="yellow"/>
        </w:rPr>
        <w:instrText xml:space="preserve"> REF _Ref204267203 \h </w:instrText>
      </w:r>
      <w:r w:rsidR="00003C16">
        <w:rPr>
          <w:rFonts w:eastAsia="Segoe UI" w:cs="Segoe UI"/>
        </w:rPr>
      </w:r>
      <w:r w:rsidR="00003C16">
        <w:rPr>
          <w:rFonts w:eastAsia="Segoe UI" w:cs="Segoe UI"/>
        </w:rPr>
        <w:fldChar w:fldCharType="separate"/>
      </w:r>
      <w:r w:rsidR="00003C16">
        <w:t>Process for determining the position on termination</w:t>
      </w:r>
      <w:r w:rsidR="00003C16">
        <w:rPr>
          <w:rFonts w:eastAsia="Segoe UI" w:cs="Segoe UI"/>
        </w:rPr>
        <w:fldChar w:fldCharType="end"/>
      </w:r>
      <w:r w:rsidR="00C8735A">
        <w:rPr>
          <w:rFonts w:eastAsia="Segoe UI" w:cs="Segoe UI"/>
        </w:rPr>
        <w:t xml:space="preserve"> section.</w:t>
      </w:r>
    </w:p>
    <w:p w14:paraId="03ACDEBD" w14:textId="2F8112C4" w:rsidR="00B53BF6" w:rsidRDefault="00B53BF6" w:rsidP="00B53BF6">
      <w:pPr>
        <w:pStyle w:val="Heading3"/>
        <w:rPr>
          <w:rFonts w:eastAsia="Segoe UI Semibold" w:cs="Segoe UI Semibold"/>
        </w:rPr>
      </w:pPr>
      <w:r w:rsidRPr="73138C69">
        <w:rPr>
          <w:rFonts w:eastAsia="Segoe UI Semibold" w:cs="Segoe UI Semibold"/>
        </w:rPr>
        <w:t>Demographic assumptions</w:t>
      </w:r>
    </w:p>
    <w:p w14:paraId="19E9AFBC" w14:textId="77777777" w:rsidR="00B53BF6" w:rsidRDefault="00B53BF6" w:rsidP="00B53BF6">
      <w:pPr>
        <w:spacing w:after="200"/>
      </w:pPr>
      <w:r w:rsidRPr="73138C69">
        <w:rPr>
          <w:rFonts w:eastAsia="Segoe UI" w:cs="Segoe UI"/>
          <w:lang w:val="en-GB"/>
        </w:rPr>
        <w:t xml:space="preserve">The demographic assumptions adopted are based on Fund-specific experience and national statistics, adjusted as appropriate to reflect the individual circumstances of the Fund and/or individual employers. </w:t>
      </w:r>
    </w:p>
    <w:p w14:paraId="3303A8E1" w14:textId="77777777" w:rsidR="00E073A3" w:rsidRDefault="00E073A3">
      <w:pPr>
        <w:spacing w:after="200" w:line="276" w:lineRule="auto"/>
        <w:rPr>
          <w:rFonts w:ascii="Segoe UI Semibold" w:eastAsia="Segoe UI Semibold" w:hAnsi="Segoe UI Semibold" w:cs="Segoe UI Semibold"/>
          <w:bCs/>
          <w:color w:val="68C0B5"/>
          <w:sz w:val="24"/>
          <w:szCs w:val="26"/>
          <w:lang w:val="en-GB" w:bidi="ar-SA"/>
        </w:rPr>
      </w:pPr>
      <w:r>
        <w:rPr>
          <w:rFonts w:eastAsia="Segoe UI Semibold" w:cs="Segoe UI Semibold"/>
        </w:rPr>
        <w:br w:type="page"/>
      </w:r>
    </w:p>
    <w:p w14:paraId="04958A3F" w14:textId="3162B698" w:rsidR="00BE29AE" w:rsidRDefault="00BE29AE" w:rsidP="00BE29AE">
      <w:pPr>
        <w:pStyle w:val="Heading3"/>
        <w:rPr>
          <w:rFonts w:eastAsia="Segoe UI Semibold" w:cs="Segoe UI Semibold"/>
        </w:rPr>
      </w:pPr>
      <w:r w:rsidRPr="7122E37C">
        <w:rPr>
          <w:rFonts w:eastAsia="Segoe UI Semibold" w:cs="Segoe UI Semibold"/>
        </w:rPr>
        <w:lastRenderedPageBreak/>
        <w:t>Valuation assumptions</w:t>
      </w:r>
    </w:p>
    <w:p w14:paraId="7CB3661A" w14:textId="02E6DFF6" w:rsidR="00B53BF6" w:rsidRPr="00FA02E6" w:rsidRDefault="001E1F32" w:rsidP="00B53BF6">
      <w:pPr>
        <w:spacing w:after="200"/>
        <w:rPr>
          <w:rFonts w:eastAsia="Segoe UI" w:cs="Segoe UI"/>
          <w:lang w:val="en-GB"/>
        </w:rPr>
      </w:pPr>
      <w:r w:rsidRPr="00FA02E6">
        <w:rPr>
          <w:rFonts w:eastAsia="Segoe UI" w:cs="Segoe UI"/>
          <w:lang w:val="en-GB"/>
        </w:rPr>
        <w:t>The</w:t>
      </w:r>
      <w:r w:rsidR="00E073A3" w:rsidRPr="00FA02E6">
        <w:rPr>
          <w:rFonts w:eastAsia="Segoe UI" w:cs="Segoe UI"/>
          <w:lang w:val="en-GB"/>
        </w:rPr>
        <w:t xml:space="preserve"> key</w:t>
      </w:r>
      <w:r w:rsidRPr="00FA02E6">
        <w:rPr>
          <w:rFonts w:eastAsia="Segoe UI" w:cs="Segoe UI"/>
          <w:lang w:val="en-GB"/>
        </w:rPr>
        <w:t xml:space="preserve"> assumptions used in the 2025 actuarial valuation </w:t>
      </w:r>
      <w:r w:rsidR="00EE71D6" w:rsidRPr="00FA02E6">
        <w:rPr>
          <w:rFonts w:eastAsia="Segoe UI" w:cs="Segoe UI"/>
          <w:lang w:val="en-GB"/>
        </w:rPr>
        <w:t xml:space="preserve">as at 31 March 2025 </w:t>
      </w:r>
      <w:r w:rsidRPr="00FA02E6">
        <w:rPr>
          <w:rFonts w:eastAsia="Segoe UI" w:cs="Segoe UI"/>
          <w:lang w:val="en-GB"/>
        </w:rPr>
        <w:t>are summarised below:</w:t>
      </w:r>
    </w:p>
    <w:tbl>
      <w:tblPr>
        <w:tblW w:w="8820" w:type="dxa"/>
        <w:tblLook w:val="04A0" w:firstRow="1" w:lastRow="0" w:firstColumn="1" w:lastColumn="0" w:noHBand="0" w:noVBand="1"/>
      </w:tblPr>
      <w:tblGrid>
        <w:gridCol w:w="6036"/>
        <w:gridCol w:w="2778"/>
        <w:gridCol w:w="222"/>
      </w:tblGrid>
      <w:tr w:rsidR="00E512B4" w:rsidRPr="00630699" w14:paraId="683890F8" w14:textId="77777777" w:rsidTr="3CCADBD1">
        <w:trPr>
          <w:gridAfter w:val="1"/>
          <w:wAfter w:w="6" w:type="dxa"/>
          <w:trHeight w:val="506"/>
        </w:trPr>
        <w:tc>
          <w:tcPr>
            <w:tcW w:w="6036" w:type="dxa"/>
            <w:vMerge w:val="restart"/>
            <w:tcBorders>
              <w:top w:val="single" w:sz="8" w:space="0" w:color="009FE3" w:themeColor="background2"/>
              <w:left w:val="nil"/>
              <w:bottom w:val="single" w:sz="8" w:space="0" w:color="009FE3" w:themeColor="background2"/>
              <w:right w:val="nil"/>
            </w:tcBorders>
            <w:shd w:val="clear" w:color="auto" w:fill="FFFFFF" w:themeFill="background1"/>
            <w:vAlign w:val="center"/>
            <w:hideMark/>
          </w:tcPr>
          <w:p w14:paraId="577A5960" w14:textId="77777777" w:rsidR="00E512B4" w:rsidRPr="001B792E" w:rsidRDefault="00E512B4" w:rsidP="00E512B4">
            <w:pPr>
              <w:rPr>
                <w:rFonts w:eastAsia="Times New Roman" w:cs="Segoe UI"/>
                <w:color w:val="41C0F0"/>
                <w:szCs w:val="20"/>
                <w:lang w:val="en-GB" w:eastAsia="en-GB" w:bidi="ar-SA"/>
              </w:rPr>
            </w:pPr>
            <w:r w:rsidRPr="001B792E">
              <w:rPr>
                <w:rFonts w:eastAsia="Times New Roman" w:cs="Segoe UI"/>
                <w:color w:val="41C0F0"/>
                <w:szCs w:val="20"/>
                <w:lang w:val="en-GB" w:eastAsia="en-GB" w:bidi="ar-SA"/>
              </w:rPr>
              <w:t>Assumptions</w:t>
            </w:r>
          </w:p>
        </w:tc>
        <w:tc>
          <w:tcPr>
            <w:tcW w:w="2778" w:type="dxa"/>
            <w:vMerge w:val="restart"/>
            <w:tcBorders>
              <w:top w:val="single" w:sz="8" w:space="0" w:color="009FE3" w:themeColor="background2"/>
              <w:left w:val="nil"/>
              <w:bottom w:val="single" w:sz="8" w:space="0" w:color="009FE3" w:themeColor="background2"/>
              <w:right w:val="nil"/>
            </w:tcBorders>
            <w:shd w:val="clear" w:color="auto" w:fill="FFFFFF" w:themeFill="background1"/>
            <w:vAlign w:val="center"/>
            <w:hideMark/>
          </w:tcPr>
          <w:p w14:paraId="0BC38E59" w14:textId="73312C20" w:rsidR="00E512B4" w:rsidRPr="001B792E" w:rsidRDefault="00E512B4" w:rsidP="00E512B4">
            <w:pPr>
              <w:jc w:val="center"/>
              <w:rPr>
                <w:rFonts w:eastAsia="Times New Roman" w:cs="Segoe UI"/>
                <w:color w:val="41C0F0"/>
                <w:szCs w:val="20"/>
                <w:lang w:val="en-GB" w:eastAsia="en-GB" w:bidi="ar-SA"/>
              </w:rPr>
            </w:pPr>
            <w:r w:rsidRPr="001B792E">
              <w:rPr>
                <w:rFonts w:eastAsia="Times New Roman" w:cs="Segoe UI"/>
                <w:color w:val="41C0F0"/>
                <w:szCs w:val="20"/>
                <w:lang w:val="en-GB" w:eastAsia="en-GB" w:bidi="ar-SA"/>
              </w:rPr>
              <w:t>Assumptions used for the 202</w:t>
            </w:r>
            <w:r w:rsidR="00E073A3" w:rsidRPr="001B792E">
              <w:rPr>
                <w:rFonts w:eastAsia="Times New Roman" w:cs="Segoe UI"/>
                <w:color w:val="41C0F0"/>
                <w:szCs w:val="20"/>
                <w:lang w:val="en-GB" w:eastAsia="en-GB" w:bidi="ar-SA"/>
              </w:rPr>
              <w:t>5</w:t>
            </w:r>
            <w:r w:rsidRPr="001B792E">
              <w:rPr>
                <w:rFonts w:eastAsia="Times New Roman" w:cs="Segoe UI"/>
                <w:color w:val="41C0F0"/>
                <w:szCs w:val="20"/>
                <w:lang w:val="en-GB" w:eastAsia="en-GB" w:bidi="ar-SA"/>
              </w:rPr>
              <w:t xml:space="preserve"> valuation</w:t>
            </w:r>
          </w:p>
        </w:tc>
      </w:tr>
      <w:tr w:rsidR="00E512B4" w:rsidRPr="00630699" w14:paraId="27D47CC9" w14:textId="77777777" w:rsidTr="3CCADBD1">
        <w:trPr>
          <w:trHeight w:val="300"/>
        </w:trPr>
        <w:tc>
          <w:tcPr>
            <w:tcW w:w="6036" w:type="dxa"/>
            <w:vMerge/>
            <w:vAlign w:val="center"/>
            <w:hideMark/>
          </w:tcPr>
          <w:p w14:paraId="5D1E737A" w14:textId="77777777" w:rsidR="00E512B4" w:rsidRPr="001B792E" w:rsidRDefault="00E512B4" w:rsidP="00E512B4">
            <w:pPr>
              <w:rPr>
                <w:rFonts w:eastAsia="Times New Roman" w:cs="Segoe UI"/>
                <w:color w:val="41C0F0"/>
                <w:szCs w:val="20"/>
                <w:lang w:val="en-GB" w:eastAsia="en-GB" w:bidi="ar-SA"/>
              </w:rPr>
            </w:pPr>
          </w:p>
        </w:tc>
        <w:tc>
          <w:tcPr>
            <w:tcW w:w="2778" w:type="dxa"/>
            <w:vMerge/>
            <w:vAlign w:val="center"/>
            <w:hideMark/>
          </w:tcPr>
          <w:p w14:paraId="7440F30C" w14:textId="77777777" w:rsidR="00E512B4" w:rsidRPr="001B792E" w:rsidRDefault="00E512B4" w:rsidP="00E512B4">
            <w:pPr>
              <w:rPr>
                <w:rFonts w:eastAsia="Times New Roman" w:cs="Segoe UI"/>
                <w:color w:val="41C0F0"/>
                <w:szCs w:val="20"/>
                <w:lang w:val="en-GB" w:eastAsia="en-GB" w:bidi="ar-SA"/>
              </w:rPr>
            </w:pPr>
          </w:p>
        </w:tc>
        <w:tc>
          <w:tcPr>
            <w:tcW w:w="6" w:type="dxa"/>
            <w:tcBorders>
              <w:top w:val="nil"/>
              <w:left w:val="nil"/>
              <w:bottom w:val="nil"/>
              <w:right w:val="nil"/>
            </w:tcBorders>
            <w:noWrap/>
            <w:vAlign w:val="bottom"/>
            <w:hideMark/>
          </w:tcPr>
          <w:p w14:paraId="7AB90A7E" w14:textId="77777777" w:rsidR="00E512B4" w:rsidRPr="00630699" w:rsidRDefault="00E512B4" w:rsidP="00E512B4">
            <w:pPr>
              <w:jc w:val="center"/>
              <w:rPr>
                <w:rFonts w:eastAsia="Times New Roman" w:cs="Segoe UI"/>
                <w:color w:val="41C0F0"/>
                <w:szCs w:val="20"/>
                <w:lang w:val="en-GB" w:eastAsia="en-GB" w:bidi="ar-SA"/>
              </w:rPr>
            </w:pPr>
          </w:p>
        </w:tc>
      </w:tr>
      <w:tr w:rsidR="00E512B4" w:rsidRPr="00630699" w14:paraId="19293095" w14:textId="77777777" w:rsidTr="3CCADBD1">
        <w:trPr>
          <w:trHeight w:val="285"/>
        </w:trPr>
        <w:tc>
          <w:tcPr>
            <w:tcW w:w="6036" w:type="dxa"/>
            <w:tcBorders>
              <w:top w:val="nil"/>
              <w:left w:val="nil"/>
              <w:bottom w:val="nil"/>
              <w:right w:val="nil"/>
            </w:tcBorders>
            <w:shd w:val="clear" w:color="auto" w:fill="FFFFFF" w:themeFill="background1"/>
            <w:vAlign w:val="center"/>
            <w:hideMark/>
          </w:tcPr>
          <w:p w14:paraId="1DC3EBFC" w14:textId="5948D5F9" w:rsidR="00E512B4" w:rsidRPr="001B792E" w:rsidRDefault="00E512B4" w:rsidP="00E512B4">
            <w:pPr>
              <w:rPr>
                <w:rFonts w:eastAsia="Times New Roman" w:cs="Segoe UI"/>
                <w:color w:val="1F497D"/>
                <w:lang w:val="en-GB" w:eastAsia="en-GB" w:bidi="ar-SA"/>
              </w:rPr>
            </w:pPr>
            <w:r w:rsidRPr="001B792E">
              <w:rPr>
                <w:rFonts w:eastAsia="Times New Roman" w:cs="Segoe UI"/>
                <w:color w:val="1F497D"/>
                <w:lang w:val="en-GB" w:eastAsia="en-GB" w:bidi="ar-SA"/>
              </w:rPr>
              <w:t>Financial assumptions</w:t>
            </w:r>
            <w:r w:rsidR="25BA67F6" w:rsidRPr="001B792E">
              <w:rPr>
                <w:rFonts w:eastAsia="Times New Roman" w:cs="Segoe UI"/>
                <w:color w:val="1F497D"/>
                <w:lang w:val="en-GB" w:eastAsia="en-GB" w:bidi="ar-SA"/>
              </w:rPr>
              <w:t xml:space="preserve"> (p.a.)</w:t>
            </w:r>
          </w:p>
        </w:tc>
        <w:tc>
          <w:tcPr>
            <w:tcW w:w="2778" w:type="dxa"/>
            <w:tcBorders>
              <w:top w:val="nil"/>
              <w:left w:val="nil"/>
              <w:bottom w:val="nil"/>
              <w:right w:val="nil"/>
            </w:tcBorders>
            <w:shd w:val="clear" w:color="auto" w:fill="FFFFFF" w:themeFill="background1"/>
            <w:vAlign w:val="center"/>
            <w:hideMark/>
          </w:tcPr>
          <w:p w14:paraId="0040E889" w14:textId="77777777" w:rsidR="00E512B4" w:rsidRPr="001B792E" w:rsidRDefault="00E512B4" w:rsidP="00E512B4">
            <w:pPr>
              <w:jc w:val="center"/>
              <w:rPr>
                <w:rFonts w:eastAsia="Times New Roman" w:cs="Segoe UI"/>
                <w:color w:val="000000"/>
                <w:szCs w:val="20"/>
                <w:lang w:val="en-GB" w:eastAsia="en-GB" w:bidi="ar-SA"/>
              </w:rPr>
            </w:pPr>
            <w:r w:rsidRPr="001B792E">
              <w:rPr>
                <w:rFonts w:eastAsia="Times New Roman" w:cs="Segoe UI"/>
                <w:color w:val="000000"/>
                <w:szCs w:val="20"/>
                <w:lang w:val="en-GB" w:eastAsia="en-GB" w:bidi="ar-SA"/>
              </w:rPr>
              <w:t> </w:t>
            </w:r>
          </w:p>
        </w:tc>
        <w:tc>
          <w:tcPr>
            <w:tcW w:w="6" w:type="dxa"/>
            <w:vAlign w:val="center"/>
            <w:hideMark/>
          </w:tcPr>
          <w:p w14:paraId="552575E8" w14:textId="77777777" w:rsidR="00E512B4" w:rsidRPr="00630699" w:rsidRDefault="00E512B4" w:rsidP="00E512B4">
            <w:pPr>
              <w:rPr>
                <w:rFonts w:ascii="Times New Roman" w:eastAsia="Times New Roman" w:hAnsi="Times New Roman"/>
                <w:szCs w:val="20"/>
                <w:lang w:val="en-GB" w:eastAsia="en-GB" w:bidi="ar-SA"/>
              </w:rPr>
            </w:pPr>
          </w:p>
        </w:tc>
      </w:tr>
      <w:tr w:rsidR="00E512B4" w:rsidRPr="00630699" w14:paraId="136C5BEB" w14:textId="77777777" w:rsidTr="3CCADBD1">
        <w:trPr>
          <w:trHeight w:val="285"/>
        </w:trPr>
        <w:tc>
          <w:tcPr>
            <w:tcW w:w="6036" w:type="dxa"/>
            <w:tcBorders>
              <w:top w:val="nil"/>
              <w:left w:val="nil"/>
              <w:bottom w:val="nil"/>
              <w:right w:val="nil"/>
            </w:tcBorders>
            <w:shd w:val="clear" w:color="auto" w:fill="FFFFFF" w:themeFill="background1"/>
            <w:vAlign w:val="center"/>
            <w:hideMark/>
          </w:tcPr>
          <w:p w14:paraId="5C398A2F" w14:textId="77777777" w:rsidR="00E512B4" w:rsidRPr="001B792E" w:rsidRDefault="00E512B4" w:rsidP="00E512B4">
            <w:pPr>
              <w:rPr>
                <w:rFonts w:eastAsia="Times New Roman" w:cs="Segoe UI"/>
                <w:color w:val="000000"/>
                <w:szCs w:val="20"/>
                <w:lang w:val="en-GB" w:eastAsia="en-GB" w:bidi="ar-SA"/>
              </w:rPr>
            </w:pPr>
            <w:r w:rsidRPr="001B792E">
              <w:rPr>
                <w:rFonts w:eastAsia="Times New Roman" w:cs="Segoe UI"/>
                <w:color w:val="000000"/>
                <w:szCs w:val="20"/>
                <w:lang w:val="en-GB" w:eastAsia="en-GB" w:bidi="ar-SA"/>
              </w:rPr>
              <w:t>CPI inflation</w:t>
            </w:r>
          </w:p>
        </w:tc>
        <w:tc>
          <w:tcPr>
            <w:tcW w:w="2778" w:type="dxa"/>
            <w:tcBorders>
              <w:top w:val="nil"/>
              <w:left w:val="nil"/>
              <w:bottom w:val="nil"/>
              <w:right w:val="nil"/>
            </w:tcBorders>
            <w:noWrap/>
            <w:vAlign w:val="bottom"/>
            <w:hideMark/>
          </w:tcPr>
          <w:p w14:paraId="267726E9" w14:textId="2C2FB681" w:rsidR="00E512B4" w:rsidRPr="001B792E" w:rsidRDefault="00E512B4" w:rsidP="00E512B4">
            <w:pPr>
              <w:jc w:val="center"/>
              <w:rPr>
                <w:rFonts w:eastAsia="Times New Roman" w:cs="Segoe UI"/>
                <w:color w:val="000000"/>
                <w:szCs w:val="20"/>
                <w:lang w:val="en-GB" w:eastAsia="en-GB" w:bidi="ar-SA"/>
              </w:rPr>
            </w:pPr>
            <w:r w:rsidRPr="001B792E">
              <w:rPr>
                <w:rFonts w:eastAsia="Times New Roman" w:cs="Segoe UI"/>
                <w:color w:val="000000"/>
                <w:szCs w:val="20"/>
                <w:lang w:val="en-GB" w:eastAsia="en-GB" w:bidi="ar-SA"/>
              </w:rPr>
              <w:t>2.</w:t>
            </w:r>
            <w:r w:rsidR="00B0105E" w:rsidRPr="001B792E">
              <w:rPr>
                <w:rFonts w:eastAsia="Times New Roman" w:cs="Segoe UI"/>
                <w:color w:val="000000"/>
                <w:szCs w:val="20"/>
                <w:lang w:val="en-GB" w:eastAsia="en-GB" w:bidi="ar-SA"/>
              </w:rPr>
              <w:t>7</w:t>
            </w:r>
            <w:r w:rsidRPr="001B792E">
              <w:rPr>
                <w:rFonts w:eastAsia="Times New Roman" w:cs="Segoe UI"/>
                <w:color w:val="000000"/>
                <w:szCs w:val="20"/>
                <w:lang w:val="en-GB" w:eastAsia="en-GB" w:bidi="ar-SA"/>
              </w:rPr>
              <w:t>%</w:t>
            </w:r>
          </w:p>
        </w:tc>
        <w:tc>
          <w:tcPr>
            <w:tcW w:w="6" w:type="dxa"/>
            <w:vAlign w:val="center"/>
            <w:hideMark/>
          </w:tcPr>
          <w:p w14:paraId="441C7975" w14:textId="77777777" w:rsidR="00E512B4" w:rsidRPr="00630699" w:rsidRDefault="00E512B4" w:rsidP="00E512B4">
            <w:pPr>
              <w:rPr>
                <w:rFonts w:ascii="Times New Roman" w:eastAsia="Times New Roman" w:hAnsi="Times New Roman"/>
                <w:szCs w:val="20"/>
                <w:lang w:val="en-GB" w:eastAsia="en-GB" w:bidi="ar-SA"/>
              </w:rPr>
            </w:pPr>
          </w:p>
        </w:tc>
      </w:tr>
      <w:tr w:rsidR="00E512B4" w:rsidRPr="00630699" w14:paraId="7E3F570C" w14:textId="77777777" w:rsidTr="3CCADBD1">
        <w:trPr>
          <w:trHeight w:val="285"/>
        </w:trPr>
        <w:tc>
          <w:tcPr>
            <w:tcW w:w="6036" w:type="dxa"/>
            <w:tcBorders>
              <w:top w:val="nil"/>
              <w:left w:val="nil"/>
              <w:bottom w:val="nil"/>
              <w:right w:val="nil"/>
            </w:tcBorders>
            <w:shd w:val="clear" w:color="auto" w:fill="FFFFFF" w:themeFill="background1"/>
            <w:vAlign w:val="center"/>
            <w:hideMark/>
          </w:tcPr>
          <w:p w14:paraId="3F0EF4C1" w14:textId="77777777" w:rsidR="00E512B4" w:rsidRPr="001B792E" w:rsidRDefault="00E512B4" w:rsidP="00E512B4">
            <w:pPr>
              <w:rPr>
                <w:rFonts w:eastAsia="Times New Roman" w:cs="Segoe UI"/>
                <w:color w:val="000000"/>
                <w:szCs w:val="20"/>
                <w:lang w:val="en-GB" w:eastAsia="en-GB" w:bidi="ar-SA"/>
              </w:rPr>
            </w:pPr>
            <w:r w:rsidRPr="001B792E">
              <w:rPr>
                <w:rFonts w:eastAsia="Times New Roman" w:cs="Segoe UI"/>
                <w:color w:val="000000"/>
                <w:szCs w:val="20"/>
                <w:lang w:val="en-GB" w:eastAsia="en-GB" w:bidi="ar-SA"/>
              </w:rPr>
              <w:t>Salary increases</w:t>
            </w:r>
          </w:p>
        </w:tc>
        <w:tc>
          <w:tcPr>
            <w:tcW w:w="2778" w:type="dxa"/>
            <w:tcBorders>
              <w:top w:val="nil"/>
              <w:left w:val="nil"/>
              <w:bottom w:val="nil"/>
              <w:right w:val="nil"/>
            </w:tcBorders>
            <w:shd w:val="clear" w:color="auto" w:fill="FFFFFF" w:themeFill="background1"/>
            <w:vAlign w:val="center"/>
            <w:hideMark/>
          </w:tcPr>
          <w:p w14:paraId="3BD0544C" w14:textId="3D793015" w:rsidR="00E512B4" w:rsidRPr="001B792E" w:rsidRDefault="00E512B4" w:rsidP="00E512B4">
            <w:pPr>
              <w:jc w:val="center"/>
              <w:rPr>
                <w:rFonts w:eastAsia="Times New Roman" w:cs="Segoe UI"/>
                <w:color w:val="000000"/>
                <w:szCs w:val="20"/>
                <w:lang w:val="en-GB" w:eastAsia="en-GB" w:bidi="ar-SA"/>
              </w:rPr>
            </w:pPr>
            <w:r w:rsidRPr="001B792E">
              <w:rPr>
                <w:rFonts w:eastAsia="Times New Roman" w:cs="Segoe UI"/>
                <w:color w:val="000000"/>
                <w:szCs w:val="20"/>
                <w:lang w:val="en-GB" w:eastAsia="en-GB" w:bidi="ar-SA"/>
              </w:rPr>
              <w:t>3.</w:t>
            </w:r>
            <w:r w:rsidR="00B0105E" w:rsidRPr="001B792E">
              <w:rPr>
                <w:rFonts w:eastAsia="Times New Roman" w:cs="Segoe UI"/>
                <w:color w:val="000000"/>
                <w:szCs w:val="20"/>
                <w:lang w:val="en-GB" w:eastAsia="en-GB" w:bidi="ar-SA"/>
              </w:rPr>
              <w:t>7</w:t>
            </w:r>
            <w:r w:rsidRPr="001B792E">
              <w:rPr>
                <w:rFonts w:eastAsia="Times New Roman" w:cs="Segoe UI"/>
                <w:color w:val="000000"/>
                <w:szCs w:val="20"/>
                <w:lang w:val="en-GB" w:eastAsia="en-GB" w:bidi="ar-SA"/>
              </w:rPr>
              <w:t>%</w:t>
            </w:r>
          </w:p>
        </w:tc>
        <w:tc>
          <w:tcPr>
            <w:tcW w:w="6" w:type="dxa"/>
            <w:vAlign w:val="center"/>
            <w:hideMark/>
          </w:tcPr>
          <w:p w14:paraId="423ECCB0" w14:textId="77777777" w:rsidR="00E512B4" w:rsidRPr="00630699" w:rsidRDefault="00E512B4" w:rsidP="00E512B4">
            <w:pPr>
              <w:rPr>
                <w:rFonts w:ascii="Times New Roman" w:eastAsia="Times New Roman" w:hAnsi="Times New Roman"/>
                <w:szCs w:val="20"/>
                <w:lang w:val="en-GB" w:eastAsia="en-GB" w:bidi="ar-SA"/>
              </w:rPr>
            </w:pPr>
          </w:p>
        </w:tc>
      </w:tr>
      <w:tr w:rsidR="00E512B4" w:rsidRPr="00630699" w14:paraId="50E11E7A" w14:textId="77777777" w:rsidTr="3CCADBD1">
        <w:trPr>
          <w:trHeight w:val="285"/>
        </w:trPr>
        <w:tc>
          <w:tcPr>
            <w:tcW w:w="6036" w:type="dxa"/>
            <w:tcBorders>
              <w:top w:val="nil"/>
              <w:left w:val="nil"/>
              <w:bottom w:val="nil"/>
              <w:right w:val="nil"/>
            </w:tcBorders>
            <w:shd w:val="clear" w:color="auto" w:fill="FFFFFF" w:themeFill="background1"/>
            <w:vAlign w:val="center"/>
            <w:hideMark/>
          </w:tcPr>
          <w:p w14:paraId="5EFB62C4" w14:textId="77777777" w:rsidR="00E512B4" w:rsidRPr="001B792E" w:rsidRDefault="00E512B4" w:rsidP="00E512B4">
            <w:pPr>
              <w:rPr>
                <w:rFonts w:eastAsia="Times New Roman" w:cs="Segoe UI"/>
                <w:color w:val="000000"/>
                <w:szCs w:val="20"/>
                <w:lang w:val="en-GB" w:eastAsia="en-GB" w:bidi="ar-SA"/>
              </w:rPr>
            </w:pPr>
            <w:r w:rsidRPr="001B792E">
              <w:rPr>
                <w:rFonts w:eastAsia="Times New Roman" w:cs="Segoe UI"/>
                <w:color w:val="000000"/>
                <w:szCs w:val="20"/>
                <w:lang w:val="en-GB" w:eastAsia="en-GB" w:bidi="ar-SA"/>
              </w:rPr>
              <w:t>Discount rate</w:t>
            </w:r>
          </w:p>
        </w:tc>
        <w:tc>
          <w:tcPr>
            <w:tcW w:w="2778" w:type="dxa"/>
            <w:tcBorders>
              <w:top w:val="nil"/>
              <w:left w:val="nil"/>
              <w:bottom w:val="nil"/>
              <w:right w:val="nil"/>
            </w:tcBorders>
            <w:shd w:val="clear" w:color="auto" w:fill="FFFFFF" w:themeFill="background1"/>
            <w:vAlign w:val="center"/>
            <w:hideMark/>
          </w:tcPr>
          <w:p w14:paraId="6D08D955" w14:textId="6D365876" w:rsidR="00E512B4" w:rsidRPr="001B792E" w:rsidRDefault="00E512B4" w:rsidP="00E512B4">
            <w:pPr>
              <w:jc w:val="center"/>
              <w:rPr>
                <w:rFonts w:eastAsia="Times New Roman" w:cs="Segoe UI"/>
                <w:color w:val="000000"/>
                <w:szCs w:val="20"/>
                <w:lang w:val="en-GB" w:eastAsia="en-GB" w:bidi="ar-SA"/>
              </w:rPr>
            </w:pPr>
            <w:r w:rsidRPr="001B792E">
              <w:rPr>
                <w:rFonts w:eastAsia="Times New Roman" w:cs="Segoe UI"/>
                <w:color w:val="000000"/>
                <w:szCs w:val="20"/>
                <w:lang w:val="en-GB" w:eastAsia="en-GB" w:bidi="ar-SA"/>
              </w:rPr>
              <w:t>4.</w:t>
            </w:r>
            <w:r w:rsidR="00B0105E" w:rsidRPr="001B792E">
              <w:rPr>
                <w:rFonts w:eastAsia="Times New Roman" w:cs="Segoe UI"/>
                <w:color w:val="000000"/>
                <w:szCs w:val="20"/>
                <w:lang w:val="en-GB" w:eastAsia="en-GB" w:bidi="ar-SA"/>
              </w:rPr>
              <w:t>7</w:t>
            </w:r>
            <w:r w:rsidRPr="001B792E">
              <w:rPr>
                <w:rFonts w:eastAsia="Times New Roman" w:cs="Segoe UI"/>
                <w:color w:val="000000"/>
                <w:szCs w:val="20"/>
                <w:lang w:val="en-GB" w:eastAsia="en-GB" w:bidi="ar-SA"/>
              </w:rPr>
              <w:t>%</w:t>
            </w:r>
          </w:p>
        </w:tc>
        <w:tc>
          <w:tcPr>
            <w:tcW w:w="6" w:type="dxa"/>
            <w:vAlign w:val="center"/>
            <w:hideMark/>
          </w:tcPr>
          <w:p w14:paraId="078693CF" w14:textId="77777777" w:rsidR="00E512B4" w:rsidRPr="00630699" w:rsidRDefault="00E512B4" w:rsidP="00E512B4">
            <w:pPr>
              <w:rPr>
                <w:rFonts w:ascii="Times New Roman" w:eastAsia="Times New Roman" w:hAnsi="Times New Roman"/>
                <w:szCs w:val="20"/>
                <w:lang w:val="en-GB" w:eastAsia="en-GB" w:bidi="ar-SA"/>
              </w:rPr>
            </w:pPr>
          </w:p>
        </w:tc>
      </w:tr>
      <w:tr w:rsidR="00E512B4" w:rsidRPr="00630699" w14:paraId="55F05008" w14:textId="77777777" w:rsidTr="3CCADBD1">
        <w:trPr>
          <w:trHeight w:val="285"/>
        </w:trPr>
        <w:tc>
          <w:tcPr>
            <w:tcW w:w="6036" w:type="dxa"/>
            <w:tcBorders>
              <w:top w:val="nil"/>
              <w:left w:val="nil"/>
              <w:bottom w:val="nil"/>
              <w:right w:val="nil"/>
            </w:tcBorders>
            <w:shd w:val="clear" w:color="auto" w:fill="FFFFFF" w:themeFill="background1"/>
            <w:vAlign w:val="center"/>
            <w:hideMark/>
          </w:tcPr>
          <w:p w14:paraId="675B0396" w14:textId="77777777" w:rsidR="00E512B4" w:rsidRPr="001B792E" w:rsidRDefault="00E512B4" w:rsidP="00E512B4">
            <w:pPr>
              <w:rPr>
                <w:rFonts w:eastAsia="Times New Roman" w:cs="Segoe UI"/>
                <w:color w:val="1F497D"/>
                <w:szCs w:val="20"/>
                <w:lang w:val="en-GB" w:eastAsia="en-GB" w:bidi="ar-SA"/>
              </w:rPr>
            </w:pPr>
            <w:r w:rsidRPr="001B792E">
              <w:rPr>
                <w:rFonts w:eastAsia="Times New Roman" w:cs="Segoe UI"/>
                <w:color w:val="1F497D"/>
                <w:szCs w:val="20"/>
                <w:lang w:val="en-GB" w:eastAsia="en-GB" w:bidi="ar-SA"/>
              </w:rPr>
              <w:t>Demographic assumptions</w:t>
            </w:r>
          </w:p>
        </w:tc>
        <w:tc>
          <w:tcPr>
            <w:tcW w:w="2778" w:type="dxa"/>
            <w:tcBorders>
              <w:top w:val="nil"/>
              <w:left w:val="nil"/>
              <w:bottom w:val="nil"/>
              <w:right w:val="nil"/>
            </w:tcBorders>
            <w:shd w:val="clear" w:color="auto" w:fill="FFFFFF" w:themeFill="background1"/>
            <w:vAlign w:val="center"/>
            <w:hideMark/>
          </w:tcPr>
          <w:p w14:paraId="29A58675" w14:textId="77777777" w:rsidR="00E512B4" w:rsidRPr="001B792E" w:rsidRDefault="00E512B4" w:rsidP="00E512B4">
            <w:pPr>
              <w:jc w:val="center"/>
              <w:rPr>
                <w:rFonts w:eastAsia="Times New Roman" w:cs="Segoe UI"/>
                <w:color w:val="000000"/>
                <w:szCs w:val="20"/>
                <w:lang w:val="en-GB" w:eastAsia="en-GB" w:bidi="ar-SA"/>
              </w:rPr>
            </w:pPr>
            <w:r w:rsidRPr="001B792E">
              <w:rPr>
                <w:rFonts w:eastAsia="Times New Roman" w:cs="Segoe UI"/>
                <w:color w:val="000000"/>
                <w:szCs w:val="20"/>
                <w:lang w:val="en-GB" w:eastAsia="en-GB" w:bidi="ar-SA"/>
              </w:rPr>
              <w:t> </w:t>
            </w:r>
          </w:p>
        </w:tc>
        <w:tc>
          <w:tcPr>
            <w:tcW w:w="6" w:type="dxa"/>
            <w:vAlign w:val="center"/>
            <w:hideMark/>
          </w:tcPr>
          <w:p w14:paraId="4E23FEBC" w14:textId="77777777" w:rsidR="00E512B4" w:rsidRPr="00630699" w:rsidRDefault="00E512B4" w:rsidP="00E512B4">
            <w:pPr>
              <w:rPr>
                <w:rFonts w:ascii="Times New Roman" w:eastAsia="Times New Roman" w:hAnsi="Times New Roman"/>
                <w:szCs w:val="20"/>
                <w:lang w:val="en-GB" w:eastAsia="en-GB" w:bidi="ar-SA"/>
              </w:rPr>
            </w:pPr>
          </w:p>
        </w:tc>
      </w:tr>
      <w:tr w:rsidR="00E512B4" w:rsidRPr="00630699" w14:paraId="2EB32B55" w14:textId="77777777" w:rsidTr="3CCADBD1">
        <w:trPr>
          <w:trHeight w:val="285"/>
        </w:trPr>
        <w:tc>
          <w:tcPr>
            <w:tcW w:w="6036" w:type="dxa"/>
            <w:tcBorders>
              <w:top w:val="nil"/>
              <w:left w:val="nil"/>
              <w:bottom w:val="nil"/>
              <w:right w:val="nil"/>
            </w:tcBorders>
            <w:shd w:val="clear" w:color="auto" w:fill="FFFFFF" w:themeFill="background1"/>
            <w:vAlign w:val="center"/>
            <w:hideMark/>
          </w:tcPr>
          <w:p w14:paraId="7F3B25A9" w14:textId="77777777" w:rsidR="00E512B4" w:rsidRPr="001B792E" w:rsidRDefault="00E512B4" w:rsidP="00E512B4">
            <w:pPr>
              <w:rPr>
                <w:rFonts w:eastAsia="Times New Roman" w:cs="Segoe UI"/>
                <w:color w:val="000000"/>
                <w:szCs w:val="20"/>
                <w:lang w:val="en-GB" w:eastAsia="en-GB" w:bidi="ar-SA"/>
              </w:rPr>
            </w:pPr>
            <w:r w:rsidRPr="001B792E">
              <w:rPr>
                <w:rFonts w:eastAsia="Times New Roman" w:cs="Segoe UI"/>
                <w:color w:val="000000"/>
                <w:szCs w:val="20"/>
                <w:lang w:val="en-GB" w:eastAsia="en-GB" w:bidi="ar-SA"/>
              </w:rPr>
              <w:t>Post-retirement mortality</w:t>
            </w:r>
          </w:p>
        </w:tc>
        <w:tc>
          <w:tcPr>
            <w:tcW w:w="2778" w:type="dxa"/>
            <w:tcBorders>
              <w:top w:val="nil"/>
              <w:left w:val="nil"/>
              <w:bottom w:val="nil"/>
              <w:right w:val="nil"/>
            </w:tcBorders>
            <w:shd w:val="clear" w:color="auto" w:fill="FFFFFF" w:themeFill="background1"/>
            <w:vAlign w:val="center"/>
            <w:hideMark/>
          </w:tcPr>
          <w:p w14:paraId="1B20ADAC" w14:textId="77777777" w:rsidR="00E512B4" w:rsidRPr="001B792E" w:rsidRDefault="00E512B4" w:rsidP="00E512B4">
            <w:pPr>
              <w:jc w:val="center"/>
              <w:rPr>
                <w:rFonts w:eastAsia="Times New Roman" w:cs="Segoe UI"/>
                <w:color w:val="000000"/>
                <w:szCs w:val="20"/>
                <w:lang w:val="en-GB" w:eastAsia="en-GB" w:bidi="ar-SA"/>
              </w:rPr>
            </w:pPr>
            <w:r w:rsidRPr="001B792E">
              <w:rPr>
                <w:rFonts w:eastAsia="Times New Roman" w:cs="Segoe UI"/>
                <w:color w:val="000000"/>
                <w:szCs w:val="20"/>
                <w:lang w:val="en-GB" w:eastAsia="en-GB" w:bidi="ar-SA"/>
              </w:rPr>
              <w:t> </w:t>
            </w:r>
          </w:p>
        </w:tc>
        <w:tc>
          <w:tcPr>
            <w:tcW w:w="6" w:type="dxa"/>
            <w:vAlign w:val="center"/>
            <w:hideMark/>
          </w:tcPr>
          <w:p w14:paraId="4FB35AE7" w14:textId="77777777" w:rsidR="00E512B4" w:rsidRPr="00630699" w:rsidRDefault="00E512B4" w:rsidP="00E512B4">
            <w:pPr>
              <w:rPr>
                <w:rFonts w:ascii="Times New Roman" w:eastAsia="Times New Roman" w:hAnsi="Times New Roman"/>
                <w:szCs w:val="20"/>
                <w:lang w:val="en-GB" w:eastAsia="en-GB" w:bidi="ar-SA"/>
              </w:rPr>
            </w:pPr>
          </w:p>
        </w:tc>
      </w:tr>
      <w:tr w:rsidR="00E512B4" w:rsidRPr="00630699" w14:paraId="2AD81ED5" w14:textId="77777777" w:rsidTr="3CCADBD1">
        <w:trPr>
          <w:trHeight w:val="285"/>
        </w:trPr>
        <w:tc>
          <w:tcPr>
            <w:tcW w:w="6036" w:type="dxa"/>
            <w:tcBorders>
              <w:top w:val="nil"/>
              <w:left w:val="nil"/>
              <w:bottom w:val="nil"/>
              <w:right w:val="nil"/>
            </w:tcBorders>
            <w:shd w:val="clear" w:color="auto" w:fill="FFFFFF" w:themeFill="background1"/>
            <w:vAlign w:val="center"/>
            <w:hideMark/>
          </w:tcPr>
          <w:p w14:paraId="2A92266F" w14:textId="77777777" w:rsidR="00E512B4" w:rsidRPr="001B792E" w:rsidRDefault="00E512B4" w:rsidP="00E512B4">
            <w:pPr>
              <w:jc w:val="right"/>
              <w:rPr>
                <w:rFonts w:eastAsia="Times New Roman" w:cs="Segoe UI"/>
                <w:color w:val="000000"/>
                <w:szCs w:val="20"/>
                <w:lang w:val="en-GB" w:eastAsia="en-GB" w:bidi="ar-SA"/>
              </w:rPr>
            </w:pPr>
            <w:r w:rsidRPr="001B792E">
              <w:rPr>
                <w:rFonts w:eastAsia="Times New Roman" w:cs="Segoe UI"/>
                <w:color w:val="000000"/>
                <w:szCs w:val="20"/>
                <w:lang w:val="en-GB" w:eastAsia="en-GB" w:bidi="ar-SA"/>
              </w:rPr>
              <w:t>Base table</w:t>
            </w:r>
          </w:p>
        </w:tc>
        <w:tc>
          <w:tcPr>
            <w:tcW w:w="2778" w:type="dxa"/>
            <w:tcBorders>
              <w:top w:val="nil"/>
              <w:left w:val="nil"/>
              <w:bottom w:val="nil"/>
              <w:right w:val="nil"/>
            </w:tcBorders>
            <w:shd w:val="clear" w:color="auto" w:fill="FFFFFF" w:themeFill="background1"/>
            <w:vAlign w:val="center"/>
            <w:hideMark/>
          </w:tcPr>
          <w:p w14:paraId="43D93FE6" w14:textId="58ECA7F8" w:rsidR="00E512B4" w:rsidRPr="001B792E" w:rsidRDefault="00E512B4" w:rsidP="00E512B4">
            <w:pPr>
              <w:jc w:val="center"/>
              <w:rPr>
                <w:rFonts w:eastAsia="Times New Roman" w:cs="Segoe UI"/>
                <w:color w:val="000000"/>
                <w:szCs w:val="20"/>
                <w:lang w:val="en-GB" w:eastAsia="en-GB" w:bidi="ar-SA"/>
              </w:rPr>
            </w:pPr>
            <w:r w:rsidRPr="001B792E">
              <w:rPr>
                <w:rFonts w:eastAsia="Times New Roman" w:cs="Segoe UI"/>
                <w:color w:val="000000"/>
                <w:szCs w:val="20"/>
                <w:lang w:val="en-GB" w:eastAsia="en-GB" w:bidi="ar-SA"/>
              </w:rPr>
              <w:t>S</w:t>
            </w:r>
            <w:r w:rsidR="00B0105E" w:rsidRPr="001B792E">
              <w:rPr>
                <w:rFonts w:eastAsia="Times New Roman" w:cs="Segoe UI"/>
                <w:color w:val="000000"/>
                <w:szCs w:val="20"/>
                <w:lang w:val="en-GB" w:eastAsia="en-GB" w:bidi="ar-SA"/>
              </w:rPr>
              <w:t>4</w:t>
            </w:r>
            <w:r w:rsidRPr="001B792E">
              <w:rPr>
                <w:rFonts w:eastAsia="Times New Roman" w:cs="Segoe UI"/>
                <w:color w:val="000000"/>
                <w:szCs w:val="20"/>
                <w:lang w:val="en-GB" w:eastAsia="en-GB" w:bidi="ar-SA"/>
              </w:rPr>
              <w:t>PA</w:t>
            </w:r>
            <w:r w:rsidR="00B0105E" w:rsidRPr="001B792E">
              <w:rPr>
                <w:rFonts w:eastAsia="Times New Roman" w:cs="Segoe UI"/>
                <w:color w:val="000000"/>
                <w:szCs w:val="20"/>
                <w:lang w:val="en-GB" w:eastAsia="en-GB" w:bidi="ar-SA"/>
              </w:rPr>
              <w:t>_H</w:t>
            </w:r>
            <w:r w:rsidRPr="001B792E">
              <w:rPr>
                <w:rFonts w:eastAsia="Times New Roman" w:cs="Segoe UI"/>
                <w:color w:val="000000"/>
                <w:szCs w:val="20"/>
                <w:lang w:val="en-GB" w:eastAsia="en-GB" w:bidi="ar-SA"/>
              </w:rPr>
              <w:t xml:space="preserve"> </w:t>
            </w:r>
          </w:p>
        </w:tc>
        <w:tc>
          <w:tcPr>
            <w:tcW w:w="6" w:type="dxa"/>
            <w:vAlign w:val="center"/>
            <w:hideMark/>
          </w:tcPr>
          <w:p w14:paraId="007530A7" w14:textId="77777777" w:rsidR="00E512B4" w:rsidRPr="00630699" w:rsidRDefault="00E512B4" w:rsidP="00E512B4">
            <w:pPr>
              <w:rPr>
                <w:rFonts w:ascii="Times New Roman" w:eastAsia="Times New Roman" w:hAnsi="Times New Roman"/>
                <w:szCs w:val="20"/>
                <w:lang w:val="en-GB" w:eastAsia="en-GB" w:bidi="ar-SA"/>
              </w:rPr>
            </w:pPr>
          </w:p>
        </w:tc>
      </w:tr>
      <w:tr w:rsidR="00E512B4" w:rsidRPr="00630699" w14:paraId="193B9F78" w14:textId="77777777" w:rsidTr="3CCADBD1">
        <w:trPr>
          <w:trHeight w:val="285"/>
        </w:trPr>
        <w:tc>
          <w:tcPr>
            <w:tcW w:w="6036" w:type="dxa"/>
            <w:tcBorders>
              <w:top w:val="nil"/>
              <w:left w:val="nil"/>
              <w:bottom w:val="nil"/>
              <w:right w:val="nil"/>
            </w:tcBorders>
            <w:shd w:val="clear" w:color="auto" w:fill="FFFFFF" w:themeFill="background1"/>
            <w:vAlign w:val="center"/>
            <w:hideMark/>
          </w:tcPr>
          <w:p w14:paraId="402392A5" w14:textId="77777777" w:rsidR="00E512B4" w:rsidRPr="001B792E" w:rsidRDefault="00E512B4" w:rsidP="00E512B4">
            <w:pPr>
              <w:jc w:val="right"/>
              <w:rPr>
                <w:rFonts w:eastAsia="Times New Roman" w:cs="Segoe UI"/>
                <w:color w:val="000000"/>
                <w:szCs w:val="20"/>
                <w:lang w:val="en-GB" w:eastAsia="en-GB" w:bidi="ar-SA"/>
              </w:rPr>
            </w:pPr>
            <w:r w:rsidRPr="001B792E">
              <w:rPr>
                <w:rFonts w:eastAsia="Times New Roman" w:cs="Segoe UI"/>
                <w:color w:val="000000"/>
                <w:szCs w:val="20"/>
                <w:lang w:val="en-GB" w:eastAsia="en-GB" w:bidi="ar-SA"/>
              </w:rPr>
              <w:t>Multiplier (male/female)</w:t>
            </w:r>
          </w:p>
        </w:tc>
        <w:tc>
          <w:tcPr>
            <w:tcW w:w="2778" w:type="dxa"/>
            <w:tcBorders>
              <w:top w:val="nil"/>
              <w:left w:val="nil"/>
              <w:bottom w:val="nil"/>
              <w:right w:val="nil"/>
            </w:tcBorders>
            <w:shd w:val="clear" w:color="auto" w:fill="FFFFFF" w:themeFill="background1"/>
            <w:vAlign w:val="center"/>
            <w:hideMark/>
          </w:tcPr>
          <w:p w14:paraId="2FBD8AF0" w14:textId="09F4ADBD" w:rsidR="00E512B4" w:rsidRPr="001B792E" w:rsidRDefault="00B0105E" w:rsidP="00E512B4">
            <w:pPr>
              <w:jc w:val="center"/>
              <w:rPr>
                <w:rFonts w:eastAsia="Times New Roman" w:cs="Segoe UI"/>
                <w:color w:val="000000"/>
                <w:szCs w:val="20"/>
                <w:lang w:val="en-GB" w:eastAsia="en-GB" w:bidi="ar-SA"/>
              </w:rPr>
            </w:pPr>
            <w:r w:rsidRPr="001B792E">
              <w:rPr>
                <w:rFonts w:eastAsia="Times New Roman" w:cs="Segoe UI"/>
                <w:color w:val="000000"/>
                <w:szCs w:val="20"/>
                <w:lang w:val="en-GB" w:eastAsia="en-GB" w:bidi="ar-SA"/>
              </w:rPr>
              <w:t>85%/95%</w:t>
            </w:r>
          </w:p>
        </w:tc>
        <w:tc>
          <w:tcPr>
            <w:tcW w:w="6" w:type="dxa"/>
            <w:vAlign w:val="center"/>
            <w:hideMark/>
          </w:tcPr>
          <w:p w14:paraId="1587E3D2" w14:textId="77777777" w:rsidR="00E512B4" w:rsidRPr="00630699" w:rsidRDefault="00E512B4" w:rsidP="00E512B4">
            <w:pPr>
              <w:rPr>
                <w:rFonts w:ascii="Times New Roman" w:eastAsia="Times New Roman" w:hAnsi="Times New Roman"/>
                <w:szCs w:val="20"/>
                <w:lang w:val="en-GB" w:eastAsia="en-GB" w:bidi="ar-SA"/>
              </w:rPr>
            </w:pPr>
          </w:p>
        </w:tc>
      </w:tr>
      <w:tr w:rsidR="00E512B4" w:rsidRPr="00630699" w14:paraId="2F5C087B" w14:textId="77777777" w:rsidTr="3CCADBD1">
        <w:trPr>
          <w:trHeight w:val="285"/>
        </w:trPr>
        <w:tc>
          <w:tcPr>
            <w:tcW w:w="6036" w:type="dxa"/>
            <w:tcBorders>
              <w:top w:val="nil"/>
              <w:left w:val="nil"/>
              <w:bottom w:val="nil"/>
              <w:right w:val="nil"/>
            </w:tcBorders>
            <w:shd w:val="clear" w:color="auto" w:fill="FFFFFF" w:themeFill="background1"/>
            <w:vAlign w:val="center"/>
            <w:hideMark/>
          </w:tcPr>
          <w:p w14:paraId="1F619091" w14:textId="77777777" w:rsidR="00E512B4" w:rsidRPr="001B792E" w:rsidRDefault="00E512B4" w:rsidP="00E512B4">
            <w:pPr>
              <w:jc w:val="right"/>
              <w:rPr>
                <w:rFonts w:eastAsia="Times New Roman" w:cs="Segoe UI"/>
                <w:color w:val="000000"/>
                <w:szCs w:val="20"/>
                <w:lang w:val="en-GB" w:eastAsia="en-GB" w:bidi="ar-SA"/>
              </w:rPr>
            </w:pPr>
            <w:r w:rsidRPr="001B792E">
              <w:rPr>
                <w:rFonts w:eastAsia="Times New Roman" w:cs="Segoe UI"/>
                <w:color w:val="000000"/>
                <w:szCs w:val="20"/>
                <w:lang w:val="en-GB" w:eastAsia="en-GB" w:bidi="ar-SA"/>
              </w:rPr>
              <w:t>CMI Model / long-term rate</w:t>
            </w:r>
          </w:p>
        </w:tc>
        <w:tc>
          <w:tcPr>
            <w:tcW w:w="2778" w:type="dxa"/>
            <w:tcBorders>
              <w:top w:val="nil"/>
              <w:left w:val="nil"/>
              <w:bottom w:val="nil"/>
              <w:right w:val="nil"/>
            </w:tcBorders>
            <w:shd w:val="clear" w:color="auto" w:fill="FFFFFF" w:themeFill="background1"/>
            <w:vAlign w:val="center"/>
            <w:hideMark/>
          </w:tcPr>
          <w:p w14:paraId="7CF3D992" w14:textId="4CED8F86" w:rsidR="00E512B4" w:rsidRPr="001B792E" w:rsidRDefault="00E512B4" w:rsidP="00E512B4">
            <w:pPr>
              <w:jc w:val="center"/>
              <w:rPr>
                <w:rFonts w:eastAsia="Times New Roman" w:cs="Segoe UI"/>
                <w:color w:val="000000"/>
                <w:lang w:val="en-GB" w:eastAsia="en-GB" w:bidi="ar-SA"/>
              </w:rPr>
            </w:pPr>
            <w:r w:rsidRPr="001B792E">
              <w:rPr>
                <w:rFonts w:eastAsia="Times New Roman" w:cs="Segoe UI"/>
                <w:color w:val="000000" w:themeColor="accent4"/>
                <w:lang w:val="en-GB" w:eastAsia="en-GB" w:bidi="ar-SA"/>
              </w:rPr>
              <w:t>202</w:t>
            </w:r>
            <w:r w:rsidR="5561DCB7" w:rsidRPr="001B792E">
              <w:rPr>
                <w:rFonts w:eastAsia="Times New Roman" w:cs="Segoe UI"/>
                <w:color w:val="000000" w:themeColor="accent4"/>
                <w:lang w:val="en-GB" w:eastAsia="en-GB" w:bidi="ar-SA"/>
              </w:rPr>
              <w:t>4</w:t>
            </w:r>
            <w:r w:rsidRPr="001B792E">
              <w:rPr>
                <w:rFonts w:eastAsia="Times New Roman" w:cs="Segoe UI"/>
                <w:color w:val="000000" w:themeColor="accent4"/>
                <w:lang w:val="en-GB" w:eastAsia="en-GB" w:bidi="ar-SA"/>
              </w:rPr>
              <w:t xml:space="preserve"> / 1.5% p.a.</w:t>
            </w:r>
          </w:p>
        </w:tc>
        <w:tc>
          <w:tcPr>
            <w:tcW w:w="6" w:type="dxa"/>
            <w:vAlign w:val="center"/>
            <w:hideMark/>
          </w:tcPr>
          <w:p w14:paraId="31EEC082" w14:textId="77777777" w:rsidR="00E512B4" w:rsidRPr="00630699" w:rsidRDefault="00E512B4" w:rsidP="00E512B4">
            <w:pPr>
              <w:rPr>
                <w:rFonts w:ascii="Times New Roman" w:eastAsia="Times New Roman" w:hAnsi="Times New Roman"/>
                <w:szCs w:val="20"/>
                <w:lang w:val="en-GB" w:eastAsia="en-GB" w:bidi="ar-SA"/>
              </w:rPr>
            </w:pPr>
          </w:p>
        </w:tc>
      </w:tr>
      <w:tr w:rsidR="00E512B4" w:rsidRPr="00630699" w14:paraId="1612D0FD" w14:textId="77777777" w:rsidTr="3CCADBD1">
        <w:trPr>
          <w:trHeight w:val="285"/>
        </w:trPr>
        <w:tc>
          <w:tcPr>
            <w:tcW w:w="6036" w:type="dxa"/>
            <w:tcBorders>
              <w:top w:val="nil"/>
              <w:left w:val="nil"/>
              <w:bottom w:val="nil"/>
              <w:right w:val="nil"/>
            </w:tcBorders>
            <w:shd w:val="clear" w:color="auto" w:fill="FFFFFF" w:themeFill="background1"/>
            <w:vAlign w:val="center"/>
            <w:hideMark/>
          </w:tcPr>
          <w:p w14:paraId="62CC735A" w14:textId="1430478F" w:rsidR="00E512B4" w:rsidRPr="001B792E" w:rsidRDefault="00E512B4" w:rsidP="00E512B4">
            <w:pPr>
              <w:jc w:val="right"/>
              <w:rPr>
                <w:rFonts w:eastAsia="Times New Roman" w:cs="Segoe UI"/>
                <w:color w:val="000000"/>
                <w:lang w:val="en-GB" w:eastAsia="en-GB" w:bidi="ar-SA"/>
              </w:rPr>
            </w:pPr>
            <w:r w:rsidRPr="001B792E">
              <w:rPr>
                <w:rFonts w:eastAsia="Times New Roman" w:cs="Segoe UI"/>
                <w:color w:val="000000" w:themeColor="accent4"/>
                <w:lang w:val="en-GB" w:eastAsia="en-GB" w:bidi="ar-SA"/>
              </w:rPr>
              <w:t xml:space="preserve">Initial addition </w:t>
            </w:r>
            <w:r w:rsidR="35ED587B" w:rsidRPr="001B792E">
              <w:rPr>
                <w:rFonts w:eastAsia="Times New Roman" w:cs="Segoe UI"/>
                <w:color w:val="000000" w:themeColor="accent4"/>
                <w:lang w:val="en-GB" w:eastAsia="en-GB" w:bidi="ar-SA"/>
              </w:rPr>
              <w:t>parameter</w:t>
            </w:r>
          </w:p>
        </w:tc>
        <w:tc>
          <w:tcPr>
            <w:tcW w:w="2778" w:type="dxa"/>
            <w:tcBorders>
              <w:top w:val="nil"/>
              <w:left w:val="nil"/>
              <w:bottom w:val="nil"/>
              <w:right w:val="nil"/>
            </w:tcBorders>
            <w:shd w:val="clear" w:color="auto" w:fill="FFFFFF" w:themeFill="background1"/>
            <w:vAlign w:val="center"/>
            <w:hideMark/>
          </w:tcPr>
          <w:p w14:paraId="58721D29" w14:textId="77777777" w:rsidR="00E512B4" w:rsidRPr="001B792E" w:rsidRDefault="00E512B4" w:rsidP="00E512B4">
            <w:pPr>
              <w:jc w:val="center"/>
              <w:rPr>
                <w:rFonts w:eastAsia="Times New Roman" w:cs="Segoe UI"/>
                <w:color w:val="000000"/>
                <w:szCs w:val="20"/>
                <w:lang w:val="en-GB" w:eastAsia="en-GB" w:bidi="ar-SA"/>
              </w:rPr>
            </w:pPr>
            <w:r w:rsidRPr="001B792E">
              <w:rPr>
                <w:rFonts w:eastAsia="Times New Roman" w:cs="Segoe UI"/>
                <w:color w:val="000000"/>
                <w:szCs w:val="20"/>
                <w:lang w:val="en-GB" w:eastAsia="en-GB" w:bidi="ar-SA"/>
              </w:rPr>
              <w:t>0%</w:t>
            </w:r>
          </w:p>
        </w:tc>
        <w:tc>
          <w:tcPr>
            <w:tcW w:w="6" w:type="dxa"/>
            <w:vAlign w:val="center"/>
            <w:hideMark/>
          </w:tcPr>
          <w:p w14:paraId="2CD58317" w14:textId="77777777" w:rsidR="00E512B4" w:rsidRPr="00630699" w:rsidRDefault="00E512B4" w:rsidP="00E512B4">
            <w:pPr>
              <w:rPr>
                <w:rFonts w:ascii="Times New Roman" w:eastAsia="Times New Roman" w:hAnsi="Times New Roman"/>
                <w:szCs w:val="20"/>
                <w:lang w:val="en-GB" w:eastAsia="en-GB" w:bidi="ar-SA"/>
              </w:rPr>
            </w:pPr>
          </w:p>
        </w:tc>
      </w:tr>
      <w:tr w:rsidR="00E512B4" w:rsidRPr="00630699" w14:paraId="23C239AC" w14:textId="77777777" w:rsidTr="3CCADBD1">
        <w:trPr>
          <w:trHeight w:val="285"/>
        </w:trPr>
        <w:tc>
          <w:tcPr>
            <w:tcW w:w="6036" w:type="dxa"/>
            <w:tcBorders>
              <w:top w:val="nil"/>
              <w:left w:val="nil"/>
              <w:bottom w:val="nil"/>
              <w:right w:val="nil"/>
            </w:tcBorders>
            <w:noWrap/>
            <w:vAlign w:val="bottom"/>
            <w:hideMark/>
          </w:tcPr>
          <w:p w14:paraId="6AE84643" w14:textId="1008472A" w:rsidR="00E512B4" w:rsidRPr="001B792E" w:rsidRDefault="5383C3CC" w:rsidP="00E512B4">
            <w:pPr>
              <w:jc w:val="right"/>
              <w:rPr>
                <w:rFonts w:eastAsia="Times New Roman" w:cs="Segoe UI"/>
                <w:color w:val="000000"/>
                <w:lang w:val="en-GB" w:eastAsia="en-GB" w:bidi="ar-SA"/>
              </w:rPr>
            </w:pPr>
            <w:r w:rsidRPr="001B792E">
              <w:rPr>
                <w:rFonts w:eastAsia="Times New Roman" w:cs="Segoe UI"/>
                <w:color w:val="000000" w:themeColor="accent4"/>
                <w:lang w:val="en-GB" w:eastAsia="en-GB" w:bidi="ar-SA"/>
              </w:rPr>
              <w:t>Overlay half-life</w:t>
            </w:r>
          </w:p>
        </w:tc>
        <w:tc>
          <w:tcPr>
            <w:tcW w:w="2778" w:type="dxa"/>
            <w:tcBorders>
              <w:top w:val="nil"/>
              <w:left w:val="nil"/>
              <w:bottom w:val="nil"/>
              <w:right w:val="nil"/>
            </w:tcBorders>
            <w:shd w:val="clear" w:color="auto" w:fill="FFFFFF" w:themeFill="background1"/>
            <w:vAlign w:val="center"/>
            <w:hideMark/>
          </w:tcPr>
          <w:p w14:paraId="6BDC55B3" w14:textId="133452C4" w:rsidR="00E512B4" w:rsidRPr="001B792E" w:rsidRDefault="5383C3CC" w:rsidP="00E512B4">
            <w:pPr>
              <w:jc w:val="center"/>
              <w:rPr>
                <w:rFonts w:eastAsia="Times New Roman" w:cs="Segoe UI"/>
                <w:color w:val="000000"/>
                <w:lang w:val="en-GB" w:eastAsia="en-GB" w:bidi="ar-SA"/>
              </w:rPr>
            </w:pPr>
            <w:r w:rsidRPr="001B792E">
              <w:rPr>
                <w:rFonts w:eastAsia="Times New Roman" w:cs="Segoe UI"/>
                <w:color w:val="000000" w:themeColor="accent4"/>
                <w:lang w:val="en-GB" w:eastAsia="en-GB" w:bidi="ar-SA"/>
              </w:rPr>
              <w:t>1 year</w:t>
            </w:r>
          </w:p>
        </w:tc>
        <w:tc>
          <w:tcPr>
            <w:tcW w:w="6" w:type="dxa"/>
            <w:vAlign w:val="center"/>
            <w:hideMark/>
          </w:tcPr>
          <w:p w14:paraId="7ED09A73" w14:textId="77777777" w:rsidR="00E512B4" w:rsidRPr="00630699" w:rsidRDefault="00E512B4" w:rsidP="00E512B4">
            <w:pPr>
              <w:rPr>
                <w:rFonts w:ascii="Times New Roman" w:eastAsia="Times New Roman" w:hAnsi="Times New Roman"/>
                <w:szCs w:val="20"/>
                <w:lang w:val="en-GB" w:eastAsia="en-GB" w:bidi="ar-SA"/>
              </w:rPr>
            </w:pPr>
          </w:p>
        </w:tc>
      </w:tr>
      <w:tr w:rsidR="00E512B4" w:rsidRPr="00630699" w14:paraId="44912320" w14:textId="77777777" w:rsidTr="3CCADBD1">
        <w:trPr>
          <w:trHeight w:val="285"/>
        </w:trPr>
        <w:tc>
          <w:tcPr>
            <w:tcW w:w="6036" w:type="dxa"/>
            <w:tcBorders>
              <w:top w:val="nil"/>
              <w:left w:val="nil"/>
              <w:bottom w:val="nil"/>
              <w:right w:val="nil"/>
            </w:tcBorders>
            <w:shd w:val="clear" w:color="auto" w:fill="FFFFFF" w:themeFill="background1"/>
            <w:vAlign w:val="center"/>
            <w:hideMark/>
          </w:tcPr>
          <w:p w14:paraId="6D2B33C1" w14:textId="77777777" w:rsidR="00E512B4" w:rsidRPr="001B792E" w:rsidRDefault="00E512B4" w:rsidP="00E512B4">
            <w:pPr>
              <w:rPr>
                <w:rFonts w:eastAsia="Times New Roman" w:cs="Segoe UI"/>
                <w:color w:val="000000"/>
                <w:szCs w:val="20"/>
                <w:lang w:val="en-GB" w:eastAsia="en-GB" w:bidi="ar-SA"/>
              </w:rPr>
            </w:pPr>
            <w:r w:rsidRPr="001B792E">
              <w:rPr>
                <w:rFonts w:eastAsia="Times New Roman" w:cs="Segoe UI"/>
                <w:color w:val="000000"/>
                <w:szCs w:val="20"/>
                <w:lang w:val="en-GB" w:eastAsia="en-GB" w:bidi="ar-SA"/>
              </w:rPr>
              <w:t>Retirement assumption</w:t>
            </w:r>
          </w:p>
        </w:tc>
        <w:tc>
          <w:tcPr>
            <w:tcW w:w="2778" w:type="dxa"/>
            <w:tcBorders>
              <w:top w:val="nil"/>
              <w:left w:val="nil"/>
              <w:bottom w:val="nil"/>
              <w:right w:val="nil"/>
            </w:tcBorders>
            <w:shd w:val="clear" w:color="auto" w:fill="FFFFFF" w:themeFill="background1"/>
            <w:vAlign w:val="center"/>
            <w:hideMark/>
          </w:tcPr>
          <w:p w14:paraId="2D6D5CC3" w14:textId="77777777" w:rsidR="00E512B4" w:rsidRPr="001B792E" w:rsidRDefault="00E512B4" w:rsidP="00E512B4">
            <w:pPr>
              <w:jc w:val="center"/>
              <w:rPr>
                <w:rFonts w:eastAsia="Times New Roman" w:cs="Segoe UI"/>
                <w:color w:val="000000"/>
                <w:szCs w:val="20"/>
                <w:lang w:val="en-GB" w:eastAsia="en-GB" w:bidi="ar-SA"/>
              </w:rPr>
            </w:pPr>
            <w:r w:rsidRPr="001B792E">
              <w:rPr>
                <w:rFonts w:eastAsia="Times New Roman" w:cs="Segoe UI"/>
                <w:color w:val="000000"/>
                <w:szCs w:val="20"/>
                <w:lang w:val="en-GB" w:eastAsia="en-GB" w:bidi="ar-SA"/>
              </w:rPr>
              <w:t>Weighted average</w:t>
            </w:r>
          </w:p>
        </w:tc>
        <w:tc>
          <w:tcPr>
            <w:tcW w:w="6" w:type="dxa"/>
            <w:vAlign w:val="center"/>
            <w:hideMark/>
          </w:tcPr>
          <w:p w14:paraId="578C832C" w14:textId="77777777" w:rsidR="00E512B4" w:rsidRPr="00630699" w:rsidRDefault="00E512B4" w:rsidP="00E512B4">
            <w:pPr>
              <w:rPr>
                <w:rFonts w:ascii="Times New Roman" w:eastAsia="Times New Roman" w:hAnsi="Times New Roman"/>
                <w:szCs w:val="20"/>
                <w:lang w:val="en-GB" w:eastAsia="en-GB" w:bidi="ar-SA"/>
              </w:rPr>
            </w:pPr>
          </w:p>
        </w:tc>
      </w:tr>
      <w:tr w:rsidR="00E512B4" w:rsidRPr="00630699" w14:paraId="57B0B27A" w14:textId="77777777" w:rsidTr="3CCADBD1">
        <w:trPr>
          <w:trHeight w:val="1230"/>
        </w:trPr>
        <w:tc>
          <w:tcPr>
            <w:tcW w:w="6036" w:type="dxa"/>
            <w:tcBorders>
              <w:top w:val="nil"/>
              <w:left w:val="nil"/>
              <w:bottom w:val="nil"/>
              <w:right w:val="nil"/>
            </w:tcBorders>
            <w:shd w:val="clear" w:color="auto" w:fill="FFFFFF" w:themeFill="background1"/>
            <w:vAlign w:val="center"/>
            <w:hideMark/>
          </w:tcPr>
          <w:p w14:paraId="0EFD4AEF" w14:textId="77777777" w:rsidR="00E512B4" w:rsidRPr="001B792E" w:rsidRDefault="00E512B4" w:rsidP="00E512B4">
            <w:pPr>
              <w:rPr>
                <w:rFonts w:eastAsia="Times New Roman" w:cs="Segoe UI"/>
                <w:color w:val="000000"/>
                <w:szCs w:val="20"/>
                <w:lang w:val="en-GB" w:eastAsia="en-GB" w:bidi="ar-SA"/>
              </w:rPr>
            </w:pPr>
            <w:r w:rsidRPr="001B792E">
              <w:rPr>
                <w:rFonts w:eastAsia="Times New Roman" w:cs="Segoe UI"/>
                <w:color w:val="000000"/>
                <w:szCs w:val="20"/>
                <w:lang w:val="en-GB" w:eastAsia="en-GB" w:bidi="ar-SA"/>
              </w:rPr>
              <w:t>Pre-retirement decrements</w:t>
            </w:r>
          </w:p>
        </w:tc>
        <w:tc>
          <w:tcPr>
            <w:tcW w:w="2778" w:type="dxa"/>
            <w:vMerge w:val="restart"/>
            <w:tcBorders>
              <w:top w:val="nil"/>
              <w:left w:val="nil"/>
              <w:bottom w:val="nil"/>
              <w:right w:val="nil"/>
            </w:tcBorders>
            <w:shd w:val="clear" w:color="auto" w:fill="FFFFFF" w:themeFill="background1"/>
            <w:vAlign w:val="center"/>
            <w:hideMark/>
          </w:tcPr>
          <w:p w14:paraId="2630712B" w14:textId="1702BB47" w:rsidR="00E512B4" w:rsidRPr="001B792E" w:rsidRDefault="00E512B4" w:rsidP="00E512B4">
            <w:pPr>
              <w:jc w:val="center"/>
              <w:rPr>
                <w:rFonts w:eastAsia="Times New Roman" w:cs="Segoe UI"/>
                <w:color w:val="000000"/>
                <w:lang w:val="en-GB" w:eastAsia="en-GB" w:bidi="ar-SA"/>
              </w:rPr>
            </w:pPr>
            <w:r w:rsidRPr="001B792E">
              <w:rPr>
                <w:rFonts w:eastAsia="Times New Roman" w:cs="Segoe UI"/>
                <w:color w:val="000000" w:themeColor="accent4"/>
                <w:lang w:val="en-GB" w:eastAsia="en-GB" w:bidi="ar-SA"/>
              </w:rPr>
              <w:t>GAD 20</w:t>
            </w:r>
            <w:r w:rsidR="40C957FD" w:rsidRPr="001B792E">
              <w:rPr>
                <w:rFonts w:eastAsia="Times New Roman" w:cs="Segoe UI"/>
                <w:color w:val="000000" w:themeColor="accent4"/>
                <w:lang w:val="en-GB" w:eastAsia="en-GB" w:bidi="ar-SA"/>
              </w:rPr>
              <w:t>20</w:t>
            </w:r>
            <w:r w:rsidRPr="001B792E">
              <w:rPr>
                <w:rFonts w:eastAsia="Times New Roman" w:cs="Segoe UI"/>
                <w:color w:val="000000" w:themeColor="accent4"/>
                <w:lang w:val="en-GB" w:eastAsia="en-GB" w:bidi="ar-SA"/>
              </w:rPr>
              <w:t xml:space="preserve"> scheme val: no salary scale, 50% multiplier to ill-health rates</w:t>
            </w:r>
            <w:r w:rsidR="389B378D" w:rsidRPr="001B792E">
              <w:rPr>
                <w:rFonts w:eastAsia="Times New Roman" w:cs="Segoe UI"/>
                <w:color w:val="000000" w:themeColor="accent4"/>
                <w:lang w:val="en-GB" w:eastAsia="en-GB" w:bidi="ar-SA"/>
              </w:rPr>
              <w:t xml:space="preserve"> and 1</w:t>
            </w:r>
            <w:r w:rsidR="00B0105E" w:rsidRPr="001B792E">
              <w:rPr>
                <w:rFonts w:eastAsia="Times New Roman" w:cs="Segoe UI"/>
                <w:color w:val="000000" w:themeColor="accent4"/>
                <w:lang w:val="en-GB" w:eastAsia="en-GB" w:bidi="ar-SA"/>
              </w:rPr>
              <w:t>2</w:t>
            </w:r>
            <w:r w:rsidR="389B378D" w:rsidRPr="001B792E">
              <w:rPr>
                <w:rFonts w:eastAsia="Times New Roman" w:cs="Segoe UI"/>
                <w:color w:val="000000" w:themeColor="accent4"/>
                <w:lang w:val="en-GB" w:eastAsia="en-GB" w:bidi="ar-SA"/>
              </w:rPr>
              <w:t>0%/1</w:t>
            </w:r>
            <w:r w:rsidR="00B0105E" w:rsidRPr="001B792E">
              <w:rPr>
                <w:rFonts w:eastAsia="Times New Roman" w:cs="Segoe UI"/>
                <w:color w:val="000000" w:themeColor="accent4"/>
                <w:lang w:val="en-GB" w:eastAsia="en-GB" w:bidi="ar-SA"/>
              </w:rPr>
              <w:t>30</w:t>
            </w:r>
            <w:r w:rsidR="389B378D" w:rsidRPr="001B792E">
              <w:rPr>
                <w:rFonts w:eastAsia="Times New Roman" w:cs="Segoe UI"/>
                <w:color w:val="000000" w:themeColor="accent4"/>
                <w:lang w:val="en-GB" w:eastAsia="en-GB" w:bidi="ar-SA"/>
              </w:rPr>
              <w:t>% multiplier to pre-retirement mortality rates (M/F)</w:t>
            </w:r>
          </w:p>
        </w:tc>
        <w:tc>
          <w:tcPr>
            <w:tcW w:w="6" w:type="dxa"/>
            <w:vAlign w:val="center"/>
            <w:hideMark/>
          </w:tcPr>
          <w:p w14:paraId="2B7236E5" w14:textId="77777777" w:rsidR="00E512B4" w:rsidRPr="00630699" w:rsidRDefault="00E512B4" w:rsidP="00E512B4">
            <w:pPr>
              <w:rPr>
                <w:rFonts w:ascii="Times New Roman" w:eastAsia="Times New Roman" w:hAnsi="Times New Roman"/>
                <w:szCs w:val="20"/>
                <w:lang w:val="en-GB" w:eastAsia="en-GB" w:bidi="ar-SA"/>
              </w:rPr>
            </w:pPr>
          </w:p>
        </w:tc>
      </w:tr>
      <w:tr w:rsidR="00E512B4" w:rsidRPr="00630699" w14:paraId="726D6C29" w14:textId="77777777" w:rsidTr="3CCADBD1">
        <w:trPr>
          <w:trHeight w:val="285"/>
        </w:trPr>
        <w:tc>
          <w:tcPr>
            <w:tcW w:w="6036" w:type="dxa"/>
            <w:tcBorders>
              <w:top w:val="nil"/>
              <w:left w:val="nil"/>
              <w:bottom w:val="nil"/>
              <w:right w:val="nil"/>
            </w:tcBorders>
            <w:shd w:val="clear" w:color="auto" w:fill="FFFFFF" w:themeFill="background1"/>
            <w:vAlign w:val="center"/>
            <w:hideMark/>
          </w:tcPr>
          <w:p w14:paraId="30BBD082" w14:textId="77777777" w:rsidR="00E512B4" w:rsidRPr="001B792E" w:rsidRDefault="00E512B4" w:rsidP="00E512B4">
            <w:pPr>
              <w:rPr>
                <w:rFonts w:eastAsia="Times New Roman" w:cs="Segoe UI"/>
                <w:color w:val="000000"/>
                <w:szCs w:val="20"/>
                <w:lang w:val="en-GB" w:eastAsia="en-GB" w:bidi="ar-SA"/>
              </w:rPr>
            </w:pPr>
            <w:r w:rsidRPr="001B792E">
              <w:rPr>
                <w:rFonts w:eastAsia="Times New Roman" w:cs="Segoe UI"/>
                <w:color w:val="000000"/>
                <w:szCs w:val="20"/>
                <w:lang w:val="en-GB" w:eastAsia="en-GB" w:bidi="ar-SA"/>
              </w:rPr>
              <w:t> </w:t>
            </w:r>
          </w:p>
        </w:tc>
        <w:tc>
          <w:tcPr>
            <w:tcW w:w="2778" w:type="dxa"/>
            <w:vMerge/>
            <w:vAlign w:val="center"/>
            <w:hideMark/>
          </w:tcPr>
          <w:p w14:paraId="303ACB11" w14:textId="77777777" w:rsidR="00E512B4" w:rsidRPr="001B792E" w:rsidRDefault="00E512B4" w:rsidP="00E512B4">
            <w:pPr>
              <w:rPr>
                <w:rFonts w:eastAsia="Times New Roman" w:cs="Segoe UI"/>
                <w:color w:val="000000"/>
                <w:szCs w:val="20"/>
                <w:lang w:val="en-GB" w:eastAsia="en-GB" w:bidi="ar-SA"/>
              </w:rPr>
            </w:pPr>
          </w:p>
        </w:tc>
        <w:tc>
          <w:tcPr>
            <w:tcW w:w="6" w:type="dxa"/>
            <w:vAlign w:val="center"/>
            <w:hideMark/>
          </w:tcPr>
          <w:p w14:paraId="5A8D1BB9" w14:textId="77777777" w:rsidR="00E512B4" w:rsidRPr="00630699" w:rsidRDefault="00E512B4" w:rsidP="00E512B4">
            <w:pPr>
              <w:rPr>
                <w:rFonts w:ascii="Times New Roman" w:eastAsia="Times New Roman" w:hAnsi="Times New Roman"/>
                <w:szCs w:val="20"/>
                <w:lang w:val="en-GB" w:eastAsia="en-GB" w:bidi="ar-SA"/>
              </w:rPr>
            </w:pPr>
          </w:p>
        </w:tc>
      </w:tr>
      <w:tr w:rsidR="00E512B4" w:rsidRPr="00630699" w14:paraId="62AF0B25" w14:textId="77777777" w:rsidTr="3CCADBD1">
        <w:trPr>
          <w:trHeight w:val="285"/>
        </w:trPr>
        <w:tc>
          <w:tcPr>
            <w:tcW w:w="6036" w:type="dxa"/>
            <w:tcBorders>
              <w:top w:val="nil"/>
              <w:left w:val="nil"/>
              <w:bottom w:val="nil"/>
              <w:right w:val="nil"/>
            </w:tcBorders>
            <w:shd w:val="clear" w:color="auto" w:fill="FFFFFF" w:themeFill="background1"/>
            <w:vAlign w:val="center"/>
            <w:hideMark/>
          </w:tcPr>
          <w:p w14:paraId="6ADB4692" w14:textId="77777777" w:rsidR="00E512B4" w:rsidRPr="001B792E" w:rsidRDefault="00E512B4" w:rsidP="00E512B4">
            <w:pPr>
              <w:rPr>
                <w:rFonts w:eastAsia="Times New Roman" w:cs="Segoe UI"/>
                <w:color w:val="000000"/>
                <w:szCs w:val="20"/>
                <w:lang w:val="en-GB" w:eastAsia="en-GB" w:bidi="ar-SA"/>
              </w:rPr>
            </w:pPr>
            <w:r w:rsidRPr="001B792E">
              <w:rPr>
                <w:rFonts w:eastAsia="Times New Roman" w:cs="Segoe UI"/>
                <w:color w:val="000000"/>
                <w:szCs w:val="20"/>
                <w:lang w:val="en-GB" w:eastAsia="en-GB" w:bidi="ar-SA"/>
              </w:rPr>
              <w:t> </w:t>
            </w:r>
          </w:p>
        </w:tc>
        <w:tc>
          <w:tcPr>
            <w:tcW w:w="2778" w:type="dxa"/>
            <w:vMerge/>
            <w:vAlign w:val="center"/>
            <w:hideMark/>
          </w:tcPr>
          <w:p w14:paraId="792F3B9B" w14:textId="77777777" w:rsidR="00E512B4" w:rsidRPr="001B792E" w:rsidRDefault="00E512B4" w:rsidP="00E512B4">
            <w:pPr>
              <w:rPr>
                <w:rFonts w:eastAsia="Times New Roman" w:cs="Segoe UI"/>
                <w:color w:val="000000"/>
                <w:szCs w:val="20"/>
                <w:lang w:val="en-GB" w:eastAsia="en-GB" w:bidi="ar-SA"/>
              </w:rPr>
            </w:pPr>
          </w:p>
        </w:tc>
        <w:tc>
          <w:tcPr>
            <w:tcW w:w="6" w:type="dxa"/>
            <w:vAlign w:val="center"/>
            <w:hideMark/>
          </w:tcPr>
          <w:p w14:paraId="240EB128" w14:textId="77777777" w:rsidR="00E512B4" w:rsidRPr="00630699" w:rsidRDefault="00E512B4" w:rsidP="00E512B4">
            <w:pPr>
              <w:rPr>
                <w:rFonts w:ascii="Times New Roman" w:eastAsia="Times New Roman" w:hAnsi="Times New Roman"/>
                <w:szCs w:val="20"/>
                <w:lang w:val="en-GB" w:eastAsia="en-GB" w:bidi="ar-SA"/>
              </w:rPr>
            </w:pPr>
          </w:p>
        </w:tc>
      </w:tr>
      <w:tr w:rsidR="00E512B4" w:rsidRPr="00630699" w14:paraId="5CD776FA" w14:textId="77777777" w:rsidTr="00E512B4">
        <w:trPr>
          <w:trHeight w:val="308"/>
        </w:trPr>
        <w:tc>
          <w:tcPr>
            <w:tcW w:w="6036" w:type="dxa"/>
            <w:tcBorders>
              <w:top w:val="nil"/>
              <w:left w:val="nil"/>
              <w:bottom w:val="nil"/>
              <w:right w:val="nil"/>
            </w:tcBorders>
            <w:noWrap/>
            <w:vAlign w:val="bottom"/>
            <w:hideMark/>
          </w:tcPr>
          <w:p w14:paraId="704B6C72" w14:textId="77777777" w:rsidR="00E512B4" w:rsidRPr="001B792E" w:rsidRDefault="00E512B4" w:rsidP="00E512B4">
            <w:pPr>
              <w:rPr>
                <w:rFonts w:eastAsia="Times New Roman" w:cs="Segoe UI"/>
                <w:color w:val="000000"/>
                <w:szCs w:val="20"/>
                <w:lang w:val="en-GB" w:eastAsia="en-GB" w:bidi="ar-SA"/>
              </w:rPr>
            </w:pPr>
            <w:r w:rsidRPr="001B792E">
              <w:rPr>
                <w:rFonts w:eastAsia="Times New Roman" w:cs="Segoe UI"/>
                <w:color w:val="000000"/>
                <w:szCs w:val="20"/>
                <w:lang w:val="en-GB" w:eastAsia="en-GB" w:bidi="ar-SA"/>
              </w:rPr>
              <w:t>IH assumed proportion in each tier (T1/T2/T3)</w:t>
            </w:r>
          </w:p>
        </w:tc>
        <w:tc>
          <w:tcPr>
            <w:tcW w:w="2778" w:type="dxa"/>
            <w:tcBorders>
              <w:top w:val="nil"/>
              <w:left w:val="nil"/>
              <w:bottom w:val="nil"/>
              <w:right w:val="nil"/>
            </w:tcBorders>
            <w:noWrap/>
            <w:vAlign w:val="bottom"/>
            <w:hideMark/>
          </w:tcPr>
          <w:p w14:paraId="188C41BC" w14:textId="77777777" w:rsidR="00E512B4" w:rsidRPr="001B792E" w:rsidRDefault="00E512B4" w:rsidP="00E512B4">
            <w:pPr>
              <w:jc w:val="center"/>
              <w:rPr>
                <w:rFonts w:eastAsia="Times New Roman" w:cs="Segoe UI"/>
                <w:color w:val="000000"/>
                <w:szCs w:val="20"/>
                <w:lang w:val="en-GB" w:eastAsia="en-GB" w:bidi="ar-SA"/>
              </w:rPr>
            </w:pPr>
            <w:r w:rsidRPr="001B792E">
              <w:rPr>
                <w:rFonts w:eastAsia="Times New Roman" w:cs="Segoe UI"/>
                <w:color w:val="000000"/>
                <w:szCs w:val="20"/>
                <w:lang w:val="en-GB" w:eastAsia="en-GB" w:bidi="ar-SA"/>
              </w:rPr>
              <w:t>75% / 15% / 10%</w:t>
            </w:r>
          </w:p>
        </w:tc>
        <w:tc>
          <w:tcPr>
            <w:tcW w:w="6" w:type="dxa"/>
            <w:vAlign w:val="center"/>
            <w:hideMark/>
          </w:tcPr>
          <w:p w14:paraId="57C28790" w14:textId="77777777" w:rsidR="00E512B4" w:rsidRPr="00630699" w:rsidRDefault="00E512B4" w:rsidP="00E512B4">
            <w:pPr>
              <w:rPr>
                <w:rFonts w:ascii="Times New Roman" w:eastAsia="Times New Roman" w:hAnsi="Times New Roman"/>
                <w:szCs w:val="20"/>
                <w:lang w:val="en-GB" w:eastAsia="en-GB" w:bidi="ar-SA"/>
              </w:rPr>
            </w:pPr>
          </w:p>
        </w:tc>
      </w:tr>
      <w:tr w:rsidR="00E512B4" w:rsidRPr="00630699" w14:paraId="3E2482EA" w14:textId="77777777" w:rsidTr="3CCADBD1">
        <w:trPr>
          <w:trHeight w:val="285"/>
        </w:trPr>
        <w:tc>
          <w:tcPr>
            <w:tcW w:w="6036" w:type="dxa"/>
            <w:tcBorders>
              <w:top w:val="nil"/>
              <w:left w:val="nil"/>
              <w:bottom w:val="nil"/>
              <w:right w:val="nil"/>
            </w:tcBorders>
            <w:shd w:val="clear" w:color="auto" w:fill="FFFFFF" w:themeFill="background1"/>
            <w:vAlign w:val="center"/>
            <w:hideMark/>
          </w:tcPr>
          <w:p w14:paraId="50FC4297" w14:textId="77777777" w:rsidR="00E512B4" w:rsidRPr="001B792E" w:rsidRDefault="00E512B4" w:rsidP="00E512B4">
            <w:pPr>
              <w:rPr>
                <w:rFonts w:eastAsia="Times New Roman" w:cs="Segoe UI"/>
                <w:color w:val="000000"/>
                <w:szCs w:val="20"/>
                <w:lang w:val="en-GB" w:eastAsia="en-GB" w:bidi="ar-SA"/>
              </w:rPr>
            </w:pPr>
            <w:r w:rsidRPr="001B792E">
              <w:rPr>
                <w:rFonts w:eastAsia="Times New Roman" w:cs="Segoe UI"/>
                <w:color w:val="000000"/>
                <w:szCs w:val="20"/>
                <w:lang w:val="en-GB" w:eastAsia="en-GB" w:bidi="ar-SA"/>
              </w:rPr>
              <w:t>50:50 assumption</w:t>
            </w:r>
          </w:p>
        </w:tc>
        <w:tc>
          <w:tcPr>
            <w:tcW w:w="2778" w:type="dxa"/>
            <w:tcBorders>
              <w:top w:val="nil"/>
              <w:left w:val="nil"/>
              <w:bottom w:val="nil"/>
              <w:right w:val="nil"/>
            </w:tcBorders>
            <w:shd w:val="clear" w:color="auto" w:fill="FFFFFF" w:themeFill="background1"/>
            <w:vAlign w:val="center"/>
            <w:hideMark/>
          </w:tcPr>
          <w:p w14:paraId="789378AA" w14:textId="77777777" w:rsidR="00E512B4" w:rsidRPr="001B792E" w:rsidRDefault="00E512B4" w:rsidP="00E512B4">
            <w:pPr>
              <w:jc w:val="center"/>
              <w:rPr>
                <w:rFonts w:eastAsia="Times New Roman" w:cs="Segoe UI"/>
                <w:color w:val="000000"/>
                <w:szCs w:val="20"/>
                <w:lang w:val="en-GB" w:eastAsia="en-GB" w:bidi="ar-SA"/>
              </w:rPr>
            </w:pPr>
            <w:r w:rsidRPr="001B792E">
              <w:rPr>
                <w:rFonts w:eastAsia="Times New Roman" w:cs="Segoe UI"/>
                <w:color w:val="000000"/>
                <w:szCs w:val="20"/>
                <w:lang w:val="en-GB" w:eastAsia="en-GB" w:bidi="ar-SA"/>
              </w:rPr>
              <w:t>Member data</w:t>
            </w:r>
          </w:p>
        </w:tc>
        <w:tc>
          <w:tcPr>
            <w:tcW w:w="6" w:type="dxa"/>
            <w:vAlign w:val="center"/>
            <w:hideMark/>
          </w:tcPr>
          <w:p w14:paraId="4C88FB7B" w14:textId="77777777" w:rsidR="00E512B4" w:rsidRPr="00630699" w:rsidRDefault="00E512B4" w:rsidP="00E512B4">
            <w:pPr>
              <w:rPr>
                <w:rFonts w:ascii="Times New Roman" w:eastAsia="Times New Roman" w:hAnsi="Times New Roman"/>
                <w:szCs w:val="20"/>
                <w:lang w:val="en-GB" w:eastAsia="en-GB" w:bidi="ar-SA"/>
              </w:rPr>
            </w:pPr>
          </w:p>
        </w:tc>
      </w:tr>
      <w:tr w:rsidR="00E512B4" w:rsidRPr="00630699" w14:paraId="3B70AD2F" w14:textId="77777777" w:rsidTr="3CCADBD1">
        <w:trPr>
          <w:trHeight w:val="285"/>
        </w:trPr>
        <w:tc>
          <w:tcPr>
            <w:tcW w:w="6036" w:type="dxa"/>
            <w:tcBorders>
              <w:top w:val="nil"/>
              <w:left w:val="nil"/>
              <w:bottom w:val="nil"/>
              <w:right w:val="nil"/>
            </w:tcBorders>
            <w:shd w:val="clear" w:color="auto" w:fill="FFFFFF" w:themeFill="background1"/>
            <w:vAlign w:val="center"/>
            <w:hideMark/>
          </w:tcPr>
          <w:p w14:paraId="19BF0DB2" w14:textId="77777777" w:rsidR="00E512B4" w:rsidRPr="001B792E" w:rsidRDefault="00E512B4" w:rsidP="00E512B4">
            <w:pPr>
              <w:rPr>
                <w:rFonts w:eastAsia="Times New Roman" w:cs="Segoe UI"/>
                <w:color w:val="000000"/>
                <w:szCs w:val="20"/>
                <w:lang w:val="en-GB" w:eastAsia="en-GB" w:bidi="ar-SA"/>
              </w:rPr>
            </w:pPr>
            <w:r w:rsidRPr="001B792E">
              <w:rPr>
                <w:rFonts w:eastAsia="Times New Roman" w:cs="Segoe UI"/>
                <w:color w:val="000000"/>
                <w:szCs w:val="20"/>
                <w:lang w:val="en-GB" w:eastAsia="en-GB" w:bidi="ar-SA"/>
              </w:rPr>
              <w:t>Commutation</w:t>
            </w:r>
          </w:p>
        </w:tc>
        <w:tc>
          <w:tcPr>
            <w:tcW w:w="2778" w:type="dxa"/>
            <w:tcBorders>
              <w:top w:val="nil"/>
              <w:left w:val="nil"/>
              <w:bottom w:val="nil"/>
              <w:right w:val="nil"/>
            </w:tcBorders>
            <w:shd w:val="clear" w:color="auto" w:fill="FFFFFF" w:themeFill="background1"/>
            <w:vAlign w:val="center"/>
            <w:hideMark/>
          </w:tcPr>
          <w:p w14:paraId="517D3277" w14:textId="77777777" w:rsidR="00E512B4" w:rsidRPr="001B792E" w:rsidRDefault="00E512B4" w:rsidP="00E512B4">
            <w:pPr>
              <w:jc w:val="center"/>
              <w:rPr>
                <w:rFonts w:eastAsia="Times New Roman" w:cs="Segoe UI"/>
                <w:color w:val="000000"/>
                <w:szCs w:val="20"/>
                <w:lang w:val="en-GB" w:eastAsia="en-GB" w:bidi="ar-SA"/>
              </w:rPr>
            </w:pPr>
            <w:r w:rsidRPr="001B792E">
              <w:rPr>
                <w:rFonts w:eastAsia="Times New Roman" w:cs="Segoe UI"/>
                <w:color w:val="000000"/>
                <w:szCs w:val="20"/>
                <w:lang w:val="en-GB" w:eastAsia="en-GB" w:bidi="ar-SA"/>
              </w:rPr>
              <w:t>50% Max</w:t>
            </w:r>
          </w:p>
        </w:tc>
        <w:tc>
          <w:tcPr>
            <w:tcW w:w="6" w:type="dxa"/>
            <w:vAlign w:val="center"/>
            <w:hideMark/>
          </w:tcPr>
          <w:p w14:paraId="4B05E00A" w14:textId="77777777" w:rsidR="00E512B4" w:rsidRPr="00630699" w:rsidRDefault="00E512B4" w:rsidP="00E512B4">
            <w:pPr>
              <w:rPr>
                <w:rFonts w:ascii="Times New Roman" w:eastAsia="Times New Roman" w:hAnsi="Times New Roman"/>
                <w:szCs w:val="20"/>
                <w:lang w:val="en-GB" w:eastAsia="en-GB" w:bidi="ar-SA"/>
              </w:rPr>
            </w:pPr>
          </w:p>
        </w:tc>
      </w:tr>
      <w:tr w:rsidR="00E512B4" w:rsidRPr="00630699" w14:paraId="069450D8" w14:textId="77777777" w:rsidTr="3CCADBD1">
        <w:trPr>
          <w:trHeight w:val="285"/>
        </w:trPr>
        <w:tc>
          <w:tcPr>
            <w:tcW w:w="6036" w:type="dxa"/>
            <w:tcBorders>
              <w:top w:val="nil"/>
              <w:left w:val="nil"/>
              <w:bottom w:val="nil"/>
              <w:right w:val="nil"/>
            </w:tcBorders>
            <w:shd w:val="clear" w:color="auto" w:fill="FFFFFF" w:themeFill="background1"/>
            <w:vAlign w:val="center"/>
            <w:hideMark/>
          </w:tcPr>
          <w:p w14:paraId="6CB0BDD6" w14:textId="77777777" w:rsidR="00E512B4" w:rsidRPr="001B792E" w:rsidRDefault="00E512B4" w:rsidP="00E512B4">
            <w:pPr>
              <w:rPr>
                <w:rFonts w:eastAsia="Times New Roman" w:cs="Segoe UI"/>
                <w:color w:val="000000"/>
                <w:szCs w:val="20"/>
                <w:lang w:val="en-GB" w:eastAsia="en-GB" w:bidi="ar-SA"/>
              </w:rPr>
            </w:pPr>
            <w:r w:rsidRPr="001B792E">
              <w:rPr>
                <w:rFonts w:eastAsia="Times New Roman" w:cs="Segoe UI"/>
                <w:color w:val="000000"/>
                <w:szCs w:val="20"/>
                <w:lang w:val="en-GB" w:eastAsia="en-GB" w:bidi="ar-SA"/>
              </w:rPr>
              <w:t>Family statistics</w:t>
            </w:r>
          </w:p>
        </w:tc>
        <w:tc>
          <w:tcPr>
            <w:tcW w:w="2778" w:type="dxa"/>
            <w:tcBorders>
              <w:top w:val="nil"/>
              <w:left w:val="nil"/>
              <w:bottom w:val="nil"/>
              <w:right w:val="nil"/>
            </w:tcBorders>
            <w:shd w:val="clear" w:color="auto" w:fill="FFFFFF" w:themeFill="background1"/>
            <w:vAlign w:val="center"/>
            <w:hideMark/>
          </w:tcPr>
          <w:p w14:paraId="536FABCF" w14:textId="77777777" w:rsidR="00E512B4" w:rsidRPr="001B792E" w:rsidRDefault="00E512B4" w:rsidP="00E512B4">
            <w:pPr>
              <w:jc w:val="center"/>
              <w:rPr>
                <w:rFonts w:eastAsia="Times New Roman" w:cs="Segoe UI"/>
                <w:color w:val="000000"/>
                <w:szCs w:val="20"/>
                <w:lang w:val="en-GB" w:eastAsia="en-GB" w:bidi="ar-SA"/>
              </w:rPr>
            </w:pPr>
            <w:r w:rsidRPr="001B792E">
              <w:rPr>
                <w:rFonts w:eastAsia="Times New Roman" w:cs="Segoe UI"/>
                <w:color w:val="000000"/>
                <w:szCs w:val="20"/>
                <w:lang w:val="en-GB" w:eastAsia="en-GB" w:bidi="ar-SA"/>
              </w:rPr>
              <w:t> </w:t>
            </w:r>
          </w:p>
        </w:tc>
        <w:tc>
          <w:tcPr>
            <w:tcW w:w="6" w:type="dxa"/>
            <w:vAlign w:val="center"/>
            <w:hideMark/>
          </w:tcPr>
          <w:p w14:paraId="7E1F01C8" w14:textId="77777777" w:rsidR="00E512B4" w:rsidRPr="00630699" w:rsidRDefault="00E512B4" w:rsidP="00E512B4">
            <w:pPr>
              <w:rPr>
                <w:rFonts w:ascii="Times New Roman" w:eastAsia="Times New Roman" w:hAnsi="Times New Roman"/>
                <w:szCs w:val="20"/>
                <w:lang w:val="en-GB" w:eastAsia="en-GB" w:bidi="ar-SA"/>
              </w:rPr>
            </w:pPr>
          </w:p>
        </w:tc>
      </w:tr>
      <w:tr w:rsidR="00E512B4" w:rsidRPr="00630699" w14:paraId="3B61A495" w14:textId="77777777" w:rsidTr="3CCADBD1">
        <w:trPr>
          <w:trHeight w:val="285"/>
        </w:trPr>
        <w:tc>
          <w:tcPr>
            <w:tcW w:w="6036" w:type="dxa"/>
            <w:tcBorders>
              <w:top w:val="nil"/>
              <w:left w:val="nil"/>
              <w:bottom w:val="nil"/>
              <w:right w:val="nil"/>
            </w:tcBorders>
            <w:shd w:val="clear" w:color="auto" w:fill="FFFFFF" w:themeFill="background1"/>
            <w:vAlign w:val="center"/>
            <w:hideMark/>
          </w:tcPr>
          <w:p w14:paraId="02EE1343" w14:textId="77777777" w:rsidR="00E512B4" w:rsidRPr="001B792E" w:rsidRDefault="00E512B4" w:rsidP="00E512B4">
            <w:pPr>
              <w:jc w:val="right"/>
              <w:rPr>
                <w:rFonts w:eastAsia="Times New Roman" w:cs="Segoe UI"/>
                <w:color w:val="000000"/>
                <w:szCs w:val="20"/>
                <w:lang w:val="en-GB" w:eastAsia="en-GB" w:bidi="ar-SA"/>
              </w:rPr>
            </w:pPr>
            <w:r w:rsidRPr="001B792E">
              <w:rPr>
                <w:rFonts w:eastAsia="Times New Roman" w:cs="Segoe UI"/>
                <w:color w:val="000000"/>
                <w:szCs w:val="20"/>
                <w:lang w:val="en-GB" w:eastAsia="en-GB" w:bidi="ar-SA"/>
              </w:rPr>
              <w:t>% with qualifying dependant</w:t>
            </w:r>
          </w:p>
        </w:tc>
        <w:tc>
          <w:tcPr>
            <w:tcW w:w="2778" w:type="dxa"/>
            <w:tcBorders>
              <w:top w:val="nil"/>
              <w:left w:val="nil"/>
              <w:bottom w:val="nil"/>
              <w:right w:val="nil"/>
            </w:tcBorders>
            <w:shd w:val="clear" w:color="auto" w:fill="FFFFFF" w:themeFill="background1"/>
            <w:vAlign w:val="center"/>
            <w:hideMark/>
          </w:tcPr>
          <w:p w14:paraId="0265ABF0" w14:textId="5E3E4957" w:rsidR="00E512B4" w:rsidRPr="001B792E" w:rsidRDefault="00E512B4" w:rsidP="00E512B4">
            <w:pPr>
              <w:jc w:val="center"/>
              <w:rPr>
                <w:rFonts w:eastAsia="Times New Roman" w:cs="Segoe UI"/>
                <w:color w:val="000000"/>
                <w:lang w:val="en-GB" w:eastAsia="en-GB" w:bidi="ar-SA"/>
              </w:rPr>
            </w:pPr>
            <w:r w:rsidRPr="001B792E">
              <w:rPr>
                <w:rFonts w:eastAsia="Times New Roman" w:cs="Segoe UI"/>
                <w:color w:val="000000" w:themeColor="accent4"/>
                <w:lang w:val="en-GB" w:eastAsia="en-GB" w:bidi="ar-SA"/>
              </w:rPr>
              <w:t xml:space="preserve">75% (M) / </w:t>
            </w:r>
            <w:r w:rsidR="5DEA680F" w:rsidRPr="001B792E">
              <w:rPr>
                <w:rFonts w:eastAsia="Times New Roman" w:cs="Segoe UI"/>
                <w:color w:val="000000" w:themeColor="accent4"/>
                <w:lang w:val="en-GB" w:eastAsia="en-GB" w:bidi="ar-SA"/>
              </w:rPr>
              <w:t>65</w:t>
            </w:r>
            <w:r w:rsidRPr="001B792E">
              <w:rPr>
                <w:rFonts w:eastAsia="Times New Roman" w:cs="Segoe UI"/>
                <w:color w:val="000000" w:themeColor="accent4"/>
                <w:lang w:val="en-GB" w:eastAsia="en-GB" w:bidi="ar-SA"/>
              </w:rPr>
              <w:t>% (F)</w:t>
            </w:r>
          </w:p>
        </w:tc>
        <w:tc>
          <w:tcPr>
            <w:tcW w:w="6" w:type="dxa"/>
            <w:vAlign w:val="center"/>
            <w:hideMark/>
          </w:tcPr>
          <w:p w14:paraId="1181CB51" w14:textId="77777777" w:rsidR="00E512B4" w:rsidRPr="00630699" w:rsidRDefault="00E512B4" w:rsidP="00E512B4">
            <w:pPr>
              <w:rPr>
                <w:rFonts w:ascii="Times New Roman" w:eastAsia="Times New Roman" w:hAnsi="Times New Roman"/>
                <w:szCs w:val="20"/>
                <w:lang w:val="en-GB" w:eastAsia="en-GB" w:bidi="ar-SA"/>
              </w:rPr>
            </w:pPr>
          </w:p>
        </w:tc>
      </w:tr>
      <w:tr w:rsidR="00E512B4" w:rsidRPr="00630699" w14:paraId="660DA2B0" w14:textId="77777777" w:rsidTr="3CCADBD1">
        <w:trPr>
          <w:trHeight w:val="285"/>
        </w:trPr>
        <w:tc>
          <w:tcPr>
            <w:tcW w:w="6036" w:type="dxa"/>
            <w:tcBorders>
              <w:top w:val="nil"/>
              <w:left w:val="nil"/>
              <w:bottom w:val="nil"/>
              <w:right w:val="nil"/>
            </w:tcBorders>
            <w:shd w:val="clear" w:color="auto" w:fill="FFFFFF" w:themeFill="background1"/>
            <w:vAlign w:val="center"/>
            <w:hideMark/>
          </w:tcPr>
          <w:p w14:paraId="2BF3C942" w14:textId="77777777" w:rsidR="00E512B4" w:rsidRPr="001B792E" w:rsidRDefault="00E512B4" w:rsidP="00E512B4">
            <w:pPr>
              <w:jc w:val="right"/>
              <w:rPr>
                <w:rFonts w:eastAsia="Times New Roman" w:cs="Segoe UI"/>
                <w:color w:val="000000"/>
                <w:szCs w:val="20"/>
                <w:lang w:val="en-GB" w:eastAsia="en-GB" w:bidi="ar-SA"/>
              </w:rPr>
            </w:pPr>
            <w:r w:rsidRPr="001B792E">
              <w:rPr>
                <w:rFonts w:eastAsia="Times New Roman" w:cs="Segoe UI"/>
                <w:color w:val="000000"/>
                <w:szCs w:val="20"/>
                <w:lang w:val="en-GB" w:eastAsia="en-GB" w:bidi="ar-SA"/>
              </w:rPr>
              <w:t>Age difference</w:t>
            </w:r>
          </w:p>
        </w:tc>
        <w:tc>
          <w:tcPr>
            <w:tcW w:w="2778" w:type="dxa"/>
            <w:tcBorders>
              <w:top w:val="nil"/>
              <w:left w:val="nil"/>
              <w:bottom w:val="nil"/>
              <w:right w:val="nil"/>
            </w:tcBorders>
            <w:shd w:val="clear" w:color="auto" w:fill="FFFFFF" w:themeFill="background1"/>
            <w:vAlign w:val="center"/>
            <w:hideMark/>
          </w:tcPr>
          <w:p w14:paraId="427CA42C" w14:textId="69922042" w:rsidR="00E512B4" w:rsidRPr="001B792E" w:rsidRDefault="1A795963" w:rsidP="00E512B4">
            <w:pPr>
              <w:jc w:val="center"/>
              <w:rPr>
                <w:rFonts w:eastAsia="Times New Roman" w:cs="Segoe UI"/>
                <w:color w:val="000000"/>
                <w:lang w:val="en-GB" w:eastAsia="en-GB" w:bidi="ar-SA"/>
              </w:rPr>
            </w:pPr>
            <w:r w:rsidRPr="001B792E">
              <w:rPr>
                <w:rFonts w:eastAsia="Times New Roman" w:cs="Segoe UI"/>
                <w:color w:val="000000" w:themeColor="accent4"/>
                <w:lang w:val="en-GB" w:eastAsia="en-GB" w:bidi="ar-SA"/>
              </w:rPr>
              <w:t xml:space="preserve">Males </w:t>
            </w:r>
            <w:r w:rsidR="00E512B4" w:rsidRPr="001B792E">
              <w:rPr>
                <w:rFonts w:eastAsia="Times New Roman" w:cs="Segoe UI"/>
                <w:color w:val="000000" w:themeColor="accent4"/>
                <w:lang w:val="en-GB" w:eastAsia="en-GB" w:bidi="ar-SA"/>
              </w:rPr>
              <w:t>3 years</w:t>
            </w:r>
            <w:r w:rsidR="30B3B2E8" w:rsidRPr="001B792E">
              <w:rPr>
                <w:rFonts w:eastAsia="Times New Roman" w:cs="Segoe UI"/>
                <w:color w:val="000000" w:themeColor="accent4"/>
                <w:lang w:val="en-GB" w:eastAsia="en-GB" w:bidi="ar-SA"/>
              </w:rPr>
              <w:t xml:space="preserve"> older</w:t>
            </w:r>
          </w:p>
        </w:tc>
        <w:tc>
          <w:tcPr>
            <w:tcW w:w="6" w:type="dxa"/>
            <w:vAlign w:val="center"/>
            <w:hideMark/>
          </w:tcPr>
          <w:p w14:paraId="42B2F27E" w14:textId="77777777" w:rsidR="00E512B4" w:rsidRPr="00630699" w:rsidRDefault="00E512B4" w:rsidP="00E512B4">
            <w:pPr>
              <w:rPr>
                <w:rFonts w:ascii="Times New Roman" w:eastAsia="Times New Roman" w:hAnsi="Times New Roman"/>
                <w:szCs w:val="20"/>
                <w:lang w:val="en-GB" w:eastAsia="en-GB" w:bidi="ar-SA"/>
              </w:rPr>
            </w:pPr>
          </w:p>
        </w:tc>
      </w:tr>
    </w:tbl>
    <w:p w14:paraId="33CE78E0" w14:textId="77777777" w:rsidR="00E512B4" w:rsidRPr="00630699" w:rsidRDefault="00E512B4" w:rsidP="00B53BF6">
      <w:pPr>
        <w:spacing w:after="200"/>
        <w:rPr>
          <w:rFonts w:eastAsia="Segoe UI" w:cs="Segoe UI"/>
          <w:color w:val="7030A0"/>
          <w:lang w:val="en-GB"/>
        </w:rPr>
      </w:pPr>
    </w:p>
    <w:p w14:paraId="0960FA05" w14:textId="77777777" w:rsidR="00B53BF6" w:rsidRPr="00630699" w:rsidRDefault="00B53BF6" w:rsidP="00B53BF6">
      <w:pPr>
        <w:spacing w:after="200"/>
        <w:rPr>
          <w:rFonts w:eastAsia="Segoe UI" w:cs="Segoe UI"/>
          <w:color w:val="7030A0"/>
          <w:lang w:val="en-GB"/>
        </w:rPr>
      </w:pPr>
    </w:p>
    <w:p w14:paraId="68644DFB" w14:textId="4FFC88CC" w:rsidR="00B53BF6" w:rsidRPr="008D6E9E" w:rsidRDefault="009A37CE" w:rsidP="00B53BF6">
      <w:pPr>
        <w:spacing w:after="200"/>
        <w:rPr>
          <w:rFonts w:eastAsia="Segoe UI" w:cs="Segoe UI"/>
          <w:lang w:val="en-GB"/>
        </w:rPr>
      </w:pPr>
      <w:r w:rsidRPr="001B792E">
        <w:rPr>
          <w:rFonts w:eastAsia="Segoe UI" w:cs="Segoe UI"/>
          <w:lang w:val="en-GB"/>
        </w:rPr>
        <w:t xml:space="preserve">Further information on the assumptions used is explained in </w:t>
      </w:r>
      <w:r w:rsidRPr="00361159">
        <w:rPr>
          <w:rFonts w:eastAsia="Segoe UI" w:cs="Segoe UI"/>
          <w:lang w:val="en-GB"/>
        </w:rPr>
        <w:t>the</w:t>
      </w:r>
      <w:r w:rsidR="00654333" w:rsidRPr="00361159">
        <w:rPr>
          <w:rFonts w:eastAsia="Segoe UI" w:cs="Segoe UI"/>
          <w:lang w:val="en-GB"/>
        </w:rPr>
        <w:t xml:space="preserve"> </w:t>
      </w:r>
      <w:r w:rsidR="00654333" w:rsidRPr="00BF7CF1">
        <w:rPr>
          <w:rFonts w:eastAsia="Segoe UI" w:cs="Segoe UI"/>
          <w:lang w:val="en-GB"/>
        </w:rPr>
        <w:t>Fund’s valuation report.</w:t>
      </w:r>
    </w:p>
    <w:p w14:paraId="55AA85A9" w14:textId="77777777" w:rsidR="00B53BF6" w:rsidRDefault="00B53BF6" w:rsidP="00B53BF6">
      <w:pPr>
        <w:pStyle w:val="Heading3"/>
      </w:pPr>
      <w:r w:rsidRPr="73138C69">
        <w:rPr>
          <w:rFonts w:eastAsia="Segoe UI Semibold" w:cs="Segoe UI Semibold"/>
        </w:rPr>
        <w:t>Actuarial methods</w:t>
      </w:r>
    </w:p>
    <w:p w14:paraId="488FCA90" w14:textId="3EF76590" w:rsidR="005A48D5" w:rsidRDefault="00B53BF6" w:rsidP="00B53BF6">
      <w:r w:rsidRPr="3CA178B6">
        <w:rPr>
          <w:rFonts w:eastAsia="Segoe UI" w:cs="Segoe UI"/>
          <w:lang w:val="en-GB"/>
        </w:rPr>
        <w:t xml:space="preserve">The actuarial method for open employers is the projected unit method and for closed employers is the attained age method. These are explained further in the section </w:t>
      </w:r>
      <w:r w:rsidR="00673B35" w:rsidRPr="00BB2602">
        <w:rPr>
          <w:rFonts w:eastAsia="Segoe UI" w:cs="Segoe UI"/>
          <w:lang w:val="en-GB"/>
        </w:rPr>
        <w:fldChar w:fldCharType="begin"/>
      </w:r>
      <w:r w:rsidR="00673B35" w:rsidRPr="005A48D5">
        <w:rPr>
          <w:rFonts w:eastAsia="Segoe UI" w:cs="Segoe UI"/>
          <w:lang w:val="en-GB"/>
        </w:rPr>
        <w:instrText xml:space="preserve"> REF _Ref204267254 \h </w:instrText>
      </w:r>
      <w:r w:rsidR="005A48D5">
        <w:rPr>
          <w:rFonts w:eastAsia="Segoe UI" w:cs="Segoe UI"/>
          <w:lang w:val="en-GB"/>
        </w:rPr>
        <w:instrText xml:space="preserve"> \* MERGEFORMAT </w:instrText>
      </w:r>
      <w:r w:rsidR="00673B35" w:rsidRPr="00BB2602">
        <w:rPr>
          <w:rFonts w:eastAsia="Segoe UI" w:cs="Segoe UI"/>
          <w:lang w:val="en-GB"/>
        </w:rPr>
      </w:r>
      <w:r w:rsidR="00673B35" w:rsidRPr="00BB2602">
        <w:rPr>
          <w:rFonts w:eastAsia="Segoe UI" w:cs="Segoe UI"/>
          <w:lang w:val="en-GB"/>
        </w:rPr>
        <w:fldChar w:fldCharType="separate"/>
      </w:r>
      <w:r w:rsidR="00673B35" w:rsidRPr="005A48D5">
        <w:t>Primary rate of employers’ contribution</w:t>
      </w:r>
      <w:r w:rsidR="00673B35" w:rsidRPr="00BB2602">
        <w:rPr>
          <w:rFonts w:eastAsia="Segoe UI" w:cs="Segoe UI"/>
          <w:lang w:val="en-GB"/>
        </w:rPr>
        <w:fldChar w:fldCharType="end"/>
      </w:r>
      <w:r w:rsidR="005A48D5" w:rsidRPr="00BB2602">
        <w:rPr>
          <w:rFonts w:eastAsia="Segoe UI" w:cs="Segoe UI"/>
          <w:lang w:val="en-GB"/>
        </w:rPr>
        <w:t>.</w:t>
      </w:r>
    </w:p>
    <w:p w14:paraId="155A0C07" w14:textId="2D90B21B" w:rsidR="043989E9" w:rsidRDefault="043989E9" w:rsidP="005A48D5">
      <w:pPr>
        <w:pStyle w:val="Heading3"/>
      </w:pPr>
      <w:r w:rsidRPr="3CA178B6">
        <w:t>Asset valuation</w:t>
      </w:r>
    </w:p>
    <w:p w14:paraId="303D8C90" w14:textId="5ED75B06" w:rsidR="043989E9" w:rsidRDefault="043989E9" w:rsidP="3CA178B6">
      <w:pPr>
        <w:spacing w:after="200"/>
        <w:rPr>
          <w:rFonts w:eastAsia="Segoe UI" w:cs="Segoe UI"/>
          <w:lang w:val="en-GB"/>
        </w:rPr>
      </w:pPr>
      <w:r w:rsidRPr="3CA178B6">
        <w:rPr>
          <w:rFonts w:eastAsia="Segoe UI" w:cs="Segoe UI"/>
          <w:lang w:val="en-GB"/>
        </w:rPr>
        <w:t xml:space="preserve">For the purpose of considering funding levels and setting contributions, the asset value used is the market value of the assets at the valuation date, adjusted to reflect average market conditions during the six months straddling the valuation date. This is referred to as the smoothed asset value and is calculated as a consistent approach to the valuation of the liabilities. For the 2025 valuation this led to assets being taken into account for funding purposes </w:t>
      </w:r>
      <w:r w:rsidRPr="007B29F4">
        <w:rPr>
          <w:rFonts w:eastAsia="Segoe UI" w:cs="Segoe UI"/>
          <w:lang w:val="en-GB"/>
        </w:rPr>
        <w:t xml:space="preserve">at </w:t>
      </w:r>
      <w:r w:rsidR="00B0105E" w:rsidRPr="001B792E">
        <w:rPr>
          <w:rFonts w:eastAsia="Segoe UI" w:cs="Segoe UI"/>
          <w:lang w:val="en-GB"/>
        </w:rPr>
        <w:t>101.9</w:t>
      </w:r>
      <w:r w:rsidRPr="007B29F4">
        <w:rPr>
          <w:rFonts w:eastAsia="Segoe UI" w:cs="Segoe UI"/>
          <w:lang w:val="en-GB"/>
        </w:rPr>
        <w:t>% of th</w:t>
      </w:r>
      <w:r w:rsidRPr="3CA178B6">
        <w:rPr>
          <w:rFonts w:eastAsia="Segoe UI" w:cs="Segoe UI"/>
          <w:lang w:val="en-GB"/>
        </w:rPr>
        <w:t>e market value.</w:t>
      </w:r>
    </w:p>
    <w:p w14:paraId="226F18B4" w14:textId="17B94B1E" w:rsidR="00B53BF6" w:rsidRPr="00EC26AC" w:rsidRDefault="043989E9" w:rsidP="3CA178B6">
      <w:pPr>
        <w:spacing w:after="200"/>
        <w:rPr>
          <w:rFonts w:eastAsia="Segoe UI" w:cs="Segoe UI"/>
          <w:lang w:val="en-GB"/>
        </w:rPr>
      </w:pPr>
      <w:r w:rsidRPr="3CA178B6">
        <w:rPr>
          <w:rFonts w:eastAsia="Segoe UI" w:cs="Segoe UI"/>
          <w:lang w:val="en-GB"/>
        </w:rPr>
        <w:lastRenderedPageBreak/>
        <w:t>The Fund’s assets are effectively unitised and notionally allocated to employers at an individual level by allowing for actual Fund returns achieved on the assets and cashflows paid into and out of the Fund in respect of each employer (e.g. contributions received and benefits paid).</w:t>
      </w:r>
      <w:r w:rsidR="00103F45">
        <w:rPr>
          <w:rFonts w:eastAsia="Segoe UI" w:cs="Segoe UI"/>
          <w:lang w:val="en-GB"/>
        </w:rPr>
        <w:t xml:space="preserve"> </w:t>
      </w:r>
    </w:p>
    <w:p w14:paraId="11138437" w14:textId="63FE752F" w:rsidR="00B53BF6" w:rsidRDefault="00B53BF6" w:rsidP="00B53BF6">
      <w:pPr>
        <w:pStyle w:val="Heading2"/>
        <w:rPr>
          <w:highlight w:val="yellow"/>
        </w:rPr>
      </w:pPr>
      <w:bookmarkStart w:id="13" w:name="_Toc222823311"/>
      <w:r>
        <w:t>Links to the Investment Strategy Statement (ISS)</w:t>
      </w:r>
      <w:bookmarkEnd w:id="13"/>
      <w:r>
        <w:t xml:space="preserve"> </w:t>
      </w:r>
    </w:p>
    <w:p w14:paraId="6D0477C6" w14:textId="7196DC7A" w:rsidR="00526BF1" w:rsidRPr="001B792E" w:rsidRDefault="00526BF1" w:rsidP="00526BF1">
      <w:pPr>
        <w:pStyle w:val="BodyText"/>
      </w:pPr>
      <w:r w:rsidRPr="001B792E">
        <w:t>Our ISS is available</w:t>
      </w:r>
      <w:r w:rsidR="002432B6">
        <w:t xml:space="preserve"> at www.lbbdpensionfund.org.</w:t>
      </w:r>
      <w:r w:rsidRPr="001B792E">
        <w:t xml:space="preserve"> </w:t>
      </w:r>
    </w:p>
    <w:p w14:paraId="34C3DB6B" w14:textId="77777777" w:rsidR="00B53BF6" w:rsidRDefault="00B53BF6" w:rsidP="00B53BF6">
      <w:pPr>
        <w:spacing w:after="200"/>
        <w:rPr>
          <w:rFonts w:eastAsia="Segoe UI" w:cs="Segoe UI"/>
        </w:rPr>
      </w:pPr>
      <w:r w:rsidRPr="73138C69">
        <w:rPr>
          <w:rFonts w:eastAsia="Segoe UI" w:cs="Segoe UI"/>
        </w:rPr>
        <w:t xml:space="preserve">The funding strategy and the investment strategy are strongly connected.  The funding strategy relies on contributions to maintain financial stability, and the investment strategy aims to generate returns that support long-term sustainability. </w:t>
      </w:r>
    </w:p>
    <w:p w14:paraId="58C55C81" w14:textId="77777777" w:rsidR="00B53BF6" w:rsidRDefault="00B53BF6" w:rsidP="00B53BF6">
      <w:pPr>
        <w:spacing w:after="200"/>
      </w:pPr>
      <w:r w:rsidRPr="73138C69">
        <w:rPr>
          <w:rFonts w:eastAsia="Segoe UI" w:cs="Segoe UI"/>
          <w:lang w:val="en-GB"/>
        </w:rPr>
        <w:t>The main link between the FSS and the ISS relates to the discount rate that underlies the funding strategy as set out in the FSS, and the expected rate of investment return anticipated to be achieved by the long-term strategy as set out in the ISS.</w:t>
      </w:r>
    </w:p>
    <w:p w14:paraId="267AA964" w14:textId="77777777" w:rsidR="00B53BF6" w:rsidRDefault="00B53BF6" w:rsidP="00B53BF6">
      <w:pPr>
        <w:spacing w:after="200"/>
        <w:rPr>
          <w:rFonts w:eastAsia="Segoe UI" w:cs="Segoe UI"/>
        </w:rPr>
      </w:pPr>
      <w:r w:rsidRPr="73138C69">
        <w:rPr>
          <w:rFonts w:eastAsia="Segoe UI" w:cs="Segoe UI"/>
          <w:lang w:val="en-GB"/>
        </w:rPr>
        <w:t>As explained above, the ongoing discount rate that is adopted in the actuarial valuation is derived by considering the expected return from the long-term investment strategy. This ensures consistency between the funding strategy and investment strategy.</w:t>
      </w:r>
      <w:r w:rsidRPr="73138C69">
        <w:rPr>
          <w:rFonts w:eastAsia="Segoe UI" w:cs="Segoe UI"/>
        </w:rPr>
        <w:t xml:space="preserve"> </w:t>
      </w:r>
    </w:p>
    <w:p w14:paraId="4AC123B7" w14:textId="77777777" w:rsidR="00B53BF6" w:rsidRDefault="00B53BF6" w:rsidP="00B53BF6">
      <w:pPr>
        <w:spacing w:after="200"/>
        <w:rPr>
          <w:rFonts w:eastAsia="Segoe UI" w:cs="Segoe UI"/>
          <w:lang w:val="en-GB"/>
        </w:rPr>
      </w:pPr>
      <w:r w:rsidRPr="73138C69">
        <w:rPr>
          <w:rFonts w:eastAsia="Segoe UI" w:cs="Segoe UI"/>
          <w:lang w:val="en-GB"/>
        </w:rPr>
        <w:t xml:space="preserve">After employer and employee contributions, investment returns are the third key pillar of LGPS funding. We must be able to pay benefits when they are due. The payments of benefits are met from a combination of contributions (through the funding strategy) and asset return and income (through the investment strategy). </w:t>
      </w:r>
      <w:r w:rsidRPr="73138C69">
        <w:rPr>
          <w:rFonts w:eastAsia="Segoe UI" w:cs="Segoe UI"/>
        </w:rPr>
        <w:t xml:space="preserve">Should investment performance or income fall below projected levels, it may be required to increase employer contributions to compensate to meet the cost of the benefits. Hence the required investment returns to meet the discount rate assumption set out in the FSS are considered in setting the strategic asset allocation. </w:t>
      </w:r>
    </w:p>
    <w:p w14:paraId="7B771EDE" w14:textId="262DF3AD" w:rsidR="00950670" w:rsidRDefault="00950670" w:rsidP="00950670">
      <w:pPr>
        <w:pStyle w:val="BodyText"/>
      </w:pPr>
      <w:r w:rsidRPr="001B792E">
        <w:t xml:space="preserve">A summary of the asset classes and allocation from the most recent ISS is shown below: </w:t>
      </w:r>
    </w:p>
    <w:tbl>
      <w:tblPr>
        <w:tblW w:w="6460" w:type="dxa"/>
        <w:jc w:val="center"/>
        <w:tblLook w:val="04A0" w:firstRow="1" w:lastRow="0" w:firstColumn="1" w:lastColumn="0" w:noHBand="0" w:noVBand="1"/>
      </w:tblPr>
      <w:tblGrid>
        <w:gridCol w:w="4535"/>
        <w:gridCol w:w="1703"/>
        <w:gridCol w:w="222"/>
      </w:tblGrid>
      <w:tr w:rsidR="003A4196" w:rsidRPr="003A4196" w14:paraId="542419FF" w14:textId="77777777" w:rsidTr="001B792E">
        <w:trPr>
          <w:gridAfter w:val="1"/>
          <w:wAfter w:w="222" w:type="dxa"/>
          <w:trHeight w:val="506"/>
          <w:jc w:val="center"/>
        </w:trPr>
        <w:tc>
          <w:tcPr>
            <w:tcW w:w="4535" w:type="dxa"/>
            <w:vMerge w:val="restart"/>
            <w:tcBorders>
              <w:top w:val="single" w:sz="8" w:space="0" w:color="009FE3"/>
              <w:left w:val="nil"/>
              <w:bottom w:val="single" w:sz="8" w:space="0" w:color="009FE3"/>
              <w:right w:val="nil"/>
            </w:tcBorders>
            <w:shd w:val="clear" w:color="000000" w:fill="FFFFFF"/>
            <w:vAlign w:val="center"/>
            <w:hideMark/>
          </w:tcPr>
          <w:p w14:paraId="079E0C6B" w14:textId="77777777" w:rsidR="003A4196" w:rsidRPr="003A4196" w:rsidRDefault="003A4196" w:rsidP="003A4196">
            <w:pPr>
              <w:rPr>
                <w:rFonts w:eastAsia="Times New Roman" w:cs="Segoe UI"/>
                <w:color w:val="41C0F0"/>
                <w:szCs w:val="20"/>
                <w:lang w:val="en-GB" w:eastAsia="en-GB" w:bidi="ar-SA"/>
              </w:rPr>
            </w:pPr>
            <w:r w:rsidRPr="003A4196">
              <w:rPr>
                <w:rFonts w:eastAsia="Times New Roman" w:cs="Segoe UI"/>
                <w:color w:val="41C0F0"/>
                <w:szCs w:val="20"/>
                <w:lang w:val="en-GB" w:eastAsia="en-GB" w:bidi="ar-SA"/>
              </w:rPr>
              <w:t>Asset class</w:t>
            </w:r>
          </w:p>
        </w:tc>
        <w:tc>
          <w:tcPr>
            <w:tcW w:w="1703" w:type="dxa"/>
            <w:vMerge w:val="restart"/>
            <w:tcBorders>
              <w:top w:val="single" w:sz="8" w:space="0" w:color="009FE3"/>
              <w:left w:val="nil"/>
              <w:bottom w:val="single" w:sz="8" w:space="0" w:color="009FE3"/>
              <w:right w:val="nil"/>
            </w:tcBorders>
            <w:shd w:val="clear" w:color="000000" w:fill="FFFFFF"/>
            <w:vAlign w:val="center"/>
            <w:hideMark/>
          </w:tcPr>
          <w:p w14:paraId="554F0949" w14:textId="77777777" w:rsidR="003A4196" w:rsidRPr="003A4196" w:rsidRDefault="003A4196" w:rsidP="003A4196">
            <w:pPr>
              <w:jc w:val="center"/>
              <w:rPr>
                <w:rFonts w:eastAsia="Times New Roman" w:cs="Segoe UI"/>
                <w:color w:val="41C0F0"/>
                <w:szCs w:val="20"/>
                <w:lang w:val="en-GB" w:eastAsia="en-GB" w:bidi="ar-SA"/>
              </w:rPr>
            </w:pPr>
            <w:r w:rsidRPr="003A4196">
              <w:rPr>
                <w:rFonts w:eastAsia="Times New Roman" w:cs="Segoe UI"/>
                <w:color w:val="41C0F0"/>
                <w:szCs w:val="20"/>
                <w:lang w:val="en-GB" w:eastAsia="en-GB" w:bidi="ar-SA"/>
              </w:rPr>
              <w:t>Allocation</w:t>
            </w:r>
          </w:p>
        </w:tc>
      </w:tr>
      <w:tr w:rsidR="003A4196" w:rsidRPr="003A4196" w14:paraId="3AAA535B" w14:textId="77777777" w:rsidTr="001B792E">
        <w:trPr>
          <w:trHeight w:val="300"/>
          <w:jc w:val="center"/>
        </w:trPr>
        <w:tc>
          <w:tcPr>
            <w:tcW w:w="4535" w:type="dxa"/>
            <w:vMerge/>
            <w:tcBorders>
              <w:top w:val="single" w:sz="8" w:space="0" w:color="009FE3"/>
              <w:left w:val="nil"/>
              <w:bottom w:val="single" w:sz="8" w:space="0" w:color="009FE3"/>
              <w:right w:val="nil"/>
            </w:tcBorders>
            <w:vAlign w:val="center"/>
            <w:hideMark/>
          </w:tcPr>
          <w:p w14:paraId="08063BBC" w14:textId="77777777" w:rsidR="003A4196" w:rsidRPr="003A4196" w:rsidRDefault="003A4196" w:rsidP="003A4196">
            <w:pPr>
              <w:rPr>
                <w:rFonts w:eastAsia="Times New Roman" w:cs="Segoe UI"/>
                <w:color w:val="41C0F0"/>
                <w:szCs w:val="20"/>
                <w:lang w:val="en-GB" w:eastAsia="en-GB" w:bidi="ar-SA"/>
              </w:rPr>
            </w:pPr>
          </w:p>
        </w:tc>
        <w:tc>
          <w:tcPr>
            <w:tcW w:w="1703" w:type="dxa"/>
            <w:vMerge/>
            <w:tcBorders>
              <w:top w:val="single" w:sz="8" w:space="0" w:color="009FE3"/>
              <w:left w:val="nil"/>
              <w:bottom w:val="single" w:sz="8" w:space="0" w:color="009FE3"/>
              <w:right w:val="nil"/>
            </w:tcBorders>
            <w:vAlign w:val="center"/>
            <w:hideMark/>
          </w:tcPr>
          <w:p w14:paraId="722E4494" w14:textId="77777777" w:rsidR="003A4196" w:rsidRPr="003A4196" w:rsidRDefault="003A4196" w:rsidP="003A4196">
            <w:pPr>
              <w:rPr>
                <w:rFonts w:eastAsia="Times New Roman" w:cs="Segoe UI"/>
                <w:color w:val="41C0F0"/>
                <w:szCs w:val="20"/>
                <w:lang w:val="en-GB" w:eastAsia="en-GB" w:bidi="ar-SA"/>
              </w:rPr>
            </w:pPr>
          </w:p>
        </w:tc>
        <w:tc>
          <w:tcPr>
            <w:tcW w:w="222" w:type="dxa"/>
            <w:tcBorders>
              <w:top w:val="nil"/>
              <w:left w:val="nil"/>
              <w:bottom w:val="nil"/>
              <w:right w:val="nil"/>
            </w:tcBorders>
            <w:noWrap/>
            <w:vAlign w:val="bottom"/>
            <w:hideMark/>
          </w:tcPr>
          <w:p w14:paraId="7409E530" w14:textId="77777777" w:rsidR="003A4196" w:rsidRPr="003A4196" w:rsidRDefault="003A4196" w:rsidP="003A4196">
            <w:pPr>
              <w:jc w:val="center"/>
              <w:rPr>
                <w:rFonts w:eastAsia="Times New Roman" w:cs="Segoe UI"/>
                <w:color w:val="41C0F0"/>
                <w:szCs w:val="20"/>
                <w:lang w:val="en-GB" w:eastAsia="en-GB" w:bidi="ar-SA"/>
              </w:rPr>
            </w:pPr>
          </w:p>
        </w:tc>
      </w:tr>
      <w:tr w:rsidR="003A4196" w:rsidRPr="003A4196" w14:paraId="54BF8384" w14:textId="77777777" w:rsidTr="001B792E">
        <w:trPr>
          <w:trHeight w:val="285"/>
          <w:jc w:val="center"/>
        </w:trPr>
        <w:tc>
          <w:tcPr>
            <w:tcW w:w="4535" w:type="dxa"/>
            <w:tcBorders>
              <w:top w:val="nil"/>
              <w:left w:val="nil"/>
              <w:bottom w:val="nil"/>
              <w:right w:val="nil"/>
            </w:tcBorders>
            <w:shd w:val="clear" w:color="000000" w:fill="FFFFFF"/>
            <w:vAlign w:val="center"/>
            <w:hideMark/>
          </w:tcPr>
          <w:p w14:paraId="334C99B5" w14:textId="77777777" w:rsidR="003A4196" w:rsidRPr="003A4196" w:rsidRDefault="003A4196" w:rsidP="003A4196">
            <w:pPr>
              <w:rPr>
                <w:rFonts w:eastAsia="Times New Roman" w:cs="Segoe UI"/>
                <w:color w:val="000000"/>
                <w:szCs w:val="20"/>
                <w:lang w:val="en-GB" w:eastAsia="en-GB" w:bidi="ar-SA"/>
              </w:rPr>
            </w:pPr>
            <w:r w:rsidRPr="003A4196">
              <w:rPr>
                <w:rFonts w:eastAsia="Times New Roman" w:cs="Segoe UI"/>
                <w:color w:val="000000"/>
                <w:szCs w:val="20"/>
                <w:lang w:val="en-GB" w:eastAsia="en-GB" w:bidi="ar-SA"/>
              </w:rPr>
              <w:t>Gilts</w:t>
            </w:r>
          </w:p>
        </w:tc>
        <w:tc>
          <w:tcPr>
            <w:tcW w:w="1703" w:type="dxa"/>
            <w:tcBorders>
              <w:top w:val="nil"/>
              <w:left w:val="nil"/>
              <w:bottom w:val="nil"/>
              <w:right w:val="nil"/>
            </w:tcBorders>
            <w:shd w:val="clear" w:color="000000" w:fill="FFFFFF"/>
            <w:vAlign w:val="center"/>
            <w:hideMark/>
          </w:tcPr>
          <w:p w14:paraId="1CB191D1" w14:textId="77777777" w:rsidR="003A4196" w:rsidRPr="003A4196" w:rsidRDefault="003A4196" w:rsidP="003A4196">
            <w:pPr>
              <w:jc w:val="center"/>
              <w:rPr>
                <w:rFonts w:eastAsia="Times New Roman" w:cs="Segoe UI"/>
                <w:color w:val="000000"/>
                <w:szCs w:val="20"/>
                <w:lang w:val="en-GB" w:eastAsia="en-GB" w:bidi="ar-SA"/>
              </w:rPr>
            </w:pPr>
            <w:r w:rsidRPr="003A4196">
              <w:rPr>
                <w:rFonts w:eastAsia="Times New Roman" w:cs="Segoe UI"/>
                <w:color w:val="000000"/>
                <w:szCs w:val="20"/>
                <w:lang w:val="en-GB" w:eastAsia="en-GB" w:bidi="ar-SA"/>
              </w:rPr>
              <w:t>5.0%</w:t>
            </w:r>
          </w:p>
        </w:tc>
        <w:tc>
          <w:tcPr>
            <w:tcW w:w="222" w:type="dxa"/>
            <w:vAlign w:val="center"/>
            <w:hideMark/>
          </w:tcPr>
          <w:p w14:paraId="6333C954" w14:textId="77777777" w:rsidR="003A4196" w:rsidRPr="003A4196" w:rsidRDefault="003A4196" w:rsidP="003A4196">
            <w:pPr>
              <w:rPr>
                <w:rFonts w:ascii="Times New Roman" w:eastAsia="Times New Roman" w:hAnsi="Times New Roman"/>
                <w:szCs w:val="20"/>
                <w:lang w:val="en-GB" w:eastAsia="en-GB" w:bidi="ar-SA"/>
              </w:rPr>
            </w:pPr>
          </w:p>
        </w:tc>
      </w:tr>
      <w:tr w:rsidR="003A4196" w:rsidRPr="003A4196" w14:paraId="1D9E2A05" w14:textId="77777777" w:rsidTr="001B792E">
        <w:trPr>
          <w:trHeight w:val="285"/>
          <w:jc w:val="center"/>
        </w:trPr>
        <w:tc>
          <w:tcPr>
            <w:tcW w:w="4535" w:type="dxa"/>
            <w:tcBorders>
              <w:top w:val="nil"/>
              <w:left w:val="nil"/>
              <w:bottom w:val="nil"/>
              <w:right w:val="nil"/>
            </w:tcBorders>
            <w:shd w:val="clear" w:color="000000" w:fill="FFFFFF"/>
            <w:vAlign w:val="center"/>
            <w:hideMark/>
          </w:tcPr>
          <w:p w14:paraId="3F26B384" w14:textId="77777777" w:rsidR="003A4196" w:rsidRPr="003A4196" w:rsidRDefault="003A4196" w:rsidP="003A4196">
            <w:pPr>
              <w:rPr>
                <w:rFonts w:eastAsia="Times New Roman" w:cs="Segoe UI"/>
                <w:color w:val="000000"/>
                <w:szCs w:val="20"/>
                <w:lang w:val="en-GB" w:eastAsia="en-GB" w:bidi="ar-SA"/>
              </w:rPr>
            </w:pPr>
            <w:r w:rsidRPr="003A4196">
              <w:rPr>
                <w:rFonts w:eastAsia="Times New Roman" w:cs="Segoe UI"/>
                <w:color w:val="000000"/>
                <w:szCs w:val="20"/>
                <w:lang w:val="en-GB" w:eastAsia="en-GB" w:bidi="ar-SA"/>
              </w:rPr>
              <w:t>Corporate Bonds</w:t>
            </w:r>
          </w:p>
        </w:tc>
        <w:tc>
          <w:tcPr>
            <w:tcW w:w="1703" w:type="dxa"/>
            <w:tcBorders>
              <w:top w:val="nil"/>
              <w:left w:val="nil"/>
              <w:bottom w:val="nil"/>
              <w:right w:val="nil"/>
            </w:tcBorders>
            <w:shd w:val="clear" w:color="000000" w:fill="FFFFFF"/>
            <w:vAlign w:val="center"/>
            <w:hideMark/>
          </w:tcPr>
          <w:p w14:paraId="4AC19516" w14:textId="77777777" w:rsidR="003A4196" w:rsidRPr="003A4196" w:rsidRDefault="003A4196" w:rsidP="003A4196">
            <w:pPr>
              <w:jc w:val="center"/>
              <w:rPr>
                <w:rFonts w:eastAsia="Times New Roman" w:cs="Segoe UI"/>
                <w:color w:val="000000"/>
                <w:szCs w:val="20"/>
                <w:lang w:val="en-GB" w:eastAsia="en-GB" w:bidi="ar-SA"/>
              </w:rPr>
            </w:pPr>
            <w:r w:rsidRPr="003A4196">
              <w:rPr>
                <w:rFonts w:eastAsia="Times New Roman" w:cs="Segoe UI"/>
                <w:color w:val="000000"/>
                <w:szCs w:val="20"/>
                <w:lang w:val="en-GB" w:eastAsia="en-GB" w:bidi="ar-SA"/>
              </w:rPr>
              <w:t>10.0%</w:t>
            </w:r>
          </w:p>
        </w:tc>
        <w:tc>
          <w:tcPr>
            <w:tcW w:w="222" w:type="dxa"/>
            <w:vAlign w:val="center"/>
            <w:hideMark/>
          </w:tcPr>
          <w:p w14:paraId="7F81476D" w14:textId="77777777" w:rsidR="003A4196" w:rsidRPr="003A4196" w:rsidRDefault="003A4196" w:rsidP="003A4196">
            <w:pPr>
              <w:rPr>
                <w:rFonts w:ascii="Times New Roman" w:eastAsia="Times New Roman" w:hAnsi="Times New Roman"/>
                <w:szCs w:val="20"/>
                <w:lang w:val="en-GB" w:eastAsia="en-GB" w:bidi="ar-SA"/>
              </w:rPr>
            </w:pPr>
          </w:p>
        </w:tc>
      </w:tr>
      <w:tr w:rsidR="003A4196" w:rsidRPr="003A4196" w14:paraId="5B9FABDA" w14:textId="77777777" w:rsidTr="001B792E">
        <w:trPr>
          <w:trHeight w:val="285"/>
          <w:jc w:val="center"/>
        </w:trPr>
        <w:tc>
          <w:tcPr>
            <w:tcW w:w="4535" w:type="dxa"/>
            <w:tcBorders>
              <w:top w:val="nil"/>
              <w:left w:val="nil"/>
              <w:bottom w:val="nil"/>
              <w:right w:val="nil"/>
            </w:tcBorders>
            <w:shd w:val="clear" w:color="000000" w:fill="FFFFFF"/>
            <w:vAlign w:val="center"/>
            <w:hideMark/>
          </w:tcPr>
          <w:p w14:paraId="57BEBA63" w14:textId="77777777" w:rsidR="003A4196" w:rsidRPr="003A4196" w:rsidRDefault="003A4196" w:rsidP="003A4196">
            <w:pPr>
              <w:rPr>
                <w:rFonts w:eastAsia="Times New Roman" w:cs="Segoe UI"/>
                <w:color w:val="000000"/>
                <w:szCs w:val="20"/>
                <w:lang w:val="en-GB" w:eastAsia="en-GB" w:bidi="ar-SA"/>
              </w:rPr>
            </w:pPr>
            <w:r w:rsidRPr="003A4196">
              <w:rPr>
                <w:rFonts w:eastAsia="Times New Roman" w:cs="Segoe UI"/>
                <w:color w:val="000000"/>
                <w:szCs w:val="20"/>
                <w:lang w:val="en-GB" w:eastAsia="en-GB" w:bidi="ar-SA"/>
              </w:rPr>
              <w:t>Equities</w:t>
            </w:r>
          </w:p>
        </w:tc>
        <w:tc>
          <w:tcPr>
            <w:tcW w:w="1703" w:type="dxa"/>
            <w:tcBorders>
              <w:top w:val="nil"/>
              <w:left w:val="nil"/>
              <w:bottom w:val="nil"/>
              <w:right w:val="nil"/>
            </w:tcBorders>
            <w:shd w:val="clear" w:color="000000" w:fill="FFFFFF"/>
            <w:vAlign w:val="center"/>
            <w:hideMark/>
          </w:tcPr>
          <w:p w14:paraId="4B014720" w14:textId="77777777" w:rsidR="003A4196" w:rsidRPr="003A4196" w:rsidRDefault="003A4196" w:rsidP="003A4196">
            <w:pPr>
              <w:jc w:val="center"/>
              <w:rPr>
                <w:rFonts w:eastAsia="Times New Roman" w:cs="Segoe UI"/>
                <w:color w:val="000000"/>
                <w:szCs w:val="20"/>
                <w:lang w:val="en-GB" w:eastAsia="en-GB" w:bidi="ar-SA"/>
              </w:rPr>
            </w:pPr>
            <w:r w:rsidRPr="003A4196">
              <w:rPr>
                <w:rFonts w:eastAsia="Times New Roman" w:cs="Segoe UI"/>
                <w:color w:val="000000"/>
                <w:szCs w:val="20"/>
                <w:lang w:val="en-GB" w:eastAsia="en-GB" w:bidi="ar-SA"/>
              </w:rPr>
              <w:t>53.0%</w:t>
            </w:r>
          </w:p>
        </w:tc>
        <w:tc>
          <w:tcPr>
            <w:tcW w:w="222" w:type="dxa"/>
            <w:vAlign w:val="center"/>
            <w:hideMark/>
          </w:tcPr>
          <w:p w14:paraId="0B126454" w14:textId="77777777" w:rsidR="003A4196" w:rsidRPr="003A4196" w:rsidRDefault="003A4196" w:rsidP="003A4196">
            <w:pPr>
              <w:rPr>
                <w:rFonts w:ascii="Times New Roman" w:eastAsia="Times New Roman" w:hAnsi="Times New Roman"/>
                <w:szCs w:val="20"/>
                <w:lang w:val="en-GB" w:eastAsia="en-GB" w:bidi="ar-SA"/>
              </w:rPr>
            </w:pPr>
          </w:p>
        </w:tc>
      </w:tr>
      <w:tr w:rsidR="003A4196" w:rsidRPr="003A4196" w14:paraId="7F312053" w14:textId="77777777" w:rsidTr="001B792E">
        <w:trPr>
          <w:trHeight w:val="285"/>
          <w:jc w:val="center"/>
        </w:trPr>
        <w:tc>
          <w:tcPr>
            <w:tcW w:w="4535" w:type="dxa"/>
            <w:tcBorders>
              <w:top w:val="nil"/>
              <w:left w:val="nil"/>
              <w:bottom w:val="nil"/>
              <w:right w:val="nil"/>
            </w:tcBorders>
            <w:shd w:val="clear" w:color="000000" w:fill="FFFFFF"/>
            <w:vAlign w:val="center"/>
            <w:hideMark/>
          </w:tcPr>
          <w:p w14:paraId="1790B306" w14:textId="77777777" w:rsidR="003A4196" w:rsidRPr="003A4196" w:rsidRDefault="003A4196" w:rsidP="003A4196">
            <w:pPr>
              <w:rPr>
                <w:rFonts w:eastAsia="Times New Roman" w:cs="Segoe UI"/>
                <w:color w:val="000000"/>
                <w:szCs w:val="20"/>
                <w:lang w:val="en-GB" w:eastAsia="en-GB" w:bidi="ar-SA"/>
              </w:rPr>
            </w:pPr>
            <w:r w:rsidRPr="003A4196">
              <w:rPr>
                <w:rFonts w:eastAsia="Times New Roman" w:cs="Segoe UI"/>
                <w:color w:val="000000"/>
                <w:szCs w:val="20"/>
                <w:lang w:val="en-GB" w:eastAsia="en-GB" w:bidi="ar-SA"/>
              </w:rPr>
              <w:t>Private equities</w:t>
            </w:r>
          </w:p>
        </w:tc>
        <w:tc>
          <w:tcPr>
            <w:tcW w:w="1703" w:type="dxa"/>
            <w:tcBorders>
              <w:top w:val="nil"/>
              <w:left w:val="nil"/>
              <w:bottom w:val="nil"/>
              <w:right w:val="nil"/>
            </w:tcBorders>
            <w:shd w:val="clear" w:color="000000" w:fill="FFFFFF"/>
            <w:vAlign w:val="center"/>
            <w:hideMark/>
          </w:tcPr>
          <w:p w14:paraId="2530A514" w14:textId="77777777" w:rsidR="003A4196" w:rsidRPr="003A4196" w:rsidRDefault="003A4196" w:rsidP="003A4196">
            <w:pPr>
              <w:jc w:val="center"/>
              <w:rPr>
                <w:rFonts w:eastAsia="Times New Roman" w:cs="Segoe UI"/>
                <w:color w:val="000000"/>
                <w:szCs w:val="20"/>
                <w:lang w:val="en-GB" w:eastAsia="en-GB" w:bidi="ar-SA"/>
              </w:rPr>
            </w:pPr>
            <w:r w:rsidRPr="003A4196">
              <w:rPr>
                <w:rFonts w:eastAsia="Times New Roman" w:cs="Segoe UI"/>
                <w:color w:val="000000"/>
                <w:szCs w:val="20"/>
                <w:lang w:val="en-GB" w:eastAsia="en-GB" w:bidi="ar-SA"/>
              </w:rPr>
              <w:t>9.0%</w:t>
            </w:r>
          </w:p>
        </w:tc>
        <w:tc>
          <w:tcPr>
            <w:tcW w:w="222" w:type="dxa"/>
            <w:vAlign w:val="center"/>
            <w:hideMark/>
          </w:tcPr>
          <w:p w14:paraId="5639B712" w14:textId="77777777" w:rsidR="003A4196" w:rsidRPr="003A4196" w:rsidRDefault="003A4196" w:rsidP="003A4196">
            <w:pPr>
              <w:rPr>
                <w:rFonts w:ascii="Times New Roman" w:eastAsia="Times New Roman" w:hAnsi="Times New Roman"/>
                <w:szCs w:val="20"/>
                <w:lang w:val="en-GB" w:eastAsia="en-GB" w:bidi="ar-SA"/>
              </w:rPr>
            </w:pPr>
          </w:p>
        </w:tc>
      </w:tr>
      <w:tr w:rsidR="003A4196" w:rsidRPr="003A4196" w14:paraId="7371EBA7" w14:textId="77777777" w:rsidTr="001B792E">
        <w:trPr>
          <w:trHeight w:val="285"/>
          <w:jc w:val="center"/>
        </w:trPr>
        <w:tc>
          <w:tcPr>
            <w:tcW w:w="4535" w:type="dxa"/>
            <w:tcBorders>
              <w:top w:val="nil"/>
              <w:left w:val="nil"/>
              <w:bottom w:val="nil"/>
              <w:right w:val="nil"/>
            </w:tcBorders>
            <w:shd w:val="clear" w:color="000000" w:fill="FFFFFF"/>
            <w:vAlign w:val="center"/>
            <w:hideMark/>
          </w:tcPr>
          <w:p w14:paraId="1AB21AD9" w14:textId="77777777" w:rsidR="003A4196" w:rsidRPr="003A4196" w:rsidRDefault="003A4196" w:rsidP="003A4196">
            <w:pPr>
              <w:rPr>
                <w:rFonts w:eastAsia="Times New Roman" w:cs="Segoe UI"/>
                <w:color w:val="000000"/>
                <w:szCs w:val="20"/>
                <w:lang w:val="en-GB" w:eastAsia="en-GB" w:bidi="ar-SA"/>
              </w:rPr>
            </w:pPr>
            <w:r w:rsidRPr="003A4196">
              <w:rPr>
                <w:rFonts w:eastAsia="Times New Roman" w:cs="Segoe UI"/>
                <w:color w:val="000000"/>
                <w:szCs w:val="20"/>
                <w:lang w:val="en-GB" w:eastAsia="en-GB" w:bidi="ar-SA"/>
              </w:rPr>
              <w:t>Property</w:t>
            </w:r>
          </w:p>
        </w:tc>
        <w:tc>
          <w:tcPr>
            <w:tcW w:w="1703" w:type="dxa"/>
            <w:tcBorders>
              <w:top w:val="nil"/>
              <w:left w:val="nil"/>
              <w:bottom w:val="nil"/>
              <w:right w:val="nil"/>
            </w:tcBorders>
            <w:shd w:val="clear" w:color="000000" w:fill="FFFFFF"/>
            <w:vAlign w:val="center"/>
            <w:hideMark/>
          </w:tcPr>
          <w:p w14:paraId="3DBCB2B3" w14:textId="77777777" w:rsidR="003A4196" w:rsidRPr="003A4196" w:rsidRDefault="003A4196" w:rsidP="003A4196">
            <w:pPr>
              <w:jc w:val="center"/>
              <w:rPr>
                <w:rFonts w:eastAsia="Times New Roman" w:cs="Segoe UI"/>
                <w:color w:val="000000"/>
                <w:szCs w:val="20"/>
                <w:lang w:val="en-GB" w:eastAsia="en-GB" w:bidi="ar-SA"/>
              </w:rPr>
            </w:pPr>
            <w:r w:rsidRPr="003A4196">
              <w:rPr>
                <w:rFonts w:eastAsia="Times New Roman" w:cs="Segoe UI"/>
                <w:color w:val="000000"/>
                <w:szCs w:val="20"/>
                <w:lang w:val="en-GB" w:eastAsia="en-GB" w:bidi="ar-SA"/>
              </w:rPr>
              <w:t>6.0%</w:t>
            </w:r>
          </w:p>
        </w:tc>
        <w:tc>
          <w:tcPr>
            <w:tcW w:w="222" w:type="dxa"/>
            <w:vAlign w:val="center"/>
            <w:hideMark/>
          </w:tcPr>
          <w:p w14:paraId="0B205BE4" w14:textId="77777777" w:rsidR="003A4196" w:rsidRPr="003A4196" w:rsidRDefault="003A4196" w:rsidP="003A4196">
            <w:pPr>
              <w:rPr>
                <w:rFonts w:ascii="Times New Roman" w:eastAsia="Times New Roman" w:hAnsi="Times New Roman"/>
                <w:szCs w:val="20"/>
                <w:lang w:val="en-GB" w:eastAsia="en-GB" w:bidi="ar-SA"/>
              </w:rPr>
            </w:pPr>
          </w:p>
        </w:tc>
      </w:tr>
      <w:tr w:rsidR="003A4196" w:rsidRPr="003A4196" w14:paraId="45C1CB21" w14:textId="77777777" w:rsidTr="001B792E">
        <w:trPr>
          <w:trHeight w:val="285"/>
          <w:jc w:val="center"/>
        </w:trPr>
        <w:tc>
          <w:tcPr>
            <w:tcW w:w="4535" w:type="dxa"/>
            <w:tcBorders>
              <w:top w:val="nil"/>
              <w:left w:val="nil"/>
              <w:bottom w:val="nil"/>
              <w:right w:val="nil"/>
            </w:tcBorders>
            <w:shd w:val="clear" w:color="000000" w:fill="FFFFFF"/>
            <w:vAlign w:val="center"/>
            <w:hideMark/>
          </w:tcPr>
          <w:p w14:paraId="746A5DDA" w14:textId="77777777" w:rsidR="003A4196" w:rsidRPr="003A4196" w:rsidRDefault="003A4196" w:rsidP="003A4196">
            <w:pPr>
              <w:rPr>
                <w:rFonts w:eastAsia="Times New Roman" w:cs="Segoe UI"/>
                <w:color w:val="000000"/>
                <w:szCs w:val="20"/>
                <w:lang w:val="en-GB" w:eastAsia="en-GB" w:bidi="ar-SA"/>
              </w:rPr>
            </w:pPr>
            <w:r w:rsidRPr="003A4196">
              <w:rPr>
                <w:rFonts w:eastAsia="Times New Roman" w:cs="Segoe UI"/>
                <w:color w:val="000000"/>
                <w:szCs w:val="20"/>
                <w:lang w:val="en-GB" w:eastAsia="en-GB" w:bidi="ar-SA"/>
              </w:rPr>
              <w:t>Infrastructure</w:t>
            </w:r>
          </w:p>
        </w:tc>
        <w:tc>
          <w:tcPr>
            <w:tcW w:w="1703" w:type="dxa"/>
            <w:tcBorders>
              <w:top w:val="nil"/>
              <w:left w:val="nil"/>
              <w:bottom w:val="nil"/>
              <w:right w:val="nil"/>
            </w:tcBorders>
            <w:shd w:val="clear" w:color="000000" w:fill="FFFFFF"/>
            <w:vAlign w:val="center"/>
            <w:hideMark/>
          </w:tcPr>
          <w:p w14:paraId="2F9F5B86" w14:textId="77777777" w:rsidR="003A4196" w:rsidRPr="003A4196" w:rsidRDefault="003A4196" w:rsidP="003A4196">
            <w:pPr>
              <w:jc w:val="center"/>
              <w:rPr>
                <w:rFonts w:eastAsia="Times New Roman" w:cs="Segoe UI"/>
                <w:color w:val="000000"/>
                <w:szCs w:val="20"/>
                <w:lang w:val="en-GB" w:eastAsia="en-GB" w:bidi="ar-SA"/>
              </w:rPr>
            </w:pPr>
            <w:r w:rsidRPr="003A4196">
              <w:rPr>
                <w:rFonts w:eastAsia="Times New Roman" w:cs="Segoe UI"/>
                <w:color w:val="000000"/>
                <w:szCs w:val="20"/>
                <w:lang w:val="en-GB" w:eastAsia="en-GB" w:bidi="ar-SA"/>
              </w:rPr>
              <w:t>10.0%</w:t>
            </w:r>
          </w:p>
        </w:tc>
        <w:tc>
          <w:tcPr>
            <w:tcW w:w="222" w:type="dxa"/>
            <w:vAlign w:val="center"/>
            <w:hideMark/>
          </w:tcPr>
          <w:p w14:paraId="0F86E9BE" w14:textId="77777777" w:rsidR="003A4196" w:rsidRPr="003A4196" w:rsidRDefault="003A4196" w:rsidP="003A4196">
            <w:pPr>
              <w:rPr>
                <w:rFonts w:ascii="Times New Roman" w:eastAsia="Times New Roman" w:hAnsi="Times New Roman"/>
                <w:szCs w:val="20"/>
                <w:lang w:val="en-GB" w:eastAsia="en-GB" w:bidi="ar-SA"/>
              </w:rPr>
            </w:pPr>
          </w:p>
        </w:tc>
      </w:tr>
      <w:tr w:rsidR="003A4196" w:rsidRPr="003A4196" w14:paraId="145B3930" w14:textId="77777777" w:rsidTr="001B792E">
        <w:trPr>
          <w:trHeight w:val="285"/>
          <w:jc w:val="center"/>
        </w:trPr>
        <w:tc>
          <w:tcPr>
            <w:tcW w:w="4535" w:type="dxa"/>
            <w:tcBorders>
              <w:top w:val="nil"/>
              <w:left w:val="nil"/>
              <w:bottom w:val="nil"/>
              <w:right w:val="nil"/>
            </w:tcBorders>
            <w:shd w:val="clear" w:color="000000" w:fill="FFFFFF"/>
            <w:noWrap/>
            <w:vAlign w:val="center"/>
            <w:hideMark/>
          </w:tcPr>
          <w:p w14:paraId="22B0B176" w14:textId="77777777" w:rsidR="003A4196" w:rsidRPr="003A4196" w:rsidRDefault="003A4196" w:rsidP="003A4196">
            <w:pPr>
              <w:rPr>
                <w:rFonts w:eastAsia="Times New Roman" w:cs="Segoe UI"/>
                <w:color w:val="000000"/>
                <w:szCs w:val="20"/>
                <w:lang w:val="en-GB" w:eastAsia="en-GB" w:bidi="ar-SA"/>
              </w:rPr>
            </w:pPr>
            <w:r w:rsidRPr="003A4196">
              <w:rPr>
                <w:rFonts w:eastAsia="Times New Roman" w:cs="Segoe UI"/>
                <w:color w:val="000000"/>
                <w:szCs w:val="20"/>
                <w:lang w:val="en-GB" w:eastAsia="en-GB" w:bidi="ar-SA"/>
              </w:rPr>
              <w:t>Cash plus</w:t>
            </w:r>
          </w:p>
        </w:tc>
        <w:tc>
          <w:tcPr>
            <w:tcW w:w="1703" w:type="dxa"/>
            <w:tcBorders>
              <w:top w:val="nil"/>
              <w:left w:val="nil"/>
              <w:bottom w:val="nil"/>
              <w:right w:val="nil"/>
            </w:tcBorders>
            <w:shd w:val="clear" w:color="000000" w:fill="FFFFFF"/>
            <w:vAlign w:val="center"/>
            <w:hideMark/>
          </w:tcPr>
          <w:p w14:paraId="6F94B09D" w14:textId="77777777" w:rsidR="003A4196" w:rsidRPr="003A4196" w:rsidRDefault="003A4196" w:rsidP="003A4196">
            <w:pPr>
              <w:jc w:val="center"/>
              <w:rPr>
                <w:rFonts w:eastAsia="Times New Roman" w:cs="Segoe UI"/>
                <w:color w:val="000000"/>
                <w:szCs w:val="20"/>
                <w:lang w:val="en-GB" w:eastAsia="en-GB" w:bidi="ar-SA"/>
              </w:rPr>
            </w:pPr>
            <w:r w:rsidRPr="003A4196">
              <w:rPr>
                <w:rFonts w:eastAsia="Times New Roman" w:cs="Segoe UI"/>
                <w:color w:val="000000"/>
                <w:szCs w:val="20"/>
                <w:lang w:val="en-GB" w:eastAsia="en-GB" w:bidi="ar-SA"/>
              </w:rPr>
              <w:t>7.0%</w:t>
            </w:r>
          </w:p>
        </w:tc>
        <w:tc>
          <w:tcPr>
            <w:tcW w:w="222" w:type="dxa"/>
            <w:vAlign w:val="center"/>
            <w:hideMark/>
          </w:tcPr>
          <w:p w14:paraId="36487271" w14:textId="77777777" w:rsidR="003A4196" w:rsidRPr="003A4196" w:rsidRDefault="003A4196" w:rsidP="003A4196">
            <w:pPr>
              <w:rPr>
                <w:rFonts w:ascii="Times New Roman" w:eastAsia="Times New Roman" w:hAnsi="Times New Roman"/>
                <w:szCs w:val="20"/>
                <w:lang w:val="en-GB" w:eastAsia="en-GB" w:bidi="ar-SA"/>
              </w:rPr>
            </w:pPr>
          </w:p>
        </w:tc>
      </w:tr>
    </w:tbl>
    <w:p w14:paraId="30773501" w14:textId="77777777" w:rsidR="003A4196" w:rsidRDefault="003A4196" w:rsidP="00950670">
      <w:pPr>
        <w:pStyle w:val="BodyText"/>
      </w:pPr>
    </w:p>
    <w:p w14:paraId="32994E2C" w14:textId="034FA0BE" w:rsidR="007E20C1" w:rsidRDefault="00224EAE" w:rsidP="00224EAE">
      <w:pPr>
        <w:pStyle w:val="BodyText"/>
        <w:rPr>
          <w:highlight w:val="yellow"/>
        </w:rPr>
      </w:pPr>
      <w:r w:rsidRPr="00224EAE">
        <w:t>The Fund’s SAA was last reviewed in 2024. An update is currently being undertaken and will be reported to the Pensions Committee on 18 March.</w:t>
      </w:r>
      <w:r w:rsidDel="00224EAE">
        <w:rPr>
          <w:highlight w:val="yellow"/>
        </w:rPr>
        <w:t xml:space="preserve"> </w:t>
      </w:r>
    </w:p>
    <w:p w14:paraId="255411F2" w14:textId="77777777" w:rsidR="00B53BF6" w:rsidRPr="0026592A" w:rsidRDefault="00B53BF6" w:rsidP="00F746BB">
      <w:pPr>
        <w:pStyle w:val="Heading2"/>
      </w:pPr>
      <w:bookmarkStart w:id="14" w:name="_Toc222823312"/>
      <w:r w:rsidRPr="0026592A">
        <w:t>How employer contributions are calculated</w:t>
      </w:r>
      <w:bookmarkEnd w:id="14"/>
    </w:p>
    <w:p w14:paraId="25413793" w14:textId="4BEA0C1D" w:rsidR="00B53BF6" w:rsidRPr="00351977" w:rsidRDefault="00671AB7" w:rsidP="00B53BF6">
      <w:pPr>
        <w:pStyle w:val="BodyText"/>
      </w:pPr>
      <w:r w:rsidRPr="0026592A">
        <w:t>The total contribution rates an employer must pay is the primary contribution rate plus the secondary contribution rate</w:t>
      </w:r>
      <w:r w:rsidR="00360342" w:rsidRPr="0026592A">
        <w:t xml:space="preserve">. The primary and secondary contribution rates are discussed in the sections below. The </w:t>
      </w:r>
      <w:r w:rsidR="00104BC9" w:rsidRPr="0026592A">
        <w:t xml:space="preserve">table in section </w:t>
      </w:r>
      <w:r w:rsidR="0063464F">
        <w:fldChar w:fldCharType="begin"/>
      </w:r>
      <w:r w:rsidR="0063464F">
        <w:instrText xml:space="preserve"> REF _Ref204545464 \h </w:instrText>
      </w:r>
      <w:r w:rsidR="0063464F">
        <w:fldChar w:fldCharType="separate"/>
      </w:r>
      <w:r w:rsidR="0063464F">
        <w:t>Funding target</w:t>
      </w:r>
      <w:r w:rsidR="0063464F">
        <w:fldChar w:fldCharType="end"/>
      </w:r>
      <w:r w:rsidR="0063464F">
        <w:t xml:space="preserve"> </w:t>
      </w:r>
      <w:r w:rsidR="00AF1173" w:rsidRPr="0026592A">
        <w:t xml:space="preserve">above summarises </w:t>
      </w:r>
      <w:r w:rsidR="00F01D6E">
        <w:t xml:space="preserve">how the </w:t>
      </w:r>
      <w:r w:rsidR="000B4D9A" w:rsidRPr="00351977">
        <w:t xml:space="preserve">primary and secondary contribution rates </w:t>
      </w:r>
      <w:r w:rsidR="00F01D6E">
        <w:t xml:space="preserve">are set </w:t>
      </w:r>
      <w:r w:rsidR="000B4D9A" w:rsidRPr="00351977">
        <w:t>including the bases used under different circumstances of the valuation or joining or leaving the fund</w:t>
      </w:r>
      <w:r w:rsidR="005923FC" w:rsidRPr="00351977">
        <w:t>.</w:t>
      </w:r>
    </w:p>
    <w:p w14:paraId="6F9D4575" w14:textId="573D8C5B" w:rsidR="00B53BF6" w:rsidRPr="00351977" w:rsidRDefault="00D526CA" w:rsidP="00B53BF6">
      <w:pPr>
        <w:pStyle w:val="BodyText"/>
      </w:pPr>
      <w:r w:rsidRPr="00351977">
        <w:lastRenderedPageBreak/>
        <w:t xml:space="preserve">The contribution rates that an employer must pay as calculated as part of the actuarial valuations will be </w:t>
      </w:r>
      <w:r w:rsidRPr="001B792E">
        <w:t xml:space="preserve">communicated to the employers in the </w:t>
      </w:r>
      <w:r w:rsidR="003A4196" w:rsidRPr="001B792E">
        <w:t>January of the</w:t>
      </w:r>
      <w:r w:rsidRPr="001B792E">
        <w:t xml:space="preserve"> valuation year</w:t>
      </w:r>
      <w:r w:rsidR="00363D72" w:rsidRPr="007B29F4">
        <w:t xml:space="preserve"> through </w:t>
      </w:r>
      <w:r w:rsidR="00604DF6" w:rsidRPr="007B29F4">
        <w:t>an initial results report written by the Fund Actuary.</w:t>
      </w:r>
    </w:p>
    <w:p w14:paraId="1795EDCB" w14:textId="7DB70BC1" w:rsidR="00D526CA" w:rsidRDefault="00D526CA">
      <w:pPr>
        <w:pStyle w:val="BodyText"/>
      </w:pPr>
      <w:r w:rsidRPr="00351977">
        <w:t xml:space="preserve">The contribution rates that an employer must pay when they join the </w:t>
      </w:r>
      <w:r w:rsidR="00E37CA1" w:rsidRPr="00351977">
        <w:t>F</w:t>
      </w:r>
      <w:r w:rsidRPr="00351977">
        <w:t>und will be calculated</w:t>
      </w:r>
      <w:r w:rsidR="2479D861">
        <w:t xml:space="preserve"> by the Fund Actuary</w:t>
      </w:r>
      <w:r w:rsidRPr="0026592A">
        <w:t xml:space="preserve"> and </w:t>
      </w:r>
      <w:r w:rsidR="00363D72" w:rsidRPr="0026592A">
        <w:t xml:space="preserve">communicated </w:t>
      </w:r>
      <w:r w:rsidR="0686D79E">
        <w:t>via</w:t>
      </w:r>
      <w:r w:rsidR="00363D72" w:rsidRPr="0026592A">
        <w:t xml:space="preserve"> the Fund </w:t>
      </w:r>
      <w:r w:rsidR="41C26F7B">
        <w:t>up</w:t>
      </w:r>
      <w:r w:rsidR="00363D72" w:rsidRPr="0026592A">
        <w:t>on joining</w:t>
      </w:r>
      <w:r w:rsidR="00E37CA1" w:rsidRPr="0026592A">
        <w:t>.</w:t>
      </w:r>
    </w:p>
    <w:p w14:paraId="71D9D2A3" w14:textId="77777777" w:rsidR="00B314B3" w:rsidRDefault="00B314B3" w:rsidP="0026592A">
      <w:pPr>
        <w:pStyle w:val="Heading3"/>
      </w:pPr>
      <w:r>
        <w:t>Frequency of employers’ contributions</w:t>
      </w:r>
    </w:p>
    <w:p w14:paraId="4C729FAA" w14:textId="77777777" w:rsidR="00B314B3" w:rsidRDefault="00B314B3" w:rsidP="00B314B3">
      <w:pPr>
        <w:spacing w:after="200"/>
        <w:rPr>
          <w:rFonts w:eastAsia="Segoe UI" w:cs="Segoe UI"/>
          <w:szCs w:val="20"/>
          <w:lang w:val="en-GB"/>
        </w:rPr>
      </w:pPr>
      <w:r>
        <w:rPr>
          <w:rFonts w:eastAsia="Segoe UI" w:cs="Segoe UI"/>
          <w:szCs w:val="20"/>
          <w:lang w:val="en-GB"/>
        </w:rPr>
        <w:t>C</w:t>
      </w:r>
      <w:r w:rsidRPr="00211BFF">
        <w:rPr>
          <w:rFonts w:eastAsia="Segoe UI" w:cs="Segoe UI"/>
          <w:szCs w:val="20"/>
          <w:lang w:val="en-GB"/>
        </w:rPr>
        <w:t xml:space="preserve">ontributions </w:t>
      </w:r>
      <w:r>
        <w:rPr>
          <w:rFonts w:eastAsia="Segoe UI" w:cs="Segoe UI"/>
          <w:szCs w:val="20"/>
          <w:lang w:val="en-GB"/>
        </w:rPr>
        <w:t>must be paid monthly unless we agree to a special arrangement following discussion with the Fund Actuary. Where contributions are based on a percentage of pay, t</w:t>
      </w:r>
      <w:r w:rsidRPr="00211BFF">
        <w:rPr>
          <w:rFonts w:eastAsia="Segoe UI" w:cs="Segoe UI"/>
          <w:szCs w:val="20"/>
          <w:lang w:val="en-GB"/>
        </w:rPr>
        <w:t xml:space="preserve">he amounts paid by employers </w:t>
      </w:r>
      <w:r>
        <w:rPr>
          <w:rFonts w:eastAsia="Segoe UI" w:cs="Segoe UI"/>
          <w:szCs w:val="20"/>
          <w:lang w:val="en-GB"/>
        </w:rPr>
        <w:t xml:space="preserve">will </w:t>
      </w:r>
      <w:r w:rsidRPr="00211BFF">
        <w:rPr>
          <w:rFonts w:eastAsia="Segoe UI" w:cs="Segoe UI"/>
          <w:szCs w:val="20"/>
          <w:lang w:val="en-GB"/>
        </w:rPr>
        <w:t>fluctuat</w:t>
      </w:r>
      <w:r>
        <w:rPr>
          <w:rFonts w:eastAsia="Segoe UI" w:cs="Segoe UI"/>
          <w:szCs w:val="20"/>
          <w:lang w:val="en-GB"/>
        </w:rPr>
        <w:t>e</w:t>
      </w:r>
      <w:r w:rsidRPr="00211BFF">
        <w:rPr>
          <w:rFonts w:eastAsia="Segoe UI" w:cs="Segoe UI"/>
          <w:szCs w:val="20"/>
          <w:lang w:val="en-GB"/>
        </w:rPr>
        <w:t xml:space="preserve"> in line with payroll each month.</w:t>
      </w:r>
      <w:r>
        <w:rPr>
          <w:rFonts w:eastAsia="Segoe UI" w:cs="Segoe UI"/>
          <w:szCs w:val="20"/>
          <w:lang w:val="en-GB"/>
        </w:rPr>
        <w:t xml:space="preserve"> </w:t>
      </w:r>
    </w:p>
    <w:p w14:paraId="412E434D" w14:textId="2032F011" w:rsidR="00B12FAF" w:rsidRPr="00B12FAF" w:rsidRDefault="00B314B3" w:rsidP="00B12FAF">
      <w:pPr>
        <w:pStyle w:val="BodyText"/>
      </w:pPr>
      <w:r w:rsidRPr="3CA178B6">
        <w:rPr>
          <w:rFonts w:eastAsia="Segoe UI" w:cs="Segoe UI"/>
        </w:rPr>
        <w:t>For all employers, the primary and secondary contributions they are required to pay along with the frequency of payment will be certified by the Fund Actuary</w:t>
      </w:r>
      <w:r w:rsidR="0026592A">
        <w:rPr>
          <w:rFonts w:eastAsia="Segoe UI" w:cs="Segoe UI"/>
        </w:rPr>
        <w:t xml:space="preserve"> in the Rates and Adjustment Certificate</w:t>
      </w:r>
      <w:r w:rsidRPr="3CA178B6">
        <w:rPr>
          <w:rFonts w:eastAsia="Segoe UI" w:cs="Segoe UI"/>
        </w:rPr>
        <w:t>.</w:t>
      </w:r>
      <w:r w:rsidR="0026592A">
        <w:rPr>
          <w:rFonts w:eastAsia="Segoe UI" w:cs="Segoe UI"/>
        </w:rPr>
        <w:t xml:space="preserve"> The latest certificate can be </w:t>
      </w:r>
      <w:r w:rsidR="0026592A" w:rsidRPr="00361159">
        <w:rPr>
          <w:rFonts w:eastAsia="Segoe UI" w:cs="Segoe UI"/>
        </w:rPr>
        <w:t>found</w:t>
      </w:r>
      <w:r w:rsidR="00B12FAF" w:rsidRPr="00361159">
        <w:t xml:space="preserve"> </w:t>
      </w:r>
      <w:hyperlink r:id="rId20" w:history="1">
        <w:r w:rsidR="00B12FAF" w:rsidRPr="00361159">
          <w:rPr>
            <w:rStyle w:val="Hyperlink"/>
          </w:rPr>
          <w:t>here.</w:t>
        </w:r>
      </w:hyperlink>
    </w:p>
    <w:p w14:paraId="6FFA2F49" w14:textId="77777777" w:rsidR="00B314B3" w:rsidRPr="00B314B3" w:rsidRDefault="00B314B3" w:rsidP="00B314B3">
      <w:pPr>
        <w:pStyle w:val="Heading3"/>
      </w:pPr>
      <w:r w:rsidRPr="00B314B3">
        <w:t>Prepayment policy</w:t>
      </w:r>
    </w:p>
    <w:p w14:paraId="5BA1DA51" w14:textId="3D71F7BC" w:rsidR="00121FAD" w:rsidRPr="00121FAD" w:rsidRDefault="003A4196" w:rsidP="00121FAD">
      <w:pPr>
        <w:pStyle w:val="BodyText"/>
      </w:pPr>
      <w:r w:rsidRPr="003A4196">
        <w:t>No discount will be offered in exchange for early payment of either primary or secondary contributions</w:t>
      </w:r>
      <w:r w:rsidRPr="003A4196" w:rsidDel="003A4196">
        <w:rPr>
          <w:highlight w:val="yellow"/>
        </w:rPr>
        <w:t xml:space="preserve"> </w:t>
      </w:r>
    </w:p>
    <w:p w14:paraId="36793BB0" w14:textId="5F370B53" w:rsidR="00B53BF6" w:rsidRDefault="00B53BF6" w:rsidP="00B53BF6">
      <w:pPr>
        <w:pStyle w:val="Heading2"/>
        <w:rPr>
          <w:rFonts w:eastAsia="Segoe UI" w:cs="Segoe UI"/>
        </w:rPr>
      </w:pPr>
      <w:bookmarkStart w:id="15" w:name="_Ref204168060"/>
      <w:bookmarkStart w:id="16" w:name="_Ref204267254"/>
      <w:bookmarkStart w:id="17" w:name="_Toc222823313"/>
      <w:r>
        <w:t>Primary rate of employers</w:t>
      </w:r>
      <w:r w:rsidR="00FE039B">
        <w:t>’</w:t>
      </w:r>
      <w:r>
        <w:t xml:space="preserve"> contribution</w:t>
      </w:r>
      <w:bookmarkEnd w:id="15"/>
      <w:bookmarkEnd w:id="16"/>
      <w:bookmarkEnd w:id="17"/>
    </w:p>
    <w:p w14:paraId="63F38DA7" w14:textId="77777777" w:rsidR="00B53BF6" w:rsidRDefault="00B53BF6" w:rsidP="00AA330A">
      <w:pPr>
        <w:pStyle w:val="BodyText"/>
      </w:pPr>
      <w:r>
        <w:t>The funding level considers past service, but the Fund Actuary must also calculate the cost of benefits which will be earned in the future by active members.</w:t>
      </w:r>
    </w:p>
    <w:p w14:paraId="13A63FB4" w14:textId="77777777" w:rsidR="00B53BF6" w:rsidRDefault="00B53BF6" w:rsidP="00AA330A">
      <w:pPr>
        <w:pStyle w:val="BodyText"/>
      </w:pPr>
      <w:r>
        <w:t>The primary rate of an employer’s contribution, as defined in Regulation 62(5), is the level of contributions required, expressed as a percentage of the pay of active members, which, together with employee contributions, is expected to cover the cost of benefits accruing in future.</w:t>
      </w:r>
    </w:p>
    <w:p w14:paraId="6BE69615" w14:textId="0A19CCBF" w:rsidR="00B53BF6" w:rsidRDefault="00B53BF6" w:rsidP="00B53BF6">
      <w:pPr>
        <w:spacing w:after="200"/>
        <w:rPr>
          <w:rFonts w:eastAsia="Segoe UI" w:cs="Segoe UI"/>
          <w:lang w:val="en-GB"/>
        </w:rPr>
      </w:pPr>
      <w:r w:rsidRPr="73138C69">
        <w:rPr>
          <w:rFonts w:eastAsia="Segoe UI" w:cs="Segoe UI"/>
          <w:lang w:val="en-GB"/>
        </w:rPr>
        <w:t xml:space="preserve">The calculation of the primary rate ignores any past service surplus or deficit but allows for any employer-specific circumstances such as whether an employer is open or closed and includes the employer’s share of administration </w:t>
      </w:r>
      <w:r w:rsidRPr="007B29F4">
        <w:rPr>
          <w:rFonts w:eastAsia="Segoe UI" w:cs="Segoe UI"/>
          <w:lang w:val="en-GB"/>
        </w:rPr>
        <w:t>costs</w:t>
      </w:r>
      <w:r w:rsidR="00E51013" w:rsidRPr="001B792E">
        <w:rPr>
          <w:rFonts w:eastAsia="Segoe UI" w:cs="Segoe UI"/>
          <w:lang w:val="en-GB"/>
        </w:rPr>
        <w:t>.</w:t>
      </w:r>
    </w:p>
    <w:p w14:paraId="08189E97" w14:textId="77777777" w:rsidR="00B53BF6" w:rsidRPr="009A6859" w:rsidRDefault="00B53BF6" w:rsidP="00B53BF6">
      <w:pPr>
        <w:spacing w:after="200"/>
        <w:rPr>
          <w:rFonts w:eastAsia="Segoe UI" w:cs="Segoe UI"/>
          <w:lang w:val="en-GB"/>
        </w:rPr>
      </w:pPr>
      <w:r w:rsidRPr="73138C69">
        <w:rPr>
          <w:rFonts w:eastAsia="Segoe UI" w:cs="Segoe UI"/>
          <w:lang w:val="en-GB"/>
        </w:rPr>
        <w:t xml:space="preserve">The primary rate for the whole fund is the weighted average (by payroll) of the individual employers’ primary rates. </w:t>
      </w:r>
    </w:p>
    <w:p w14:paraId="3388BD2E" w14:textId="4F8D9E11" w:rsidR="00B53BF6" w:rsidRPr="009A6859" w:rsidRDefault="00B53BF6" w:rsidP="00B53BF6">
      <w:pPr>
        <w:spacing w:after="200"/>
      </w:pPr>
      <w:r w:rsidRPr="73138C69">
        <w:rPr>
          <w:rFonts w:eastAsia="Segoe UI" w:cs="Segoe UI"/>
          <w:lang w:val="en-GB"/>
        </w:rPr>
        <w:t>Our approach to setting the primary rate depends on specific employer circumstances</w:t>
      </w:r>
      <w:r w:rsidRPr="73138C69">
        <w:rPr>
          <w:rStyle w:val="BodyTextChar"/>
        </w:rPr>
        <w:t xml:space="preserve">, including the strength of the employer covenant and guarantor arrangements which determine the employer categorisation (as set out in the </w:t>
      </w:r>
      <w:r w:rsidR="00AA330A">
        <w:rPr>
          <w:rStyle w:val="BodyTextChar"/>
        </w:rPr>
        <w:fldChar w:fldCharType="begin"/>
      </w:r>
      <w:r w:rsidR="00AA330A">
        <w:rPr>
          <w:rStyle w:val="BodyTextChar"/>
        </w:rPr>
        <w:instrText xml:space="preserve"> REF _Ref204544412 \h </w:instrText>
      </w:r>
      <w:r w:rsidR="00AA330A">
        <w:rPr>
          <w:rStyle w:val="BodyTextChar"/>
        </w:rPr>
      </w:r>
      <w:r w:rsidR="00AA330A">
        <w:rPr>
          <w:rStyle w:val="BodyTextChar"/>
        </w:rPr>
        <w:fldChar w:fldCharType="separate"/>
      </w:r>
      <w:r w:rsidR="00AA330A">
        <w:t>Funding target</w:t>
      </w:r>
      <w:r w:rsidR="00AA330A">
        <w:rPr>
          <w:rStyle w:val="BodyTextChar"/>
        </w:rPr>
        <w:fldChar w:fldCharType="end"/>
      </w:r>
      <w:r w:rsidR="00DA6FC6">
        <w:rPr>
          <w:rStyle w:val="BodyTextChar"/>
        </w:rPr>
        <w:t xml:space="preserve"> </w:t>
      </w:r>
      <w:r w:rsidRPr="73138C69">
        <w:rPr>
          <w:rStyle w:val="BodyTextChar"/>
        </w:rPr>
        <w:t>section above</w:t>
      </w:r>
      <w:r w:rsidRPr="00AA330A">
        <w:rPr>
          <w:rStyle w:val="BodyTextChar"/>
        </w:rPr>
        <w:t>).</w:t>
      </w:r>
      <w:r w:rsidRPr="00AA330A">
        <w:rPr>
          <w:rFonts w:eastAsia="Segoe UI" w:cs="Segoe UI"/>
          <w:color w:val="008080"/>
          <w:lang w:val="en-GB"/>
        </w:rPr>
        <w:t xml:space="preserve"> </w:t>
      </w:r>
      <w:r w:rsidR="00037919">
        <w:rPr>
          <w:rFonts w:eastAsia="Segoe UI" w:cs="Segoe UI"/>
          <w:lang w:val="en-GB"/>
        </w:rPr>
        <w:t>If an employer has any risk</w:t>
      </w:r>
      <w:r w:rsidR="0058249A">
        <w:rPr>
          <w:rFonts w:eastAsia="Segoe UI" w:cs="Segoe UI"/>
          <w:lang w:val="en-GB"/>
        </w:rPr>
        <w:t xml:space="preserve"> </w:t>
      </w:r>
      <w:r w:rsidR="00037919">
        <w:rPr>
          <w:rFonts w:eastAsia="Segoe UI" w:cs="Segoe UI"/>
          <w:lang w:val="en-GB"/>
        </w:rPr>
        <w:t>sharing arrangements then the primary rate will depend on the arrangement in place, and if the employer is part of a pooling arrangement, then the primary rate may be set to be the same as other employers in the pool.</w:t>
      </w:r>
      <w:r>
        <w:rPr>
          <w:rFonts w:eastAsia="Segoe UI" w:cs="Segoe UI"/>
          <w:lang w:val="en-GB"/>
        </w:rPr>
        <w:t xml:space="preserve"> </w:t>
      </w:r>
      <w:r w:rsidRPr="73138C69">
        <w:rPr>
          <w:rStyle w:val="BodyTextChar"/>
        </w:rPr>
        <w:t>It may also depend</w:t>
      </w:r>
      <w:r w:rsidRPr="73138C69">
        <w:rPr>
          <w:rFonts w:eastAsia="Segoe UI" w:cs="Segoe UI"/>
          <w:lang w:val="en-GB"/>
        </w:rPr>
        <w:t xml:space="preserve"> on whether an employer is an “open” employer – one which allows new employees access to the Fund, or a “closed” employer – one which no longer permits new employees access to the Fund. </w:t>
      </w:r>
    </w:p>
    <w:p w14:paraId="1FCE5BA3" w14:textId="573A3C2C" w:rsidR="00B53BF6" w:rsidRPr="009A6859" w:rsidRDefault="00B53BF6" w:rsidP="00B53BF6">
      <w:pPr>
        <w:spacing w:after="200"/>
      </w:pPr>
      <w:r w:rsidRPr="62DD8BBA">
        <w:rPr>
          <w:rFonts w:eastAsia="Segoe UI" w:cs="Segoe UI"/>
          <w:szCs w:val="20"/>
          <w:lang w:val="en-GB"/>
        </w:rPr>
        <w:t xml:space="preserve">For open employers, </w:t>
      </w:r>
      <w:r w:rsidR="0085261B">
        <w:rPr>
          <w:rFonts w:eastAsia="Segoe UI" w:cs="Segoe UI"/>
          <w:szCs w:val="20"/>
          <w:lang w:val="en-GB"/>
        </w:rPr>
        <w:t xml:space="preserve">in general, </w:t>
      </w:r>
      <w:r w:rsidRPr="62DD8BBA">
        <w:rPr>
          <w:rFonts w:eastAsia="Segoe UI" w:cs="Segoe UI"/>
          <w:szCs w:val="20"/>
          <w:lang w:val="en-GB"/>
        </w:rPr>
        <w:t>the actuarial funding method that is adopted is known as the Projected Unit Method. The key feature of this method is that, in assessing the future service cost, the primary rate represents the cost of one year’s benefit accrual only.</w:t>
      </w:r>
    </w:p>
    <w:p w14:paraId="4A9E5275" w14:textId="58722D4B" w:rsidR="00B53BF6" w:rsidRPr="009A6859" w:rsidRDefault="00B53BF6" w:rsidP="00B53BF6">
      <w:pPr>
        <w:spacing w:after="200"/>
      </w:pPr>
      <w:r w:rsidRPr="62DD8BBA">
        <w:rPr>
          <w:rFonts w:eastAsia="Segoe UI" w:cs="Segoe UI"/>
          <w:szCs w:val="20"/>
          <w:lang w:val="en-GB"/>
        </w:rPr>
        <w:t xml:space="preserve">For closed employers, </w:t>
      </w:r>
      <w:r w:rsidR="00EB5782">
        <w:rPr>
          <w:rFonts w:eastAsia="Segoe UI" w:cs="Segoe UI"/>
          <w:szCs w:val="20"/>
          <w:lang w:val="en-GB"/>
        </w:rPr>
        <w:t>in general,</w:t>
      </w:r>
      <w:r w:rsidRPr="62DD8BBA">
        <w:rPr>
          <w:rFonts w:eastAsia="Segoe UI" w:cs="Segoe UI"/>
          <w:szCs w:val="20"/>
          <w:lang w:val="en-GB"/>
        </w:rPr>
        <w:t xml:space="preserve"> the actuarial funding method adopted is known as the Attained Age Method. The key difference between this method and the Projected Unit Method is that the Attained Age Method </w:t>
      </w:r>
      <w:r w:rsidRPr="62DD8BBA">
        <w:rPr>
          <w:rFonts w:eastAsia="Segoe UI" w:cs="Segoe UI"/>
          <w:szCs w:val="20"/>
          <w:lang w:val="en-GB"/>
        </w:rPr>
        <w:lastRenderedPageBreak/>
        <w:t>assesses the average cost of the benefits that will accrue over a specific period, such as the length of a contract or the remaining expected working lifetime of active members.</w:t>
      </w:r>
    </w:p>
    <w:p w14:paraId="36CE2EF7" w14:textId="20D63892" w:rsidR="00B53BF6" w:rsidRDefault="00B53BF6" w:rsidP="00B53BF6">
      <w:pPr>
        <w:spacing w:after="200"/>
        <w:rPr>
          <w:rFonts w:eastAsia="Segoe UI" w:cs="Segoe UI"/>
          <w:lang w:val="en-GB"/>
        </w:rPr>
      </w:pPr>
      <w:r>
        <w:rPr>
          <w:rFonts w:eastAsia="Segoe UI" w:cs="Segoe UI"/>
          <w:lang w:val="en-GB"/>
        </w:rPr>
        <w:t xml:space="preserve">Our </w:t>
      </w:r>
      <w:r w:rsidRPr="00B12FAF">
        <w:rPr>
          <w:rFonts w:eastAsia="Segoe UI" w:cs="Segoe UI"/>
          <w:lang w:val="en-GB"/>
        </w:rPr>
        <w:t>Admission Agreements requires</w:t>
      </w:r>
      <w:r>
        <w:rPr>
          <w:rFonts w:eastAsia="Segoe UI" w:cs="Segoe UI"/>
          <w:lang w:val="en-GB"/>
        </w:rPr>
        <w:t xml:space="preserve"> employers to tell us if they have stopped admitting new employees to the Fund so we can monitor </w:t>
      </w:r>
      <w:r w:rsidRPr="37E70662">
        <w:rPr>
          <w:rFonts w:eastAsia="Segoe UI" w:cs="Segoe UI"/>
          <w:lang w:val="en-GB"/>
        </w:rPr>
        <w:t>the open or closed status of each employer.</w:t>
      </w:r>
    </w:p>
    <w:p w14:paraId="1EEC991E" w14:textId="77777777" w:rsidR="00B53BF6" w:rsidRDefault="00B53BF6" w:rsidP="00B53BF6">
      <w:pPr>
        <w:pStyle w:val="Heading2"/>
      </w:pPr>
      <w:bookmarkStart w:id="18" w:name="_Toc222823314"/>
      <w:r>
        <w:t>Secondary rate of the employers’ contribution</w:t>
      </w:r>
      <w:bookmarkEnd w:id="18"/>
    </w:p>
    <w:p w14:paraId="75BAD023" w14:textId="2791ACF5" w:rsidR="00B53BF6" w:rsidRDefault="00B53BF6" w:rsidP="00B53BF6">
      <w:pPr>
        <w:rPr>
          <w:rFonts w:eastAsia="Segoe UI" w:cs="Segoe UI"/>
          <w:szCs w:val="20"/>
          <w:lang w:val="en-GB"/>
        </w:rPr>
      </w:pPr>
      <w:r w:rsidRPr="62DD8BBA">
        <w:rPr>
          <w:rFonts w:eastAsia="Segoe UI" w:cs="Segoe UI"/>
          <w:szCs w:val="20"/>
          <w:lang w:val="en-GB"/>
        </w:rPr>
        <w:t xml:space="preserve">Whilst one of </w:t>
      </w:r>
      <w:r>
        <w:rPr>
          <w:rFonts w:eastAsia="Segoe UI" w:cs="Segoe UI"/>
          <w:szCs w:val="20"/>
          <w:lang w:val="en-GB"/>
        </w:rPr>
        <w:t>our</w:t>
      </w:r>
      <w:r w:rsidRPr="62DD8BBA">
        <w:rPr>
          <w:rFonts w:eastAsia="Segoe UI" w:cs="Segoe UI"/>
          <w:szCs w:val="20"/>
          <w:lang w:val="en-GB"/>
        </w:rPr>
        <w:t xml:space="preserve"> funding objectives is to build up sufficient assets to meet the cost of benefits as they accrue, </w:t>
      </w:r>
      <w:r>
        <w:rPr>
          <w:rFonts w:eastAsia="Segoe UI" w:cs="Segoe UI"/>
          <w:szCs w:val="20"/>
          <w:lang w:val="en-GB"/>
        </w:rPr>
        <w:t xml:space="preserve">we know </w:t>
      </w:r>
      <w:r w:rsidRPr="62DD8BBA">
        <w:rPr>
          <w:rFonts w:eastAsia="Segoe UI" w:cs="Segoe UI"/>
          <w:szCs w:val="20"/>
          <w:lang w:val="en-GB"/>
        </w:rPr>
        <w:t xml:space="preserve">that at any particular point in time, the value of the assets </w:t>
      </w:r>
      <w:r>
        <w:rPr>
          <w:rFonts w:eastAsia="Segoe UI" w:cs="Segoe UI"/>
          <w:szCs w:val="20"/>
          <w:lang w:val="en-GB"/>
        </w:rPr>
        <w:t xml:space="preserve">is unlikely to </w:t>
      </w:r>
      <w:r w:rsidRPr="62DD8BBA">
        <w:rPr>
          <w:rFonts w:eastAsia="Segoe UI" w:cs="Segoe UI"/>
          <w:szCs w:val="20"/>
          <w:lang w:val="en-GB"/>
        </w:rPr>
        <w:t xml:space="preserve">be </w:t>
      </w:r>
      <w:r>
        <w:rPr>
          <w:rFonts w:eastAsia="Segoe UI" w:cs="Segoe UI"/>
          <w:szCs w:val="20"/>
          <w:lang w:val="en-GB"/>
        </w:rPr>
        <w:t xml:space="preserve">equal </w:t>
      </w:r>
      <w:r w:rsidRPr="62DD8BBA">
        <w:rPr>
          <w:rFonts w:eastAsia="Segoe UI" w:cs="Segoe UI"/>
          <w:szCs w:val="20"/>
          <w:lang w:val="en-GB"/>
        </w:rPr>
        <w:t xml:space="preserve">to the value of accrued liabilities, depending on how the actual experience of the Fund </w:t>
      </w:r>
      <w:r>
        <w:rPr>
          <w:rFonts w:eastAsia="Segoe UI" w:cs="Segoe UI"/>
          <w:szCs w:val="20"/>
          <w:lang w:val="en-GB"/>
        </w:rPr>
        <w:t>compares</w:t>
      </w:r>
      <w:r w:rsidRPr="62DD8BBA">
        <w:rPr>
          <w:rFonts w:eastAsia="Segoe UI" w:cs="Segoe UI"/>
          <w:szCs w:val="20"/>
          <w:lang w:val="en-GB"/>
        </w:rPr>
        <w:t xml:space="preserve"> to the actuarial assumptions. </w:t>
      </w:r>
      <w:r>
        <w:rPr>
          <w:rFonts w:eastAsia="Segoe UI" w:cs="Segoe UI"/>
          <w:szCs w:val="20"/>
          <w:lang w:val="en-GB"/>
        </w:rPr>
        <w:t xml:space="preserve">This means there will be a past service surplus or deficit which can lead to an adjustment to employers’ contributions. </w:t>
      </w:r>
      <w:r>
        <w:rPr>
          <w:rFonts w:eastAsia="Segoe UI" w:cs="Segoe UI"/>
          <w:szCs w:val="20"/>
        </w:rPr>
        <w:t xml:space="preserve">This contribution adjustment </w:t>
      </w:r>
      <w:r w:rsidRPr="62DD8BBA">
        <w:rPr>
          <w:rFonts w:eastAsia="Segoe UI" w:cs="Segoe UI"/>
          <w:szCs w:val="20"/>
        </w:rPr>
        <w:t xml:space="preserve">is referred to as the </w:t>
      </w:r>
      <w:r w:rsidRPr="00566286">
        <w:rPr>
          <w:rFonts w:eastAsia="Segoe UI" w:cs="Segoe UI"/>
          <w:szCs w:val="20"/>
        </w:rPr>
        <w:t>secondary rate</w:t>
      </w:r>
      <w:r w:rsidRPr="62DD8BBA">
        <w:rPr>
          <w:rFonts w:eastAsia="Segoe UI" w:cs="Segoe UI"/>
          <w:szCs w:val="20"/>
        </w:rPr>
        <w:t>, as defined in Regulation 62(7)</w:t>
      </w:r>
      <w:r w:rsidR="0020790B">
        <w:rPr>
          <w:rFonts w:eastAsia="Segoe UI" w:cs="Segoe UI"/>
          <w:szCs w:val="20"/>
        </w:rPr>
        <w:t xml:space="preserve">. </w:t>
      </w:r>
    </w:p>
    <w:p w14:paraId="1ACFD06B" w14:textId="77777777" w:rsidR="00B53BF6" w:rsidRPr="00F2122E" w:rsidRDefault="00B53BF6" w:rsidP="00B53BF6">
      <w:pPr>
        <w:pStyle w:val="BodyText"/>
      </w:pPr>
      <w:r w:rsidRPr="00F2122E">
        <w:t>The secondary rate is a positive or negative adjustment to the primary rate to arrive at the total contribution rate each employer is required to pay.</w:t>
      </w:r>
    </w:p>
    <w:p w14:paraId="317B5C88" w14:textId="45A8F1A5" w:rsidR="00B53BF6" w:rsidRDefault="00B53BF6" w:rsidP="00B53BF6">
      <w:pPr>
        <w:pStyle w:val="BodyText"/>
      </w:pPr>
      <w:r w:rsidRPr="00211BFF">
        <w:t>Secondary contributions can be certified as a percentage of payroll or as monetary amount</w:t>
      </w:r>
      <w:r>
        <w:t xml:space="preserve">s (which can be fixed or </w:t>
      </w:r>
      <w:r w:rsidR="0081101D">
        <w:t>nominal</w:t>
      </w:r>
      <w:r>
        <w:t xml:space="preserve"> amounts)</w:t>
      </w:r>
      <w:r w:rsidR="0020790B">
        <w:t xml:space="preserve">. </w:t>
      </w:r>
    </w:p>
    <w:p w14:paraId="70F6B18A" w14:textId="486C2FD5" w:rsidR="00133496" w:rsidRDefault="00133496" w:rsidP="00B53BF6">
      <w:pPr>
        <w:pStyle w:val="BodyText"/>
      </w:pPr>
      <w:r>
        <w:t>There is</w:t>
      </w:r>
      <w:r w:rsidR="151985B8">
        <w:t xml:space="preserve"> a potential</w:t>
      </w:r>
      <w:r>
        <w:t xml:space="preserve"> conflict o</w:t>
      </w:r>
      <w:r w:rsidR="627C5847">
        <w:t>f</w:t>
      </w:r>
      <w:r>
        <w:t xml:space="preserve"> interest whereby a single employer i.e. the </w:t>
      </w:r>
      <w:r w:rsidR="000D7F93">
        <w:t>Administering Authority</w:t>
      </w:r>
      <w:r w:rsidR="222CDE43">
        <w:t xml:space="preserve"> of the </w:t>
      </w:r>
      <w:r>
        <w:t>Fund</w:t>
      </w:r>
      <w:r w:rsidR="00D95D2B">
        <w:t>,</w:t>
      </w:r>
      <w:r>
        <w:t xml:space="preserve"> is leading the process of setting the adjustments</w:t>
      </w:r>
      <w:r w:rsidR="001D7A92">
        <w:t xml:space="preserve"> to the primary rate. The Fund manages this conflict of interest by </w:t>
      </w:r>
      <w:r w:rsidR="009A0D48">
        <w:t xml:space="preserve">consulting with all employers on </w:t>
      </w:r>
      <w:r w:rsidR="4253E3F3">
        <w:t xml:space="preserve">the contents of the FSS which sets out </w:t>
      </w:r>
      <w:r w:rsidR="00124D44">
        <w:t>how secondary contribution rates are set</w:t>
      </w:r>
      <w:r w:rsidR="35B3EE31">
        <w:t xml:space="preserve"> for all categories of employer</w:t>
      </w:r>
      <w:r w:rsidR="00124D44">
        <w:t>.</w:t>
      </w:r>
    </w:p>
    <w:p w14:paraId="6B121AC6" w14:textId="311251E1" w:rsidR="00B53BF6" w:rsidRPr="00BE03C5" w:rsidRDefault="00B314B3" w:rsidP="00B53BF6">
      <w:pPr>
        <w:pStyle w:val="Heading2"/>
        <w:rPr>
          <w:b/>
        </w:rPr>
      </w:pPr>
      <w:bookmarkStart w:id="19" w:name="_Ref204461766"/>
      <w:bookmarkStart w:id="20" w:name="_Toc222823315"/>
      <w:r>
        <w:t>Payment of a</w:t>
      </w:r>
      <w:r w:rsidR="00B53BF6">
        <w:t>dditional contributions</w:t>
      </w:r>
      <w:bookmarkEnd w:id="19"/>
      <w:bookmarkEnd w:id="20"/>
    </w:p>
    <w:p w14:paraId="309A05DB" w14:textId="77777777" w:rsidR="00B53BF6" w:rsidRDefault="00B53BF6" w:rsidP="00B53BF6">
      <w:pPr>
        <w:pStyle w:val="NoSpacing1"/>
      </w:pPr>
      <w:r w:rsidRPr="11B4A112">
        <w:rPr>
          <w:lang w:val="en-US"/>
        </w:rPr>
        <w:t>Employers will usually be expected to make additional contributions into the Fund under the following circumstances:</w:t>
      </w:r>
    </w:p>
    <w:p w14:paraId="1FDF7A01" w14:textId="4859B00B" w:rsidR="00B53BF6" w:rsidRDefault="00B53BF6" w:rsidP="00B53BF6">
      <w:pPr>
        <w:pStyle w:val="List"/>
      </w:pPr>
      <w:r>
        <w:t xml:space="preserve">Where an employee under Regulation 30(7) becomes entitled to an immediate unreduced pension as a result of redundancy or business efficiency, we </w:t>
      </w:r>
      <w:r w:rsidRPr="00275425">
        <w:t>will r</w:t>
      </w:r>
      <w:r>
        <w:t>equest the Employer make a strain payment to cover the anticipated cost of the additional pension entitlement;</w:t>
      </w:r>
    </w:p>
    <w:p w14:paraId="5B582ADD" w14:textId="33C37DEC" w:rsidR="00B53BF6" w:rsidRPr="00946566" w:rsidRDefault="00B53BF6" w:rsidP="00B53BF6">
      <w:pPr>
        <w:pStyle w:val="List"/>
      </w:pPr>
      <w:r w:rsidRPr="00946566">
        <w:t xml:space="preserve">Where an employee or former employee is permitted to retire on grounds of ill health leading to pension enhancement and/or early payment of pension benefits, we may request the Employer make a strain payment to cover the anticipated cost of the additional pension entitlement;  </w:t>
      </w:r>
    </w:p>
    <w:p w14:paraId="60714A75" w14:textId="5E381D57" w:rsidR="00B53BF6" w:rsidRPr="00946566" w:rsidRDefault="00B53BF6" w:rsidP="00B53BF6">
      <w:pPr>
        <w:pStyle w:val="List"/>
      </w:pPr>
      <w:r w:rsidRPr="00946566">
        <w:t xml:space="preserve">Where an employee or former employee dies resulting in a death grant benefit becoming payable, we may request the Employer make a payment to the Fund to cover the incurred expense; </w:t>
      </w:r>
    </w:p>
    <w:p w14:paraId="5FD8A143" w14:textId="0D7E4163" w:rsidR="00083CE7" w:rsidRDefault="00B53BF6" w:rsidP="0040678C">
      <w:pPr>
        <w:pStyle w:val="List"/>
      </w:pPr>
      <w:r>
        <w:t xml:space="preserve">Where an employee makes Additional </w:t>
      </w:r>
      <w:r w:rsidR="007D5A72">
        <w:t>Pension</w:t>
      </w:r>
      <w:r>
        <w:t xml:space="preserve"> Contributions, at the employer’s discretion, they may make an additional payment to the Fund under a cost sharing arrangement with the member.</w:t>
      </w:r>
    </w:p>
    <w:p w14:paraId="7E5C9A1D" w14:textId="5361777A" w:rsidR="0040678C" w:rsidRPr="00946566" w:rsidRDefault="006547C2" w:rsidP="00B53BF6">
      <w:pPr>
        <w:pStyle w:val="NoSpacing1"/>
        <w:rPr>
          <w:lang w:val="en-US"/>
        </w:rPr>
      </w:pPr>
      <w:r w:rsidRPr="00946566">
        <w:rPr>
          <w:lang w:val="en-US"/>
        </w:rPr>
        <w:t>The employer is required to inform the fund</w:t>
      </w:r>
      <w:r w:rsidR="00F260FE" w:rsidRPr="00946566">
        <w:rPr>
          <w:lang w:val="en-US"/>
        </w:rPr>
        <w:t xml:space="preserve"> if any of these situations occur, in line with </w:t>
      </w:r>
      <w:r w:rsidR="00F260FE" w:rsidRPr="00440E2F">
        <w:rPr>
          <w:color w:val="464547" w:themeColor="text1"/>
          <w:lang w:val="en-US"/>
        </w:rPr>
        <w:t xml:space="preserve">our </w:t>
      </w:r>
      <w:hyperlink r:id="rId21" w:history="1">
        <w:r w:rsidR="00F260FE" w:rsidRPr="00440E2F">
          <w:rPr>
            <w:rStyle w:val="Hyperlink"/>
            <w:color w:val="464547" w:themeColor="text1"/>
            <w:u w:val="none"/>
            <w:lang w:val="en-US"/>
          </w:rPr>
          <w:t xml:space="preserve">Administration </w:t>
        </w:r>
        <w:r w:rsidR="00C95A72" w:rsidRPr="00440E2F">
          <w:rPr>
            <w:rStyle w:val="Hyperlink"/>
            <w:color w:val="464547" w:themeColor="text1"/>
            <w:u w:val="none"/>
            <w:lang w:val="en-US"/>
          </w:rPr>
          <w:t xml:space="preserve">Strategy </w:t>
        </w:r>
        <w:r w:rsidR="00F260FE" w:rsidRPr="00440E2F">
          <w:rPr>
            <w:rStyle w:val="Hyperlink"/>
            <w:color w:val="464547" w:themeColor="text1"/>
            <w:u w:val="none"/>
            <w:lang w:val="en-US"/>
          </w:rPr>
          <w:t>Policy</w:t>
        </w:r>
        <w:r w:rsidR="00224EAE" w:rsidRPr="00440E2F">
          <w:rPr>
            <w:rStyle w:val="Hyperlink"/>
            <w:color w:val="464547" w:themeColor="text1"/>
            <w:u w:val="none"/>
            <w:lang w:val="en-US"/>
          </w:rPr>
          <w:t>.</w:t>
        </w:r>
      </w:hyperlink>
    </w:p>
    <w:p w14:paraId="6421E922" w14:textId="77777777" w:rsidR="00B53BF6" w:rsidRDefault="00B53BF6" w:rsidP="00B53BF6">
      <w:pPr>
        <w:pStyle w:val="Heading2"/>
        <w:rPr>
          <w:b/>
        </w:rPr>
      </w:pPr>
      <w:bookmarkStart w:id="21" w:name="_Toc222823316"/>
      <w:r>
        <w:t>Actuarial valuation</w:t>
      </w:r>
      <w:bookmarkEnd w:id="21"/>
      <w:r>
        <w:t xml:space="preserve"> </w:t>
      </w:r>
    </w:p>
    <w:p w14:paraId="03F9A821" w14:textId="77777777" w:rsidR="00B53BF6" w:rsidRDefault="00B53BF6" w:rsidP="00B53BF6">
      <w:pPr>
        <w:pStyle w:val="BodyText"/>
      </w:pPr>
      <w:r w:rsidRPr="73138C69">
        <w:rPr>
          <w:rFonts w:asciiTheme="minorHAnsi" w:eastAsiaTheme="minorEastAsia" w:hAnsiTheme="minorHAnsi"/>
        </w:rPr>
        <w:t>As required by Regulation 62 (1) of the LGPS Regulations 2013, an actuarial valuation of all LGPS funds is carried out every three years</w:t>
      </w:r>
      <w:r w:rsidRPr="73138C69">
        <w:rPr>
          <w:rFonts w:eastAsiaTheme="minorEastAsia"/>
        </w:rPr>
        <w:t>.</w:t>
      </w:r>
      <w:r>
        <w:t xml:space="preserve"> </w:t>
      </w:r>
    </w:p>
    <w:p w14:paraId="1BB3A73F" w14:textId="47046104" w:rsidR="00B53BF6" w:rsidRDefault="00B53BF6" w:rsidP="00B53BF6">
      <w:pPr>
        <w:pStyle w:val="BodyText"/>
      </w:pPr>
      <w:r>
        <w:lastRenderedPageBreak/>
        <w:t>The main purpose of the valuation is to determine the level of employers’ contributions that should be paid to ensure that the existing assets and future contributions will be sufficient to meet all future benefit payments from the Fund</w:t>
      </w:r>
      <w:r w:rsidR="0020790B">
        <w:t xml:space="preserve">. </w:t>
      </w:r>
    </w:p>
    <w:p w14:paraId="5623EAA3" w14:textId="06C2C003" w:rsidR="00B53BF6" w:rsidRDefault="00B53BF6" w:rsidP="00B53BF6">
      <w:pPr>
        <w:pStyle w:val="BodyText"/>
      </w:pPr>
      <w:r>
        <w:t xml:space="preserve">The most recent actuarial valuation of the Fund was undertaken as at 31 March 2025. The results of the 31 March 2025 valuation can be found in the </w:t>
      </w:r>
      <w:r w:rsidRPr="00946566">
        <w:t>Fund’s valuation report</w:t>
      </w:r>
      <w:r>
        <w:t>, which includes:</w:t>
      </w:r>
    </w:p>
    <w:p w14:paraId="3AED4562" w14:textId="77777777" w:rsidR="00B53BF6" w:rsidRDefault="00B53BF6" w:rsidP="00B53BF6">
      <w:pPr>
        <w:pStyle w:val="List"/>
        <w:rPr>
          <w:rFonts w:eastAsia="Segoe UI"/>
        </w:rPr>
      </w:pPr>
      <w:r>
        <w:t xml:space="preserve">An actuarial valuation of the assets and liabilities of the Fund; </w:t>
      </w:r>
    </w:p>
    <w:p w14:paraId="3B8B9618" w14:textId="77777777" w:rsidR="00B53BF6" w:rsidRDefault="00B53BF6" w:rsidP="00B53BF6">
      <w:pPr>
        <w:pStyle w:val="List"/>
        <w:rPr>
          <w:rFonts w:eastAsia="Segoe UI"/>
        </w:rPr>
      </w:pPr>
      <w:r>
        <w:t>The funding level of the Fund as at the valuation date;</w:t>
      </w:r>
    </w:p>
    <w:p w14:paraId="7509FA38" w14:textId="1E371D7C" w:rsidR="00B53BF6" w:rsidRDefault="00B53BF6" w:rsidP="00B53BF6">
      <w:pPr>
        <w:pStyle w:val="List"/>
        <w:rPr>
          <w:rFonts w:eastAsia="Segoe UI"/>
        </w:rPr>
      </w:pPr>
      <w:r>
        <w:t xml:space="preserve">The </w:t>
      </w:r>
      <w:r w:rsidR="00FD2139">
        <w:t>primary rate for the whole fund</w:t>
      </w:r>
      <w:r w:rsidR="00E53066">
        <w:t xml:space="preserve"> which is the weighted average (by payroll) of the individual employers’ primary rates</w:t>
      </w:r>
    </w:p>
    <w:p w14:paraId="1AD13EF1" w14:textId="77777777" w:rsidR="00B53BF6" w:rsidRDefault="00B53BF6" w:rsidP="00B53BF6">
      <w:pPr>
        <w:pStyle w:val="List"/>
        <w:rPr>
          <w:rFonts w:eastAsia="Segoe UI"/>
        </w:rPr>
      </w:pPr>
      <w:r>
        <w:t>The financial and demographic actuarial assumptions used to value the pension liabilities, including details of the sensitivity of the results to a small change in the assumptions used;</w:t>
      </w:r>
    </w:p>
    <w:p w14:paraId="68685C1F" w14:textId="77777777" w:rsidR="00B53BF6" w:rsidRDefault="00B53BF6" w:rsidP="00B53BF6">
      <w:pPr>
        <w:pStyle w:val="List"/>
        <w:rPr>
          <w:rFonts w:eastAsia="Segoe UI"/>
        </w:rPr>
      </w:pPr>
      <w:r w:rsidRPr="73138C69">
        <w:rPr>
          <w:rFonts w:asciiTheme="minorHAnsi" w:hAnsiTheme="minorHAnsi"/>
        </w:rPr>
        <w:t xml:space="preserve">The </w:t>
      </w:r>
      <w:r>
        <w:t xml:space="preserve">valuation report </w:t>
      </w:r>
      <w:r w:rsidRPr="73138C69">
        <w:rPr>
          <w:rFonts w:asciiTheme="minorHAnsi" w:hAnsiTheme="minorHAnsi"/>
        </w:rPr>
        <w:t xml:space="preserve">must demonstrate how the </w:t>
      </w:r>
      <w:r>
        <w:t xml:space="preserve">demographic </w:t>
      </w:r>
      <w:r w:rsidRPr="73138C69">
        <w:rPr>
          <w:rFonts w:asciiTheme="minorHAnsi" w:hAnsiTheme="minorHAnsi"/>
        </w:rPr>
        <w:t xml:space="preserve">assumptions </w:t>
      </w:r>
      <w:r>
        <w:t xml:space="preserve">have been set with reference to the </w:t>
      </w:r>
      <w:r w:rsidRPr="73138C69">
        <w:rPr>
          <w:rFonts w:asciiTheme="minorHAnsi" w:hAnsiTheme="minorHAnsi"/>
        </w:rPr>
        <w:t>actual events affecting</w:t>
      </w:r>
      <w:r>
        <w:t xml:space="preserve"> Fund</w:t>
      </w:r>
      <w:r w:rsidRPr="73138C69">
        <w:rPr>
          <w:rFonts w:asciiTheme="minorHAnsi" w:hAnsiTheme="minorHAnsi"/>
        </w:rPr>
        <w:t xml:space="preserve"> members since the previous valuation</w:t>
      </w:r>
      <w:r>
        <w:t>;</w:t>
      </w:r>
    </w:p>
    <w:p w14:paraId="06A2F06D" w14:textId="77777777" w:rsidR="00B53BF6" w:rsidRDefault="00B53BF6" w:rsidP="00B53BF6">
      <w:pPr>
        <w:pStyle w:val="List"/>
        <w:rPr>
          <w:rFonts w:eastAsia="Segoe UI"/>
        </w:rPr>
      </w:pPr>
      <w:r>
        <w:t xml:space="preserve">A Rates and Adjustments certificate outlining the minimum contributions payable by employers in the Fund; specifying both the primary rate and secondary rate of the employer’s contribution for each of the three years beginning on 1st April following the year in which the valuation date occurs; and </w:t>
      </w:r>
    </w:p>
    <w:p w14:paraId="33EE2CF0" w14:textId="77777777" w:rsidR="00B53BF6" w:rsidRDefault="00B53BF6" w:rsidP="00B53BF6">
      <w:pPr>
        <w:pStyle w:val="List"/>
        <w:rPr>
          <w:rFonts w:eastAsia="Segoe UI"/>
        </w:rPr>
      </w:pPr>
      <w:r>
        <w:t>Summarised information of the actuarial valuation in the form of a “dashboard” which is agreed between the actuarial firms and GAD.</w:t>
      </w:r>
    </w:p>
    <w:p w14:paraId="533EB486" w14:textId="7F5E1921" w:rsidR="00B53BF6" w:rsidRDefault="00B53BF6" w:rsidP="00B53BF6">
      <w:pPr>
        <w:pStyle w:val="BodyText"/>
      </w:pPr>
      <w:r>
        <w:t xml:space="preserve">The valuation documentation must be provided to the </w:t>
      </w:r>
      <w:r w:rsidR="000D7F93">
        <w:t>Administering Authority</w:t>
      </w:r>
      <w:r>
        <w:t xml:space="preserve"> before the first anniversary of the valuation date. </w:t>
      </w:r>
    </w:p>
    <w:p w14:paraId="734F69A2" w14:textId="604D309A" w:rsidR="00B53BF6" w:rsidRPr="00BE03C5" w:rsidRDefault="00B53BF6" w:rsidP="00B53BF6">
      <w:pPr>
        <w:pStyle w:val="Heading2"/>
        <w:rPr>
          <w:b/>
        </w:rPr>
      </w:pPr>
      <w:bookmarkStart w:id="22" w:name="_Toc222823317"/>
      <w:r>
        <w:t>Review of employer contributions between valuations</w:t>
      </w:r>
      <w:bookmarkEnd w:id="22"/>
      <w:r>
        <w:t xml:space="preserve"> </w:t>
      </w:r>
    </w:p>
    <w:p w14:paraId="18EC9482" w14:textId="5E50F3ED" w:rsidR="00B53BF6" w:rsidRDefault="00D36684" w:rsidP="009E498E">
      <w:pPr>
        <w:pStyle w:val="NoSpacing1"/>
      </w:pPr>
      <w:r>
        <w:t>The</w:t>
      </w:r>
      <w:r w:rsidR="00B53BF6">
        <w:t xml:space="preserve"> Fund’s Contribution review policy can be accessed</w:t>
      </w:r>
      <w:r w:rsidR="00323879">
        <w:t xml:space="preserve"> in</w:t>
      </w:r>
      <w:r w:rsidR="00B53BF6">
        <w:t xml:space="preserve"> </w:t>
      </w:r>
      <w:r w:rsidR="00323879">
        <w:fldChar w:fldCharType="begin"/>
      </w:r>
      <w:r w:rsidR="00323879">
        <w:instrText xml:space="preserve"> REF _Ref204267563 \h </w:instrText>
      </w:r>
      <w:r w:rsidR="00323879">
        <w:fldChar w:fldCharType="separate"/>
      </w:r>
      <w:r w:rsidR="00323879">
        <w:t>Annex A: Contribution review policy</w:t>
      </w:r>
      <w:r w:rsidR="00323879">
        <w:fldChar w:fldCharType="end"/>
      </w:r>
      <w:r w:rsidR="00323879">
        <w:t>.</w:t>
      </w:r>
    </w:p>
    <w:p w14:paraId="3BF091A1" w14:textId="35BA44BC" w:rsidR="006E5FEB" w:rsidRPr="00BE03C5" w:rsidRDefault="006E5FEB" w:rsidP="3CA178B6">
      <w:pPr>
        <w:pStyle w:val="Heading2"/>
        <w:rPr>
          <w:b/>
        </w:rPr>
      </w:pPr>
      <w:bookmarkStart w:id="23" w:name="_Toc222823318"/>
      <w:r>
        <w:t>Fund approach to managing surpluses and deficits</w:t>
      </w:r>
      <w:bookmarkEnd w:id="23"/>
    </w:p>
    <w:p w14:paraId="38FD0F92" w14:textId="14B23EE6" w:rsidR="001F1EBF" w:rsidRPr="0026592A" w:rsidRDefault="001F1EBF" w:rsidP="001F1EBF">
      <w:pPr>
        <w:pStyle w:val="BodyText"/>
      </w:pPr>
      <w:r w:rsidRPr="0026592A">
        <w:t xml:space="preserve">As set out in </w:t>
      </w:r>
      <w:r w:rsidR="00757A30">
        <w:fldChar w:fldCharType="begin"/>
      </w:r>
      <w:r w:rsidR="00757A30">
        <w:instrText xml:space="preserve"> REF _Ref204545498 \h </w:instrText>
      </w:r>
      <w:r w:rsidR="00757A30">
        <w:fldChar w:fldCharType="separate"/>
      </w:r>
      <w:r w:rsidR="00757A30">
        <w:t>Section A – Purpose of the fund and the FSS</w:t>
      </w:r>
      <w:r w:rsidR="00757A30">
        <w:fldChar w:fldCharType="end"/>
      </w:r>
      <w:r w:rsidRPr="0026592A">
        <w:t>, our aim is to ensure employers’ contributions are set to meet the Regulatory requirements of achieving solvency and long-term cost efficiency but also for the primary rate to be as stable as possible.</w:t>
      </w:r>
    </w:p>
    <w:p w14:paraId="5F4B2C61" w14:textId="77777777" w:rsidR="001F1EBF" w:rsidRPr="0026592A" w:rsidRDefault="001F1EBF" w:rsidP="001F1EBF">
      <w:pPr>
        <w:rPr>
          <w:rFonts w:eastAsia="Segoe UI" w:cs="Segoe UI"/>
        </w:rPr>
      </w:pPr>
      <w:r w:rsidRPr="0026592A">
        <w:rPr>
          <w:rFonts w:eastAsia="Segoe UI" w:cs="Segoe UI"/>
        </w:rPr>
        <w:t>We aim to keep primary (and also total) contribution rates stable by:</w:t>
      </w:r>
    </w:p>
    <w:p w14:paraId="61F264FF" w14:textId="77777777" w:rsidR="001F1EBF" w:rsidRPr="0026592A" w:rsidRDefault="001F1EBF" w:rsidP="001F1EBF">
      <w:pPr>
        <w:pStyle w:val="List"/>
      </w:pPr>
      <w:r w:rsidRPr="0026592A">
        <w:t>asking the Fund Actuary to adopt a discount rate (or assumed investment return) derived from the expected investment return on the Fund’s assets;</w:t>
      </w:r>
    </w:p>
    <w:p w14:paraId="2B1969B9" w14:textId="77777777" w:rsidR="001F1EBF" w:rsidRPr="0026592A" w:rsidRDefault="001F1EBF" w:rsidP="001F1EBF">
      <w:pPr>
        <w:pStyle w:val="List"/>
      </w:pPr>
      <w:r w:rsidRPr="0026592A">
        <w:t>reviewing the level of prudence, i.e. the gap between the discount rate (or assumed investment return) and the expected investment return, at each valuation; and</w:t>
      </w:r>
      <w:r w:rsidRPr="000236BD">
        <w:t xml:space="preserve"> </w:t>
      </w:r>
    </w:p>
    <w:p w14:paraId="08F9A4F1" w14:textId="77777777" w:rsidR="001F1EBF" w:rsidRPr="0026592A" w:rsidRDefault="001F1EBF" w:rsidP="001F1EBF">
      <w:pPr>
        <w:pStyle w:val="List"/>
      </w:pPr>
      <w:r w:rsidRPr="0026592A">
        <w:t>operating funding pools which increases the stability of contribution rates compared to calculating individual contribution rates for each employer, particularly for small employers.</w:t>
      </w:r>
    </w:p>
    <w:p w14:paraId="57CC9736" w14:textId="20E4FF81" w:rsidR="00042EA3" w:rsidRDefault="00042EA3" w:rsidP="00042EA3">
      <w:pPr>
        <w:pStyle w:val="BodyText"/>
      </w:pPr>
      <w:r w:rsidRPr="62DD8BBA">
        <w:t>Where the</w:t>
      </w:r>
      <w:r>
        <w:t>re</w:t>
      </w:r>
      <w:r w:rsidRPr="62DD8BBA">
        <w:t xml:space="preserve"> </w:t>
      </w:r>
      <w:r>
        <w:t>i</w:t>
      </w:r>
      <w:r w:rsidRPr="62DD8BBA">
        <w:t>s a deficit</w:t>
      </w:r>
      <w:r>
        <w:t>,</w:t>
      </w:r>
      <w:r w:rsidRPr="62DD8BBA">
        <w:t xml:space="preserve"> the </w:t>
      </w:r>
      <w:r>
        <w:t>secondary contribution</w:t>
      </w:r>
      <w:r w:rsidR="00A375A6">
        <w:t xml:space="preserve"> rate</w:t>
      </w:r>
      <w:r>
        <w:t xml:space="preserve"> is generally calculated </w:t>
      </w:r>
      <w:r w:rsidRPr="62DD8BBA">
        <w:t xml:space="preserve">to </w:t>
      </w:r>
      <w:r>
        <w:t xml:space="preserve">pay off </w:t>
      </w:r>
      <w:r w:rsidRPr="62DD8BBA">
        <w:t xml:space="preserve">the deficit over a </w:t>
      </w:r>
      <w:r w:rsidRPr="001B792E">
        <w:t>maximum period of</w:t>
      </w:r>
      <w:r w:rsidRPr="007D5A72">
        <w:t xml:space="preserve"> </w:t>
      </w:r>
      <w:r w:rsidR="00F8283D" w:rsidRPr="001B792E">
        <w:t>11</w:t>
      </w:r>
      <w:r w:rsidRPr="001B792E">
        <w:t xml:space="preserve"> years</w:t>
      </w:r>
      <w:r w:rsidRPr="007D5A72">
        <w:t>.</w:t>
      </w:r>
      <w:r w:rsidRPr="62DD8BBA">
        <w:t xml:space="preserve"> </w:t>
      </w:r>
    </w:p>
    <w:p w14:paraId="5ED1D452" w14:textId="5C2FB7F3" w:rsidR="00042EA3" w:rsidRDefault="00042EA3" w:rsidP="00042EA3">
      <w:pPr>
        <w:spacing w:after="200"/>
        <w:rPr>
          <w:rFonts w:eastAsia="Segoe UI" w:cs="Segoe UI"/>
          <w:szCs w:val="20"/>
          <w:lang w:val="en-GB"/>
        </w:rPr>
      </w:pPr>
      <w:r w:rsidRPr="001B792E">
        <w:rPr>
          <w:rFonts w:eastAsia="Segoe UI" w:cs="Segoe UI"/>
          <w:szCs w:val="20"/>
          <w:lang w:val="en-GB"/>
        </w:rPr>
        <w:t xml:space="preserve">Where there is a surplus, the secondary contribution may include an adjustment to run off the surplus over a </w:t>
      </w:r>
      <w:r w:rsidR="00F8283D" w:rsidRPr="001B792E">
        <w:rPr>
          <w:rFonts w:eastAsia="Segoe UI" w:cs="Segoe UI"/>
          <w:szCs w:val="20"/>
          <w:lang w:val="en-GB"/>
        </w:rPr>
        <w:t xml:space="preserve">maximum </w:t>
      </w:r>
      <w:r w:rsidRPr="001B792E">
        <w:rPr>
          <w:rFonts w:eastAsia="Segoe UI" w:cs="Segoe UI"/>
          <w:szCs w:val="20"/>
          <w:lang w:val="en-GB"/>
        </w:rPr>
        <w:t xml:space="preserve">period of </w:t>
      </w:r>
      <w:r w:rsidR="00F8283D" w:rsidRPr="001B792E">
        <w:rPr>
          <w:rFonts w:eastAsia="Segoe UI" w:cs="Segoe UI"/>
          <w:szCs w:val="20"/>
          <w:lang w:val="en-GB"/>
        </w:rPr>
        <w:t xml:space="preserve">11 </w:t>
      </w:r>
      <w:r w:rsidRPr="001B792E">
        <w:rPr>
          <w:rFonts w:eastAsia="Segoe UI" w:cs="Segoe UI"/>
          <w:szCs w:val="20"/>
          <w:lang w:val="en-GB"/>
        </w:rPr>
        <w:t>years</w:t>
      </w:r>
      <w:r w:rsidR="00F8283D" w:rsidRPr="001B792E">
        <w:rPr>
          <w:rFonts w:eastAsia="Segoe UI" w:cs="Segoe UI"/>
          <w:szCs w:val="20"/>
          <w:lang w:val="en-GB"/>
        </w:rPr>
        <w:t xml:space="preserve"> depending on the employer group and individual employer circumstances</w:t>
      </w:r>
      <w:r w:rsidRPr="001B792E">
        <w:rPr>
          <w:rFonts w:eastAsia="Segoe UI" w:cs="Segoe UI"/>
          <w:szCs w:val="20"/>
          <w:lang w:val="en-GB"/>
        </w:rPr>
        <w:t>.</w:t>
      </w:r>
    </w:p>
    <w:p w14:paraId="32CB4899" w14:textId="77777777" w:rsidR="00042EA3" w:rsidRDefault="00042EA3" w:rsidP="00042EA3">
      <w:pPr>
        <w:spacing w:after="200"/>
      </w:pPr>
      <w:r w:rsidRPr="62DD8BBA">
        <w:rPr>
          <w:rFonts w:eastAsia="Segoe UI" w:cs="Segoe UI"/>
          <w:szCs w:val="20"/>
          <w:lang w:val="en-GB"/>
        </w:rPr>
        <w:lastRenderedPageBreak/>
        <w:t xml:space="preserve">The period adopted for </w:t>
      </w:r>
      <w:r>
        <w:rPr>
          <w:rFonts w:eastAsia="Segoe UI" w:cs="Segoe UI"/>
          <w:szCs w:val="20"/>
          <w:lang w:val="en-GB"/>
        </w:rPr>
        <w:t xml:space="preserve">individual or groups of </w:t>
      </w:r>
      <w:r w:rsidRPr="62DD8BBA">
        <w:rPr>
          <w:rFonts w:eastAsia="Segoe UI" w:cs="Segoe UI"/>
          <w:szCs w:val="20"/>
          <w:lang w:val="en-GB"/>
        </w:rPr>
        <w:t>employer</w:t>
      </w:r>
      <w:r>
        <w:rPr>
          <w:rFonts w:eastAsia="Segoe UI" w:cs="Segoe UI"/>
          <w:szCs w:val="20"/>
          <w:lang w:val="en-GB"/>
        </w:rPr>
        <w:t>s</w:t>
      </w:r>
      <w:r w:rsidRPr="62DD8BBA">
        <w:rPr>
          <w:rFonts w:eastAsia="Segoe UI" w:cs="Segoe UI"/>
          <w:szCs w:val="20"/>
          <w:lang w:val="en-GB"/>
        </w:rPr>
        <w:t xml:space="preserve"> </w:t>
      </w:r>
      <w:r>
        <w:rPr>
          <w:rFonts w:eastAsia="Segoe UI" w:cs="Segoe UI"/>
          <w:szCs w:val="20"/>
          <w:lang w:val="en-GB"/>
        </w:rPr>
        <w:t xml:space="preserve">will </w:t>
      </w:r>
      <w:r w:rsidRPr="62DD8BBA">
        <w:rPr>
          <w:rFonts w:eastAsia="Segoe UI" w:cs="Segoe UI"/>
          <w:szCs w:val="20"/>
          <w:lang w:val="en-GB"/>
        </w:rPr>
        <w:t>depend</w:t>
      </w:r>
      <w:r>
        <w:rPr>
          <w:rFonts w:eastAsia="Segoe UI" w:cs="Segoe UI"/>
          <w:szCs w:val="20"/>
          <w:lang w:val="en-GB"/>
        </w:rPr>
        <w:t xml:space="preserve"> on</w:t>
      </w:r>
      <w:r w:rsidRPr="62DD8BBA">
        <w:rPr>
          <w:rFonts w:eastAsia="Segoe UI" w:cs="Segoe UI"/>
          <w:szCs w:val="20"/>
          <w:lang w:val="en-GB"/>
        </w:rPr>
        <w:t xml:space="preserve">: </w:t>
      </w:r>
    </w:p>
    <w:p w14:paraId="3BACE442" w14:textId="77777777" w:rsidR="00042EA3" w:rsidRPr="007D5A72" w:rsidRDefault="00042EA3" w:rsidP="00042EA3">
      <w:pPr>
        <w:pStyle w:val="List"/>
      </w:pPr>
      <w:r w:rsidRPr="007D5A72">
        <w:t>The significance of the surplus or deficit relative to the liabilities;</w:t>
      </w:r>
    </w:p>
    <w:p w14:paraId="72BD872C" w14:textId="169D1796" w:rsidR="00042EA3" w:rsidRPr="001B792E" w:rsidRDefault="00042EA3" w:rsidP="00042EA3">
      <w:pPr>
        <w:pStyle w:val="List"/>
      </w:pPr>
      <w:r w:rsidRPr="001B792E">
        <w:t>The</w:t>
      </w:r>
      <w:r w:rsidR="0001514B" w:rsidRPr="001B792E">
        <w:t xml:space="preserve"> </w:t>
      </w:r>
      <w:r w:rsidR="0021026E" w:rsidRPr="001B792E">
        <w:fldChar w:fldCharType="begin"/>
      </w:r>
      <w:r w:rsidR="0021026E" w:rsidRPr="001B792E">
        <w:instrText xml:space="preserve"> REF _Ref204267711 \h </w:instrText>
      </w:r>
      <w:r w:rsidR="007D5A72">
        <w:instrText xml:space="preserve"> \* MERGEFORMAT </w:instrText>
      </w:r>
      <w:r w:rsidR="0021026E" w:rsidRPr="001B792E">
        <w:fldChar w:fldCharType="separate"/>
      </w:r>
      <w:r w:rsidR="00BE6710" w:rsidRPr="007D5A72">
        <w:t>Employer covenant</w:t>
      </w:r>
      <w:r w:rsidR="0021026E" w:rsidRPr="001B792E">
        <w:fldChar w:fldCharType="end"/>
      </w:r>
      <w:r w:rsidRPr="001B792E">
        <w:t xml:space="preserve"> of the employer/group (including any security in place) and any limited period of participation in the Fund; </w:t>
      </w:r>
    </w:p>
    <w:p w14:paraId="6BF7A2F6" w14:textId="77777777" w:rsidR="00042EA3" w:rsidRPr="007D5A72" w:rsidRDefault="00042EA3" w:rsidP="00042EA3">
      <w:pPr>
        <w:pStyle w:val="List"/>
      </w:pPr>
      <w:r w:rsidRPr="007D5A72">
        <w:t>The remaining contract length of an employer in the Fund (if applicable); and</w:t>
      </w:r>
    </w:p>
    <w:p w14:paraId="16339A80" w14:textId="77777777" w:rsidR="00042EA3" w:rsidRPr="007D5A72" w:rsidRDefault="00042EA3" w:rsidP="00042EA3">
      <w:pPr>
        <w:pStyle w:val="List"/>
      </w:pPr>
      <w:r w:rsidRPr="007D5A72">
        <w:t>The implications in terms of stability of future levels of employers’ contribution.</w:t>
      </w:r>
    </w:p>
    <w:p w14:paraId="54BADFF7" w14:textId="410E2E49" w:rsidR="00042EA3" w:rsidRDefault="00042EA3" w:rsidP="00042EA3">
      <w:pPr>
        <w:rPr>
          <w:rFonts w:eastAsia="Segoe UI" w:cs="Segoe UI"/>
          <w:szCs w:val="20"/>
        </w:rPr>
      </w:pPr>
      <w:r w:rsidRPr="001B792E">
        <w:rPr>
          <w:rFonts w:eastAsia="Segoe UI" w:cs="Segoe UI"/>
          <w:szCs w:val="20"/>
          <w:lang w:val="en-GB"/>
        </w:rPr>
        <w:t>A summary of our approach to employers in the Fund is set out in the</w:t>
      </w:r>
      <w:r w:rsidR="00F8283D" w:rsidRPr="001B792E">
        <w:rPr>
          <w:rFonts w:eastAsia="Segoe UI" w:cs="Segoe UI"/>
          <w:szCs w:val="20"/>
          <w:lang w:val="en-GB"/>
        </w:rPr>
        <w:t xml:space="preserve"> </w:t>
      </w:r>
      <w:r w:rsidR="00F8283D" w:rsidRPr="007D5A72">
        <w:rPr>
          <w:rFonts w:cs="Segoe UI"/>
        </w:rPr>
        <w:fldChar w:fldCharType="begin"/>
      </w:r>
      <w:r w:rsidR="00F8283D" w:rsidRPr="007D5A72">
        <w:rPr>
          <w:rFonts w:cs="Segoe UI"/>
        </w:rPr>
        <w:instrText xml:space="preserve"> REF  _Ref204168845 \h </w:instrText>
      </w:r>
      <w:r w:rsidR="007D5A72">
        <w:rPr>
          <w:rFonts w:cs="Segoe UI"/>
        </w:rPr>
        <w:instrText xml:space="preserve"> \* MERGEFORMAT </w:instrText>
      </w:r>
      <w:r w:rsidR="00F8283D" w:rsidRPr="007D5A72">
        <w:rPr>
          <w:rFonts w:cs="Segoe UI"/>
        </w:rPr>
      </w:r>
      <w:r w:rsidR="00F8283D" w:rsidRPr="007D5A72">
        <w:rPr>
          <w:rFonts w:cs="Segoe UI"/>
        </w:rPr>
        <w:fldChar w:fldCharType="separate"/>
      </w:r>
      <w:r w:rsidR="00F8283D" w:rsidRPr="007D5A72">
        <w:t>Summary of funding approach</w:t>
      </w:r>
      <w:r w:rsidR="00F8283D" w:rsidRPr="007D5A72">
        <w:rPr>
          <w:rFonts w:cs="Segoe UI"/>
        </w:rPr>
        <w:fldChar w:fldCharType="end"/>
      </w:r>
      <w:r w:rsidR="00F8283D" w:rsidRPr="007D5A72">
        <w:rPr>
          <w:rFonts w:cs="Segoe UI"/>
        </w:rPr>
        <w:t xml:space="preserve"> table.</w:t>
      </w:r>
      <w:r w:rsidRPr="001B792E">
        <w:rPr>
          <w:rFonts w:eastAsia="Segoe UI" w:cs="Segoe UI"/>
          <w:szCs w:val="20"/>
          <w:lang w:val="en-GB"/>
        </w:rPr>
        <w:t xml:space="preserve"> </w:t>
      </w:r>
    </w:p>
    <w:p w14:paraId="202EDACD" w14:textId="77777777" w:rsidR="00042EA3" w:rsidRDefault="00042EA3" w:rsidP="00042EA3">
      <w:pPr>
        <w:rPr>
          <w:rFonts w:eastAsia="Segoe UI" w:cs="Segoe UI"/>
          <w:szCs w:val="20"/>
        </w:rPr>
      </w:pPr>
    </w:p>
    <w:p w14:paraId="470A0FED" w14:textId="2DD8C53B" w:rsidR="00B53BF6" w:rsidRDefault="00B53BF6" w:rsidP="00B53BF6">
      <w:pPr>
        <w:pStyle w:val="Heading2"/>
      </w:pPr>
      <w:bookmarkStart w:id="24" w:name="_Ref204267711"/>
      <w:bookmarkStart w:id="25" w:name="_Toc222823319"/>
      <w:r w:rsidRPr="3AEB75FB">
        <w:t>Employer covenant</w:t>
      </w:r>
      <w:bookmarkEnd w:id="24"/>
      <w:bookmarkEnd w:id="25"/>
    </w:p>
    <w:p w14:paraId="6811C2A0" w14:textId="77777777" w:rsidR="00B53BF6" w:rsidRPr="0001709B" w:rsidRDefault="00B53BF6" w:rsidP="00B53BF6">
      <w:pPr>
        <w:pStyle w:val="BodyText"/>
      </w:pPr>
      <w:r w:rsidRPr="0001709B">
        <w:t xml:space="preserve">The Pensions Regulator defines employer covenant as </w:t>
      </w:r>
      <w:r w:rsidRPr="00F2122E">
        <w:rPr>
          <w:i/>
          <w:iCs/>
        </w:rPr>
        <w:t>“the extent of the employer’s legal obligation and financial ability to support the scheme now and in the future”.</w:t>
      </w:r>
    </w:p>
    <w:p w14:paraId="0C645190" w14:textId="08BFCDB9" w:rsidR="00B53BF6" w:rsidRDefault="00B53BF6">
      <w:pPr>
        <w:pStyle w:val="BodyText"/>
      </w:pPr>
      <w:r>
        <w:t xml:space="preserve">There is no prescribed way for an LGPS fund to assess and allow for employer covenant within their funding approach. In considering employer covenant as part of </w:t>
      </w:r>
      <w:r w:rsidR="1E4B355F">
        <w:t>our funding strategy</w:t>
      </w:r>
      <w:r>
        <w:t xml:space="preserve"> we will look to profile and better understand our participating employers, particularly by sector or size.</w:t>
      </w:r>
    </w:p>
    <w:p w14:paraId="7F99C831" w14:textId="77777777" w:rsidR="00B53BF6" w:rsidRDefault="00B53BF6" w:rsidP="00B53BF6">
      <w:pPr>
        <w:pStyle w:val="BodyText"/>
      </w:pPr>
      <w:r>
        <w:t>In reviewing the employer covenant, we look to:</w:t>
      </w:r>
    </w:p>
    <w:p w14:paraId="49A1F98F" w14:textId="77777777" w:rsidR="00B53BF6" w:rsidRDefault="00B53BF6" w:rsidP="00B53BF6">
      <w:pPr>
        <w:pStyle w:val="List"/>
      </w:pPr>
      <w:r w:rsidRPr="00B60E40">
        <w:t>assess each employer’s obligation and ability to support their ongoing LGPS commitments, in the context of any guarantees or security in place</w:t>
      </w:r>
      <w:r>
        <w:t xml:space="preserve">, </w:t>
      </w:r>
    </w:p>
    <w:p w14:paraId="65EFC33B" w14:textId="77777777" w:rsidR="00B53BF6" w:rsidRDefault="00B53BF6" w:rsidP="00B53BF6">
      <w:pPr>
        <w:pStyle w:val="List"/>
      </w:pPr>
      <w:r w:rsidRPr="00B60E40">
        <w:t>reappraise the “riskiness” of employers, given their updated funding position</w:t>
      </w:r>
      <w:r>
        <w:t xml:space="preserve">, </w:t>
      </w:r>
    </w:p>
    <w:p w14:paraId="3A2197EF" w14:textId="77777777" w:rsidR="00B53BF6" w:rsidRDefault="00B53BF6" w:rsidP="00B53BF6">
      <w:pPr>
        <w:pStyle w:val="List"/>
      </w:pPr>
      <w:r w:rsidRPr="00B60E40">
        <w:t>further integrate covenant insights into funding and investment strategy,</w:t>
      </w:r>
    </w:p>
    <w:p w14:paraId="35CE7C13" w14:textId="77777777" w:rsidR="00B53BF6" w:rsidRDefault="00B53BF6" w:rsidP="00B53BF6">
      <w:pPr>
        <w:pStyle w:val="List"/>
      </w:pPr>
      <w:r w:rsidRPr="00B60E40">
        <w:t>ensur</w:t>
      </w:r>
      <w:r>
        <w:t>e</w:t>
      </w:r>
      <w:r w:rsidRPr="00B60E40">
        <w:t xml:space="preserve"> contributions are set appropriately; and</w:t>
      </w:r>
      <w:r>
        <w:t xml:space="preserve"> </w:t>
      </w:r>
    </w:p>
    <w:p w14:paraId="4D7AACFC" w14:textId="77777777" w:rsidR="00B53BF6" w:rsidRDefault="00B53BF6" w:rsidP="00B53BF6">
      <w:pPr>
        <w:pStyle w:val="List"/>
      </w:pPr>
      <w:r w:rsidRPr="00B60E40">
        <w:t>put in place pragmatic procedures to monitor employers going forward.</w:t>
      </w:r>
    </w:p>
    <w:p w14:paraId="764B0F58" w14:textId="34631220" w:rsidR="00B53BF6" w:rsidRPr="00B12FAF" w:rsidRDefault="00B53BF6" w:rsidP="00B53BF6">
      <w:pPr>
        <w:pStyle w:val="BodyText"/>
      </w:pPr>
      <w:r>
        <w:t xml:space="preserve">The </w:t>
      </w:r>
      <w:r w:rsidRPr="00B12FAF">
        <w:t xml:space="preserve">Fund’s approach to </w:t>
      </w:r>
      <w:r w:rsidR="001E4067" w:rsidRPr="00B12FAF">
        <w:t>allowing for</w:t>
      </w:r>
      <w:r w:rsidRPr="00B12FAF">
        <w:t xml:space="preserve"> employer covenant is set out below. </w:t>
      </w:r>
    </w:p>
    <w:p w14:paraId="38988DF8" w14:textId="417882A3" w:rsidR="00B53BF6" w:rsidRDefault="00B53BF6" w:rsidP="00B53BF6">
      <w:pPr>
        <w:pStyle w:val="NoSpacing1"/>
      </w:pPr>
      <w:r w:rsidRPr="00B12FAF">
        <w:t>In certain circumstances, an employer is obliged to notify the Fund about any changes</w:t>
      </w:r>
      <w:r w:rsidR="005B556C" w:rsidRPr="00B12FAF">
        <w:t xml:space="preserve"> as set out in our </w:t>
      </w:r>
      <w:hyperlink r:id="rId22" w:history="1">
        <w:r w:rsidR="00400507" w:rsidRPr="00B12FAF">
          <w:rPr>
            <w:rStyle w:val="Hyperlink"/>
          </w:rPr>
          <w:t>Pension Administration Strategy</w:t>
        </w:r>
      </w:hyperlink>
      <w:r w:rsidR="00224EAE" w:rsidRPr="00B12FAF">
        <w:t>.</w:t>
      </w:r>
      <w:r w:rsidRPr="00B12FAF">
        <w:t xml:space="preserve"> These include:</w:t>
      </w:r>
    </w:p>
    <w:p w14:paraId="4F8B2541" w14:textId="77777777" w:rsidR="00B53BF6" w:rsidRDefault="00B53BF6" w:rsidP="00B53BF6">
      <w:pPr>
        <w:pStyle w:val="List"/>
      </w:pPr>
      <w:r>
        <w:t>an insolvency event</w:t>
      </w:r>
    </w:p>
    <w:p w14:paraId="188A2214" w14:textId="5F17981C" w:rsidR="00B53BF6" w:rsidRDefault="00B53BF6" w:rsidP="00224EAE">
      <w:pPr>
        <w:pStyle w:val="List"/>
      </w:pPr>
      <w:r>
        <w:t>a merger or acquisition with another employer</w:t>
      </w:r>
    </w:p>
    <w:p w14:paraId="064A2433" w14:textId="273343A3" w:rsidR="00B53BF6" w:rsidRPr="00B12FAF" w:rsidRDefault="00B53BF6" w:rsidP="00B53BF6">
      <w:pPr>
        <w:pStyle w:val="NoSpacing1"/>
      </w:pPr>
      <w:r w:rsidRPr="00B12FAF">
        <w:t xml:space="preserve">The employer should contact the Fund via </w:t>
      </w:r>
      <w:hyperlink r:id="rId23" w:history="1">
        <w:r w:rsidRPr="00B12FAF">
          <w:rPr>
            <w:rStyle w:val="Hyperlink"/>
          </w:rPr>
          <w:t>email</w:t>
        </w:r>
      </w:hyperlink>
      <w:r w:rsidR="00B12FAF" w:rsidRPr="00B12FAF">
        <w:t xml:space="preserve">. </w:t>
      </w:r>
    </w:p>
    <w:p w14:paraId="655B5E37" w14:textId="40FF2843" w:rsidR="00B53BF6" w:rsidRPr="00B12FAF" w:rsidRDefault="00B53BF6" w:rsidP="00B53BF6">
      <w:pPr>
        <w:pStyle w:val="Heading3"/>
      </w:pPr>
      <w:r w:rsidRPr="00B12FAF">
        <w:t xml:space="preserve">Allowance for employer </w:t>
      </w:r>
      <w:r w:rsidR="00FC5423" w:rsidRPr="00B12FAF">
        <w:t>characteristics</w:t>
      </w:r>
      <w:r w:rsidRPr="00B12FAF">
        <w:t xml:space="preserve"> </w:t>
      </w:r>
    </w:p>
    <w:p w14:paraId="6F507A62" w14:textId="42FA19F9" w:rsidR="00B53BF6" w:rsidRPr="00651710" w:rsidRDefault="45C2E3CC">
      <w:pPr>
        <w:pStyle w:val="BodyText"/>
      </w:pPr>
      <w:r>
        <w:t>The</w:t>
      </w:r>
      <w:r w:rsidR="00FC5423">
        <w:t xml:space="preserve"> Fund considers employer characteristics and employer</w:t>
      </w:r>
      <w:r w:rsidR="00C63E0D">
        <w:t xml:space="preserve"> profile which can impact </w:t>
      </w:r>
      <w:r w:rsidR="00B53BF6">
        <w:t>total contribution rate through, but not limited to:</w:t>
      </w:r>
    </w:p>
    <w:p w14:paraId="64C40109" w14:textId="77777777" w:rsidR="00B53BF6" w:rsidRPr="00651710" w:rsidRDefault="00B53BF6">
      <w:pPr>
        <w:pStyle w:val="List"/>
      </w:pPr>
      <w:r w:rsidRPr="62DD8BBA">
        <w:t>The length of the deficit recovery/surplus amortisation period</w:t>
      </w:r>
    </w:p>
    <w:p w14:paraId="4E689833" w14:textId="56C01098" w:rsidR="00B53BF6" w:rsidRPr="00651710" w:rsidRDefault="00B53BF6" w:rsidP="00B53BF6">
      <w:pPr>
        <w:pStyle w:val="List"/>
      </w:pPr>
      <w:r w:rsidRPr="62DD8BBA">
        <w:t xml:space="preserve">The </w:t>
      </w:r>
      <w:r w:rsidR="00C63E0D">
        <w:t xml:space="preserve">exit </w:t>
      </w:r>
      <w:r w:rsidRPr="62DD8BBA">
        <w:t>funding target</w:t>
      </w:r>
      <w:r w:rsidR="00C63E0D">
        <w:t xml:space="preserve"> </w:t>
      </w:r>
    </w:p>
    <w:p w14:paraId="3B3543E0" w14:textId="05FFE97F" w:rsidR="0D07E8BE" w:rsidRPr="001B792E" w:rsidRDefault="0D07E8BE" w:rsidP="00C63E0D">
      <w:pPr>
        <w:pStyle w:val="BodyText"/>
      </w:pPr>
      <w:r w:rsidRPr="001B792E">
        <w:t xml:space="preserve">The Fund will keep employer </w:t>
      </w:r>
      <w:r w:rsidR="00C63E0D" w:rsidRPr="001B792E">
        <w:t>risk</w:t>
      </w:r>
      <w:r w:rsidRPr="001B792E">
        <w:t xml:space="preserve"> under review and will seek to update this on a triennial basis.</w:t>
      </w:r>
    </w:p>
    <w:p w14:paraId="41999766" w14:textId="77777777" w:rsidR="00B53BF6" w:rsidRDefault="00B53BF6" w:rsidP="00B53BF6">
      <w:pPr>
        <w:pStyle w:val="Heading2"/>
      </w:pPr>
      <w:bookmarkStart w:id="26" w:name="_Toc222823320"/>
      <w:r>
        <w:lastRenderedPageBreak/>
        <w:t>Guarantors</w:t>
      </w:r>
      <w:bookmarkEnd w:id="26"/>
    </w:p>
    <w:p w14:paraId="3C51F833" w14:textId="74C4A7DC" w:rsidR="00B53BF6" w:rsidRDefault="00B53BF6" w:rsidP="00B53BF6">
      <w:pPr>
        <w:pStyle w:val="BodyText"/>
      </w:pPr>
      <w:r>
        <w:t>A guarantor of an employer in the LGPS is a formal promise by a party other than the Scheme employer, to meet any pension obligations not met by the Scheme employer.</w:t>
      </w:r>
      <w:r w:rsidR="40CC4A08">
        <w:t xml:space="preserve"> There are different types o</w:t>
      </w:r>
      <w:r w:rsidR="7C1F1837">
        <w:t>f guarantee that can be provided</w:t>
      </w:r>
      <w:r w:rsidR="00624F75">
        <w:t>:</w:t>
      </w:r>
    </w:p>
    <w:p w14:paraId="11C775DF" w14:textId="236608AF" w:rsidR="7C1F1837" w:rsidRDefault="7C1F1837" w:rsidP="00624F75">
      <w:pPr>
        <w:pStyle w:val="List"/>
      </w:pPr>
      <w:r>
        <w:t>A “subsuming guarantor” will assume future responsibility for the pension liabilities and assets following the exit of the Scheme employer.</w:t>
      </w:r>
      <w:r w:rsidR="15E5B751">
        <w:t xml:space="preserve"> The exiting employer is generally still expected to meet any exit payment due. This is the </w:t>
      </w:r>
      <w:r w:rsidR="4CC999D1">
        <w:t xml:space="preserve">situation for private contractors where the letting authority will </w:t>
      </w:r>
      <w:r w:rsidR="6D8A5699">
        <w:t>be the “subsuming guarantor”.</w:t>
      </w:r>
    </w:p>
    <w:p w14:paraId="5027B58F" w14:textId="2321EA57" w:rsidR="435D0A5C" w:rsidRDefault="41963661" w:rsidP="00624F75">
      <w:pPr>
        <w:pStyle w:val="List"/>
      </w:pPr>
      <w:r>
        <w:t xml:space="preserve">An </w:t>
      </w:r>
      <w:r w:rsidR="32D09067">
        <w:t>“</w:t>
      </w:r>
      <w:r>
        <w:t>external guarantor</w:t>
      </w:r>
      <w:r w:rsidR="6EA7EDB1">
        <w:t>,</w:t>
      </w:r>
      <w:r w:rsidR="0E343BA1">
        <w:t>”</w:t>
      </w:r>
      <w:r>
        <w:t xml:space="preserve"> such as the Department </w:t>
      </w:r>
      <w:r w:rsidR="009A0843">
        <w:t xml:space="preserve">for </w:t>
      </w:r>
      <w:r>
        <w:t>Education</w:t>
      </w:r>
      <w:r w:rsidR="25FDB5B8">
        <w:t xml:space="preserve">, provides a guarantee that the exit payment will be made to the Fund in the scenario that the exiting employer cannot make it. </w:t>
      </w:r>
      <w:r w:rsidR="66115A36">
        <w:t>This a one-off payment, the external guarantor does not assume future responsibility for the pension liabilities and assets of the exiting employer.</w:t>
      </w:r>
      <w:r>
        <w:t xml:space="preserve"> </w:t>
      </w:r>
    </w:p>
    <w:p w14:paraId="759A1F3C" w14:textId="6EECC9AE" w:rsidR="05B14F33" w:rsidRDefault="05B14F33" w:rsidP="00624F75">
      <w:pPr>
        <w:pStyle w:val="List"/>
      </w:pPr>
      <w:r>
        <w:t xml:space="preserve">A </w:t>
      </w:r>
      <w:r w:rsidR="5DEB4592">
        <w:t>“</w:t>
      </w:r>
      <w:r>
        <w:t>physical guarantee</w:t>
      </w:r>
      <w:r w:rsidR="57EEEBAF">
        <w:t>”, often referred to as security.</w:t>
      </w:r>
      <w:r w:rsidR="3E084CC7">
        <w:t xml:space="preserve"> may provide the Fund the opportunity to call on the asset</w:t>
      </w:r>
      <w:r w:rsidR="7251DAD4">
        <w:t xml:space="preserve"> backing the guarantee in the event that the exiting employer cannot make the exit payment.</w:t>
      </w:r>
      <w:r w:rsidR="55A54346">
        <w:t xml:space="preserve"> </w:t>
      </w:r>
    </w:p>
    <w:p w14:paraId="649A86FB" w14:textId="722331B8" w:rsidR="00B53BF6" w:rsidRPr="000C74D0" w:rsidRDefault="00B53BF6" w:rsidP="00624F75">
      <w:pPr>
        <w:pStyle w:val="List"/>
        <w:rPr>
          <w:color w:val="FFFFFF" w:themeColor="background1"/>
        </w:rPr>
      </w:pPr>
      <w:r>
        <w:t xml:space="preserve">A </w:t>
      </w:r>
      <w:r w:rsidR="642F0234">
        <w:t>“</w:t>
      </w:r>
      <w:r>
        <w:t>guarantor of last resort</w:t>
      </w:r>
      <w:r w:rsidR="66ADEFF2">
        <w:t>”</w:t>
      </w:r>
      <w:r>
        <w:t xml:space="preserve"> will be responsible for pension liabilities if the Scheme employer fails to meet its pension obligations to the Fund. The guarantor is liable to cover </w:t>
      </w:r>
      <w:r w:rsidR="5D1E38E6">
        <w:t xml:space="preserve">any exit payment </w:t>
      </w:r>
      <w:r>
        <w:t>and assume responsibility for pension obligations when all other avenues have been exhausted.</w:t>
      </w:r>
    </w:p>
    <w:p w14:paraId="7F8B1B67" w14:textId="3ACA7F9F" w:rsidR="3CA178B6" w:rsidRDefault="3CA178B6" w:rsidP="3CA178B6">
      <w:pPr>
        <w:pStyle w:val="BodyText"/>
      </w:pPr>
      <w:r>
        <w:t>We will consult with guarantors on any proposed changes that significantly increase the risk of costs provided under the original guarantee.</w:t>
      </w:r>
    </w:p>
    <w:p w14:paraId="173949AA" w14:textId="77777777" w:rsidR="00B53BF6" w:rsidRDefault="00B53BF6" w:rsidP="00B53BF6">
      <w:pPr>
        <w:pStyle w:val="Heading3"/>
      </w:pPr>
      <w:r>
        <w:t>Guarantor treatment for key funding activities</w:t>
      </w:r>
    </w:p>
    <w:p w14:paraId="0BCBC99D" w14:textId="77777777" w:rsidR="00B53BF6" w:rsidRDefault="00B53BF6" w:rsidP="00B53BF6">
      <w:pPr>
        <w:pStyle w:val="BodyText"/>
      </w:pPr>
      <w:r>
        <w:t>Guarantors will be treated consistently to other Scheme employers for funding purposes as follows:</w:t>
      </w:r>
    </w:p>
    <w:p w14:paraId="2402511F" w14:textId="763AC659" w:rsidR="00B53BF6" w:rsidRDefault="00B53BF6" w:rsidP="00B53BF6">
      <w:pPr>
        <w:pStyle w:val="List"/>
      </w:pPr>
      <w:r>
        <w:t xml:space="preserve">For new employers joining the Fund, the new employer should notify us of any guarantor in place and in the case of </w:t>
      </w:r>
      <w:r w:rsidR="00AD7B83">
        <w:t>admission</w:t>
      </w:r>
      <w:r>
        <w:t xml:space="preserve"> bodies, the existence and type of guarantor will be specified in the admission agreement;</w:t>
      </w:r>
    </w:p>
    <w:p w14:paraId="07EED7E0" w14:textId="6FEA255E" w:rsidR="00B53BF6" w:rsidRDefault="00B53BF6" w:rsidP="00B53BF6">
      <w:pPr>
        <w:pStyle w:val="List"/>
      </w:pPr>
      <w:r>
        <w:t xml:space="preserve">The guarantee for LGPS liabilities provided by the Department for Education for further education bodies and academy trusts is taken into account in setting the contribution rates for those employers covered by the guarantee (which we understand includes any </w:t>
      </w:r>
      <w:r w:rsidR="00AD7B83">
        <w:t>admission</w:t>
      </w:r>
      <w:r>
        <w:t xml:space="preserve"> bodies participating under a pass-through arrangement);</w:t>
      </w:r>
    </w:p>
    <w:p w14:paraId="70DC5608" w14:textId="77777777" w:rsidR="00B53BF6" w:rsidRDefault="00B53BF6" w:rsidP="00B53BF6">
      <w:pPr>
        <w:pStyle w:val="List"/>
      </w:pPr>
      <w:r>
        <w:t>The assessment of the covenant of any guarantors will be included in the covenant review exercise undertaken as part of the actuarial valuation;</w:t>
      </w:r>
    </w:p>
    <w:p w14:paraId="4FDD70CF" w14:textId="77777777" w:rsidR="00B53BF6" w:rsidRDefault="00B53BF6" w:rsidP="00B53BF6">
      <w:pPr>
        <w:pStyle w:val="List"/>
      </w:pPr>
      <w:r>
        <w:t>Guarantors are subject to the same notifiable events process as employers. Notifiable events are set out in the Contribution Review policy; and</w:t>
      </w:r>
    </w:p>
    <w:p w14:paraId="7D3D916F" w14:textId="72662D2B" w:rsidR="00B53BF6" w:rsidRPr="001073A1" w:rsidRDefault="00B53BF6" w:rsidP="00B53BF6">
      <w:pPr>
        <w:pStyle w:val="List"/>
      </w:pPr>
      <w:r>
        <w:t xml:space="preserve">For exiting employers, we will carry out a cessation valuation of the employer’s liabilities and the existence of a guarantor will affect the actuarial valuation basis used to determine the </w:t>
      </w:r>
      <w:r w:rsidRPr="00A548E1">
        <w:t xml:space="preserve">final </w:t>
      </w:r>
      <w:r w:rsidRPr="001C3286">
        <w:t>cessation</w:t>
      </w:r>
      <w:r>
        <w:t xml:space="preserve"> valuation. More detail can be found in </w:t>
      </w:r>
      <w:r w:rsidR="00350B05">
        <w:t xml:space="preserve">section </w:t>
      </w:r>
      <w:r w:rsidR="00FE771A" w:rsidRPr="00DA14D0">
        <w:fldChar w:fldCharType="begin"/>
      </w:r>
      <w:r w:rsidR="00FE771A" w:rsidRPr="00DA14D0">
        <w:instrText xml:space="preserve"> REF _Ref204267203 \h </w:instrText>
      </w:r>
      <w:r w:rsidR="00FE771A" w:rsidRPr="00DA14D0">
        <w:fldChar w:fldCharType="separate"/>
      </w:r>
      <w:r w:rsidR="00FE771A" w:rsidRPr="00DA14D0">
        <w:t>Process for determining the position on termination</w:t>
      </w:r>
      <w:r w:rsidR="00FE771A" w:rsidRPr="00DA14D0">
        <w:fldChar w:fldCharType="end"/>
      </w:r>
      <w:r w:rsidR="00A548E1" w:rsidRPr="00DA14D0">
        <w:t>.</w:t>
      </w:r>
    </w:p>
    <w:p w14:paraId="3E01402B" w14:textId="77777777" w:rsidR="00B53BF6" w:rsidRDefault="00B53BF6" w:rsidP="00B53BF6">
      <w:pPr>
        <w:pStyle w:val="Heading2"/>
      </w:pPr>
      <w:bookmarkStart w:id="27" w:name="_Toc222823321"/>
      <w:r>
        <w:t>Admission bodies</w:t>
      </w:r>
      <w:bookmarkEnd w:id="27"/>
    </w:p>
    <w:p w14:paraId="34B8959A" w14:textId="44C35EF5" w:rsidR="00063036" w:rsidRDefault="00B53BF6" w:rsidP="00B53BF6">
      <w:pPr>
        <w:spacing w:before="240" w:after="240" w:line="276" w:lineRule="auto"/>
        <w:rPr>
          <w:rFonts w:eastAsia="Segoe UI" w:cs="Segoe UI"/>
          <w:lang w:val="en-GB"/>
        </w:rPr>
      </w:pPr>
      <w:r w:rsidRPr="73138C69">
        <w:rPr>
          <w:rFonts w:eastAsia="Segoe UI" w:cs="Segoe UI"/>
          <w:lang w:val="en-GB"/>
        </w:rPr>
        <w:t xml:space="preserve">New admission bodies in the Fund are commonly a result of a transfer of employees from an existing employer in the Fund to another body (for example as part of a transfer of services from a council or academy to an </w:t>
      </w:r>
      <w:r w:rsidRPr="73138C69">
        <w:rPr>
          <w:rFonts w:eastAsia="Segoe UI" w:cs="Segoe UI"/>
          <w:lang w:val="en-GB"/>
        </w:rPr>
        <w:lastRenderedPageBreak/>
        <w:t>external provider under Schedule 2 Part 3 of the Regulations). Typically</w:t>
      </w:r>
      <w:r w:rsidR="00C63E0D">
        <w:rPr>
          <w:rFonts w:eastAsia="Segoe UI" w:cs="Segoe UI"/>
          <w:lang w:val="en-GB"/>
        </w:rPr>
        <w:t>,</w:t>
      </w:r>
      <w:r w:rsidRPr="73138C69">
        <w:rPr>
          <w:rFonts w:eastAsia="Segoe UI" w:cs="Segoe UI"/>
          <w:lang w:val="en-GB"/>
        </w:rPr>
        <w:t xml:space="preserve"> these transfers will be for a limited period (the contract length), over which the new admission body employer is required to pay contributions into the Fund in respect of the transferred members.</w:t>
      </w:r>
      <w:r w:rsidR="004A3F26">
        <w:rPr>
          <w:rFonts w:eastAsia="Segoe UI" w:cs="Segoe UI"/>
          <w:lang w:val="en-GB"/>
        </w:rPr>
        <w:t xml:space="preserve"> </w:t>
      </w:r>
    </w:p>
    <w:p w14:paraId="51077A60" w14:textId="494B56A5" w:rsidR="00B53BF6" w:rsidRDefault="004A3767" w:rsidP="00B53BF6">
      <w:pPr>
        <w:spacing w:before="240" w:after="240" w:line="276" w:lineRule="auto"/>
        <w:rPr>
          <w:rFonts w:eastAsia="Segoe UI" w:cs="Segoe UI"/>
          <w:lang w:val="en-GB"/>
        </w:rPr>
      </w:pPr>
      <w:r>
        <w:rPr>
          <w:rFonts w:eastAsia="Segoe UI" w:cs="Segoe UI"/>
          <w:lang w:val="en-GB"/>
        </w:rPr>
        <w:t>Further d</w:t>
      </w:r>
      <w:r w:rsidR="004A3F26">
        <w:rPr>
          <w:rFonts w:eastAsia="Segoe UI" w:cs="Segoe UI"/>
          <w:lang w:val="en-GB"/>
        </w:rPr>
        <w:t xml:space="preserve">etails on how to join the fund </w:t>
      </w:r>
      <w:r>
        <w:rPr>
          <w:rFonts w:eastAsia="Segoe UI" w:cs="Segoe UI"/>
          <w:lang w:val="en-GB"/>
        </w:rPr>
        <w:t xml:space="preserve">are provided in section </w:t>
      </w:r>
      <w:r w:rsidR="009827B9" w:rsidRPr="00DA14D0">
        <w:rPr>
          <w:rFonts w:eastAsia="Segoe UI" w:cs="Segoe UI"/>
          <w:lang w:val="en-GB"/>
        </w:rPr>
        <w:fldChar w:fldCharType="begin"/>
      </w:r>
      <w:r w:rsidR="009827B9" w:rsidRPr="00DA14D0">
        <w:rPr>
          <w:rFonts w:eastAsia="Segoe UI" w:cs="Segoe UI"/>
          <w:lang w:val="en-GB"/>
        </w:rPr>
        <w:instrText xml:space="preserve"> REF _Ref204460177 \h </w:instrText>
      </w:r>
      <w:r w:rsidR="009827B9" w:rsidRPr="00DA14D0">
        <w:rPr>
          <w:rFonts w:eastAsia="Segoe UI" w:cs="Segoe UI"/>
          <w:lang w:val="en-GB"/>
        </w:rPr>
      </w:r>
      <w:r w:rsidR="009827B9" w:rsidRPr="00DA14D0">
        <w:rPr>
          <w:rFonts w:eastAsia="Segoe UI" w:cs="Segoe UI"/>
          <w:lang w:val="en-GB"/>
        </w:rPr>
        <w:fldChar w:fldCharType="separate"/>
      </w:r>
      <w:r w:rsidR="009827B9" w:rsidRPr="00DA14D0">
        <w:t>Joining the fund and employer contribution rate setting and monitoring</w:t>
      </w:r>
      <w:r w:rsidR="009827B9" w:rsidRPr="00DA14D0">
        <w:rPr>
          <w:rFonts w:eastAsia="Segoe UI" w:cs="Segoe UI"/>
          <w:lang w:val="en-GB"/>
        </w:rPr>
        <w:fldChar w:fldCharType="end"/>
      </w:r>
      <w:r w:rsidRPr="00DA14D0">
        <w:rPr>
          <w:rFonts w:eastAsia="Segoe UI" w:cs="Segoe UI"/>
          <w:lang w:val="en-GB"/>
        </w:rPr>
        <w:t>.</w:t>
      </w:r>
    </w:p>
    <w:p w14:paraId="26EE9D07" w14:textId="77777777" w:rsidR="00B53BF6" w:rsidRDefault="00B53BF6" w:rsidP="00B53BF6">
      <w:pPr>
        <w:pStyle w:val="Heading3"/>
      </w:pPr>
      <w:r>
        <w:t>Security required by admission bodies</w:t>
      </w:r>
    </w:p>
    <w:p w14:paraId="2B0ADB74" w14:textId="39D060A7" w:rsidR="00B53BF6" w:rsidRDefault="00B53BF6" w:rsidP="00B53BF6">
      <w:pPr>
        <w:spacing w:before="240" w:after="240" w:line="276" w:lineRule="auto"/>
      </w:pPr>
      <w:r w:rsidRPr="5162FEF7">
        <w:rPr>
          <w:rFonts w:eastAsia="Segoe UI" w:cs="Segoe UI"/>
          <w:szCs w:val="20"/>
          <w:lang w:val="en-GB"/>
        </w:rPr>
        <w:t xml:space="preserve">Under the </w:t>
      </w:r>
      <w:r>
        <w:rPr>
          <w:rFonts w:eastAsia="Segoe UI" w:cs="Segoe UI"/>
          <w:szCs w:val="20"/>
          <w:lang w:val="en-GB"/>
        </w:rPr>
        <w:t>R</w:t>
      </w:r>
      <w:r w:rsidRPr="5162FEF7">
        <w:rPr>
          <w:rFonts w:eastAsia="Segoe UI" w:cs="Segoe UI"/>
          <w:szCs w:val="20"/>
          <w:lang w:val="en-GB"/>
        </w:rPr>
        <w:t xml:space="preserve">egulations, the </w:t>
      </w:r>
      <w:r w:rsidR="000D7F93">
        <w:rPr>
          <w:rFonts w:eastAsia="Segoe UI" w:cs="Segoe UI"/>
          <w:szCs w:val="20"/>
          <w:lang w:val="en-GB"/>
        </w:rPr>
        <w:t>Administering Authority</w:t>
      </w:r>
      <w:r w:rsidRPr="5162FEF7">
        <w:rPr>
          <w:rFonts w:eastAsia="Segoe UI" w:cs="Segoe UI"/>
          <w:szCs w:val="20"/>
          <w:lang w:val="en-GB"/>
        </w:rPr>
        <w:t xml:space="preserve"> must assess the risk a proposed new admission body poses to the Fund should the admission body become insolvent or go out of business.</w:t>
      </w:r>
    </w:p>
    <w:p w14:paraId="5A91B6AC" w14:textId="6ED5587B" w:rsidR="00B53BF6" w:rsidRDefault="00B53BF6" w:rsidP="00B53BF6">
      <w:pPr>
        <w:spacing w:before="240" w:after="240" w:line="276" w:lineRule="auto"/>
      </w:pPr>
      <w:r w:rsidRPr="5162FEF7">
        <w:rPr>
          <w:rFonts w:eastAsia="Segoe UI" w:cs="Segoe UI"/>
          <w:szCs w:val="20"/>
          <w:lang w:val="en-GB"/>
        </w:rPr>
        <w:t xml:space="preserve">For any proposed new admission bodies who are not joining the Fund using a pass-through arrangement, the new admission body may be required to put in place a bond in accordance with Schedule 2 Part 3 of the Regulations, if required by the letting authority and </w:t>
      </w:r>
      <w:r w:rsidR="000D7F93">
        <w:rPr>
          <w:rFonts w:eastAsia="Segoe UI" w:cs="Segoe UI"/>
          <w:szCs w:val="20"/>
          <w:lang w:val="en-GB"/>
        </w:rPr>
        <w:t>Administering Authority</w:t>
      </w:r>
      <w:r w:rsidRPr="5162FEF7">
        <w:rPr>
          <w:rFonts w:eastAsia="Segoe UI" w:cs="Segoe UI"/>
          <w:szCs w:val="20"/>
          <w:lang w:val="en-GB"/>
        </w:rPr>
        <w:t>.</w:t>
      </w:r>
    </w:p>
    <w:p w14:paraId="2319D3E8" w14:textId="4ABEF9CE" w:rsidR="00B53BF6" w:rsidRDefault="00B53BF6" w:rsidP="00B53BF6">
      <w:pPr>
        <w:spacing w:before="240" w:after="240" w:line="276" w:lineRule="auto"/>
      </w:pPr>
      <w:r w:rsidRPr="5162FEF7">
        <w:rPr>
          <w:rFonts w:eastAsia="Segoe UI" w:cs="Segoe UI"/>
          <w:szCs w:val="20"/>
          <w:lang w:val="en-GB"/>
        </w:rPr>
        <w:t xml:space="preserve">If, for any reason, it is not desirable for a new admission body to enter into a bond, the new admission body may provide an alternative form of security which is satisfactory to the </w:t>
      </w:r>
      <w:r w:rsidR="000D7F93">
        <w:rPr>
          <w:rFonts w:eastAsia="Segoe UI" w:cs="Segoe UI"/>
          <w:szCs w:val="20"/>
          <w:lang w:val="en-GB"/>
        </w:rPr>
        <w:t>Administering Authority</w:t>
      </w:r>
      <w:r w:rsidRPr="5162FEF7">
        <w:rPr>
          <w:rFonts w:eastAsia="Segoe UI" w:cs="Segoe UI"/>
          <w:szCs w:val="20"/>
          <w:lang w:val="en-GB"/>
        </w:rPr>
        <w:t>.</w:t>
      </w:r>
    </w:p>
    <w:p w14:paraId="30E32294" w14:textId="4512617D" w:rsidR="00B53BF6" w:rsidRDefault="00B53BF6" w:rsidP="00103E9D">
      <w:pPr>
        <w:keepNext/>
        <w:keepLines/>
        <w:spacing w:before="240" w:after="240" w:line="276" w:lineRule="auto"/>
      </w:pPr>
      <w:r w:rsidRPr="5162FEF7">
        <w:rPr>
          <w:rFonts w:eastAsia="Segoe UI" w:cs="Segoe UI"/>
          <w:szCs w:val="20"/>
          <w:lang w:val="en-GB"/>
        </w:rPr>
        <w:t xml:space="preserve">This security </w:t>
      </w:r>
      <w:r w:rsidR="0052448A">
        <w:rPr>
          <w:rFonts w:eastAsia="Segoe UI" w:cs="Segoe UI"/>
          <w:szCs w:val="20"/>
          <w:lang w:val="en-GB"/>
        </w:rPr>
        <w:t>may</w:t>
      </w:r>
      <w:r w:rsidR="0052448A" w:rsidRPr="5162FEF7">
        <w:rPr>
          <w:rFonts w:eastAsia="Segoe UI" w:cs="Segoe UI"/>
          <w:szCs w:val="20"/>
          <w:lang w:val="en-GB"/>
        </w:rPr>
        <w:t xml:space="preserve"> </w:t>
      </w:r>
      <w:r w:rsidRPr="5162FEF7">
        <w:rPr>
          <w:rFonts w:eastAsia="Segoe UI" w:cs="Segoe UI"/>
          <w:szCs w:val="20"/>
          <w:lang w:val="en-GB"/>
        </w:rPr>
        <w:t xml:space="preserve">cover some or all </w:t>
      </w:r>
      <w:r>
        <w:rPr>
          <w:rFonts w:eastAsia="Segoe UI" w:cs="Segoe UI"/>
          <w:szCs w:val="20"/>
          <w:lang w:val="en-GB"/>
        </w:rPr>
        <w:t xml:space="preserve">of </w:t>
      </w:r>
      <w:r w:rsidRPr="5162FEF7">
        <w:rPr>
          <w:rFonts w:eastAsia="Segoe UI" w:cs="Segoe UI"/>
          <w:szCs w:val="20"/>
          <w:lang w:val="en-GB"/>
        </w:rPr>
        <w:t>the:</w:t>
      </w:r>
    </w:p>
    <w:p w14:paraId="14B2638E" w14:textId="77777777" w:rsidR="00B53BF6" w:rsidRDefault="00B53BF6" w:rsidP="00103E9D">
      <w:pPr>
        <w:pStyle w:val="List"/>
        <w:keepNext/>
        <w:keepLines/>
      </w:pPr>
      <w:r w:rsidRPr="5162FEF7">
        <w:rPr>
          <w:rFonts w:eastAsia="Segoe UI" w:cs="Segoe UI"/>
        </w:rPr>
        <w:t>strain costs of any early retirements if employees are made redundant when a contract ends prematurely</w:t>
      </w:r>
    </w:p>
    <w:p w14:paraId="1AA2059F" w14:textId="77777777" w:rsidR="00B53BF6" w:rsidRDefault="00B53BF6" w:rsidP="00103E9D">
      <w:pPr>
        <w:pStyle w:val="List"/>
        <w:keepNext/>
        <w:keepLines/>
      </w:pPr>
      <w:r w:rsidRPr="5162FEF7">
        <w:rPr>
          <w:rFonts w:eastAsia="Segoe UI" w:cs="Segoe UI"/>
        </w:rPr>
        <w:t>allowance for the risk of assets performing less well than expected</w:t>
      </w:r>
    </w:p>
    <w:p w14:paraId="54BE5FBB" w14:textId="77777777" w:rsidR="00B53BF6" w:rsidRDefault="00B53BF6" w:rsidP="00103E9D">
      <w:pPr>
        <w:pStyle w:val="List"/>
        <w:keepNext/>
        <w:keepLines/>
      </w:pPr>
      <w:r w:rsidRPr="5162FEF7">
        <w:rPr>
          <w:rFonts w:eastAsia="Segoe UI" w:cs="Segoe UI"/>
        </w:rPr>
        <w:t>allowance for the risk of liabilities being greater than expected</w:t>
      </w:r>
    </w:p>
    <w:p w14:paraId="266B60E7" w14:textId="77777777" w:rsidR="00B53BF6" w:rsidRDefault="00B53BF6" w:rsidP="00103E9D">
      <w:pPr>
        <w:pStyle w:val="List"/>
        <w:keepNext/>
        <w:keepLines/>
      </w:pPr>
      <w:r w:rsidRPr="5162FEF7">
        <w:rPr>
          <w:rFonts w:eastAsia="Segoe UI" w:cs="Segoe UI"/>
        </w:rPr>
        <w:t>allowance for the possible non-payment of employer and member contributions</w:t>
      </w:r>
    </w:p>
    <w:p w14:paraId="00713AD7" w14:textId="77777777" w:rsidR="00B53BF6" w:rsidRPr="00844F44" w:rsidRDefault="00B53BF6" w:rsidP="00103E9D">
      <w:pPr>
        <w:pStyle w:val="List"/>
        <w:keepNext/>
        <w:keepLines/>
      </w:pPr>
      <w:r w:rsidRPr="5162FEF7">
        <w:rPr>
          <w:rFonts w:eastAsia="Segoe UI" w:cs="Segoe UI"/>
        </w:rPr>
        <w:t>admission body’s existing deficit.</w:t>
      </w:r>
    </w:p>
    <w:p w14:paraId="09DF98A3" w14:textId="21E0C85D" w:rsidR="00844F44" w:rsidRDefault="00844F44" w:rsidP="00844F44">
      <w:pPr>
        <w:pStyle w:val="BodyText"/>
      </w:pPr>
      <w:r>
        <w:t>The Fund</w:t>
      </w:r>
      <w:r w:rsidR="00F317B3">
        <w:t xml:space="preserve"> will agree with the employer the security required upon admission to the Fund. </w:t>
      </w:r>
    </w:p>
    <w:p w14:paraId="12EAF112" w14:textId="1D9E16C2" w:rsidR="00B53BF6" w:rsidRDefault="00B53BF6" w:rsidP="00B53BF6">
      <w:pPr>
        <w:pStyle w:val="Heading3"/>
        <w:rPr>
          <w:rFonts w:eastAsia="Segoe UI"/>
        </w:rPr>
      </w:pPr>
      <w:r w:rsidRPr="7122E37C">
        <w:rPr>
          <w:rFonts w:eastAsia="Segoe UI"/>
        </w:rPr>
        <w:t>Risk</w:t>
      </w:r>
      <w:r w:rsidR="1E41B58C" w:rsidRPr="7122E37C">
        <w:rPr>
          <w:rFonts w:eastAsia="Segoe UI"/>
        </w:rPr>
        <w:t xml:space="preserve"> </w:t>
      </w:r>
      <w:r w:rsidRPr="7122E37C">
        <w:rPr>
          <w:rFonts w:eastAsia="Segoe UI"/>
        </w:rPr>
        <w:t>sharing arrangements</w:t>
      </w:r>
    </w:p>
    <w:p w14:paraId="5A2F0466" w14:textId="6F6391E2" w:rsidR="00B53BF6" w:rsidRDefault="00B53BF6" w:rsidP="00B53BF6">
      <w:pPr>
        <w:spacing w:before="240" w:after="240" w:line="276" w:lineRule="auto"/>
      </w:pPr>
      <w:r w:rsidRPr="5162FEF7">
        <w:rPr>
          <w:rFonts w:eastAsia="Segoe UI" w:cs="Segoe UI"/>
          <w:szCs w:val="20"/>
          <w:lang w:val="en-GB"/>
        </w:rPr>
        <w:t xml:space="preserve">Subject to agreement with the </w:t>
      </w:r>
      <w:r w:rsidR="000D7F93">
        <w:rPr>
          <w:rFonts w:eastAsia="Segoe UI" w:cs="Segoe UI"/>
          <w:szCs w:val="20"/>
          <w:lang w:val="en-GB"/>
        </w:rPr>
        <w:t>Administering Authority</w:t>
      </w:r>
      <w:r w:rsidRPr="5162FEF7">
        <w:rPr>
          <w:rFonts w:eastAsia="Segoe UI" w:cs="Segoe UI"/>
          <w:szCs w:val="20"/>
          <w:lang w:val="en-GB"/>
        </w:rPr>
        <w:t xml:space="preserve"> where required, new admission bodies and the relevant letting authority may make a commercial agreement to deal with the pensions risk differently. For example, it may be agreed that all or part of the pensions risk remains with the letting authority.</w:t>
      </w:r>
    </w:p>
    <w:p w14:paraId="5F9ED800" w14:textId="47300DDA" w:rsidR="00B53BF6" w:rsidRDefault="00B53BF6" w:rsidP="001B792E">
      <w:pPr>
        <w:spacing w:before="240" w:after="240" w:line="276" w:lineRule="auto"/>
      </w:pPr>
      <w:r w:rsidRPr="5162FEF7">
        <w:rPr>
          <w:rFonts w:eastAsia="Segoe UI" w:cs="Segoe UI"/>
          <w:szCs w:val="20"/>
          <w:lang w:val="en-GB"/>
        </w:rPr>
        <w:t xml:space="preserve">Although pensions risk may be shared, it is common for the new admission body to remain responsible for </w:t>
      </w:r>
      <w:r w:rsidR="00C63E0D">
        <w:rPr>
          <w:rFonts w:eastAsia="Segoe UI" w:cs="Segoe UI"/>
          <w:szCs w:val="20"/>
          <w:lang w:val="en-GB"/>
        </w:rPr>
        <w:t xml:space="preserve">example, </w:t>
      </w:r>
      <w:r w:rsidRPr="5162FEF7">
        <w:t xml:space="preserve">redundancy and early retirement decisions. </w:t>
      </w:r>
    </w:p>
    <w:p w14:paraId="6BD160BF" w14:textId="14BD72FD" w:rsidR="00B53BF6" w:rsidRDefault="00B53BF6" w:rsidP="00B53BF6">
      <w:pPr>
        <w:spacing w:before="240" w:after="240" w:line="276" w:lineRule="auto"/>
      </w:pPr>
      <w:r w:rsidRPr="7122E37C">
        <w:rPr>
          <w:rFonts w:eastAsia="Segoe UI" w:cs="Segoe UI"/>
          <w:lang w:val="en-GB"/>
        </w:rPr>
        <w:t xml:space="preserve">The </w:t>
      </w:r>
      <w:r w:rsidR="000D7F93">
        <w:rPr>
          <w:rFonts w:eastAsia="Segoe UI" w:cs="Segoe UI"/>
          <w:lang w:val="en-GB"/>
        </w:rPr>
        <w:t>Administering Authority</w:t>
      </w:r>
      <w:r w:rsidRPr="7122E37C">
        <w:rPr>
          <w:rFonts w:eastAsia="Segoe UI" w:cs="Segoe UI"/>
          <w:lang w:val="en-GB"/>
        </w:rPr>
        <w:t xml:space="preserve"> may consider risk</w:t>
      </w:r>
      <w:r w:rsidR="692586E1" w:rsidRPr="7122E37C">
        <w:rPr>
          <w:rFonts w:eastAsia="Segoe UI" w:cs="Segoe UI"/>
          <w:lang w:val="en-GB"/>
        </w:rPr>
        <w:t xml:space="preserve"> </w:t>
      </w:r>
      <w:r w:rsidRPr="7122E37C">
        <w:rPr>
          <w:rFonts w:eastAsia="Segoe UI" w:cs="Segoe UI"/>
          <w:lang w:val="en-GB"/>
        </w:rPr>
        <w:t>sharing arrangements as long as the approach is clearly documented in the admission agreement, the transfer agreement or any other side agreement. The arrangement also should not lead to any undue risk to the other employers in the Fund.</w:t>
      </w:r>
    </w:p>
    <w:p w14:paraId="5A797D0A" w14:textId="6D529B44" w:rsidR="00B53BF6" w:rsidRDefault="00B53BF6" w:rsidP="00B53BF6">
      <w:pPr>
        <w:spacing w:before="240" w:after="240" w:line="276" w:lineRule="auto"/>
      </w:pPr>
      <w:r w:rsidRPr="7122E37C">
        <w:rPr>
          <w:rFonts w:eastAsia="Segoe UI" w:cs="Segoe UI"/>
          <w:lang w:val="en-GB"/>
        </w:rPr>
        <w:t>Legal and actuarial advice in relation to risk</w:t>
      </w:r>
      <w:r w:rsidR="1B4FD348" w:rsidRPr="7122E37C">
        <w:rPr>
          <w:rFonts w:eastAsia="Segoe UI" w:cs="Segoe UI"/>
          <w:lang w:val="en-GB"/>
        </w:rPr>
        <w:t xml:space="preserve"> </w:t>
      </w:r>
      <w:r w:rsidRPr="7122E37C">
        <w:rPr>
          <w:rFonts w:eastAsia="Segoe UI" w:cs="Segoe UI"/>
          <w:lang w:val="en-GB"/>
        </w:rPr>
        <w:t>sharing arrangements should be sought where required.</w:t>
      </w:r>
    </w:p>
    <w:p w14:paraId="01BEDA01" w14:textId="77777777" w:rsidR="00B53BF6" w:rsidRDefault="00B53BF6" w:rsidP="00B53BF6">
      <w:pPr>
        <w:pStyle w:val="Heading3"/>
      </w:pPr>
      <w:r w:rsidRPr="5162FEF7">
        <w:lastRenderedPageBreak/>
        <w:t>Pass-</w:t>
      </w:r>
      <w:r w:rsidRPr="00F258D0">
        <w:t>through</w:t>
      </w:r>
      <w:r w:rsidRPr="5162FEF7">
        <w:t xml:space="preserve"> arrangements</w:t>
      </w:r>
    </w:p>
    <w:p w14:paraId="19170DE8" w14:textId="77777777" w:rsidR="007B5B3F" w:rsidRDefault="007B5B3F" w:rsidP="00B53BF6">
      <w:pPr>
        <w:spacing w:before="240" w:after="240" w:line="276" w:lineRule="auto"/>
      </w:pPr>
      <w:r w:rsidRPr="00BC1AE0">
        <w:t>Under a pass-through arrangement, the letting authority retains the pensions risk. The admission body is responsible for paying the agreed contribution rate and additional costs as set out in each admission agreement e.g. redundancy and early retirement costs</w:t>
      </w:r>
      <w:r>
        <w:t xml:space="preserve">. </w:t>
      </w:r>
    </w:p>
    <w:p w14:paraId="72BE4351" w14:textId="77777777" w:rsidR="00B53BF6" w:rsidRDefault="00B53BF6" w:rsidP="00B53BF6">
      <w:pPr>
        <w:spacing w:before="240" w:after="240" w:line="276" w:lineRule="auto"/>
        <w:rPr>
          <w:rFonts w:eastAsia="Segoe UI" w:cs="Segoe UI"/>
          <w:lang w:val="en-GB"/>
        </w:rPr>
      </w:pPr>
      <w:r w:rsidRPr="73138C69">
        <w:rPr>
          <w:rFonts w:eastAsia="Segoe UI" w:cs="Segoe UI"/>
          <w:lang w:val="en-GB"/>
        </w:rPr>
        <w:t>For any new admission bodies as a result of an outsourcing by an academy trust or a further education body, we understand that where pass-through provisions are in place, the liabilities remain covered by the Department for Education Guarantee.</w:t>
      </w:r>
    </w:p>
    <w:p w14:paraId="08295E75" w14:textId="77777777" w:rsidR="00B53BF6" w:rsidRDefault="00B53BF6" w:rsidP="00B53BF6">
      <w:pPr>
        <w:pStyle w:val="Heading2"/>
      </w:pPr>
      <w:bookmarkStart w:id="28" w:name="_Toc222823322"/>
      <w:r>
        <w:t>Links to administration strategy</w:t>
      </w:r>
      <w:bookmarkEnd w:id="28"/>
    </w:p>
    <w:p w14:paraId="57F775E2" w14:textId="2DCEDC1A" w:rsidR="00244F63" w:rsidRDefault="00CB6D00" w:rsidP="00B53BF6">
      <w:pPr>
        <w:pStyle w:val="BodyText"/>
      </w:pPr>
      <w:r>
        <w:t xml:space="preserve">The </w:t>
      </w:r>
      <w:r w:rsidR="00B81466">
        <w:t>membership data provided by employers is used by the Fund to calculate the contributions due from the employers, on joining the fund, termin</w:t>
      </w:r>
      <w:r w:rsidR="001A6474">
        <w:t xml:space="preserve">ating the fund or between actuarial valuations. </w:t>
      </w:r>
      <w:r w:rsidR="00092D19">
        <w:t xml:space="preserve">Membership data is required for the actuarial valuations, </w:t>
      </w:r>
      <w:r w:rsidR="00B12FAF">
        <w:t>and</w:t>
      </w:r>
      <w:r w:rsidR="00BC4C57">
        <w:t xml:space="preserve"> when the employer joins or terminates the Fund. </w:t>
      </w:r>
      <w:r w:rsidR="001A6474">
        <w:t>The</w:t>
      </w:r>
      <w:r w:rsidR="00F77509">
        <w:t xml:space="preserve"> quality of the data could </w:t>
      </w:r>
      <w:r w:rsidR="00B12FAF">
        <w:t>influence</w:t>
      </w:r>
      <w:r w:rsidR="00F77509">
        <w:t xml:space="preserve"> the contributions that an employer is required to pay. </w:t>
      </w:r>
    </w:p>
    <w:p w14:paraId="361974DD" w14:textId="60CED140" w:rsidR="00B53BF6" w:rsidRPr="00B6045B" w:rsidRDefault="00F77509" w:rsidP="00B53BF6">
      <w:pPr>
        <w:pStyle w:val="BodyText"/>
      </w:pPr>
      <w:r>
        <w:t>The</w:t>
      </w:r>
      <w:r w:rsidR="009C41E7">
        <w:t xml:space="preserve"> Fund’s administrati</w:t>
      </w:r>
      <w:r w:rsidR="009E31B5">
        <w:t>on strategy</w:t>
      </w:r>
      <w:r w:rsidR="009C41E7">
        <w:t xml:space="preserve"> can be </w:t>
      </w:r>
      <w:r w:rsidR="009C41E7" w:rsidRPr="00B12FAF">
        <w:t xml:space="preserve">found </w:t>
      </w:r>
      <w:hyperlink r:id="rId24" w:history="1">
        <w:r w:rsidR="009C41E7" w:rsidRPr="00B12FAF">
          <w:rPr>
            <w:rStyle w:val="Hyperlink"/>
          </w:rPr>
          <w:t>here</w:t>
        </w:r>
      </w:hyperlink>
      <w:r w:rsidR="009C41E7" w:rsidRPr="00B12FAF">
        <w:t>.</w:t>
      </w:r>
    </w:p>
    <w:p w14:paraId="065328DC" w14:textId="52E4D24D" w:rsidR="00B53BF6" w:rsidRDefault="00B53BF6">
      <w:pPr>
        <w:spacing w:after="200" w:line="276" w:lineRule="auto"/>
        <w:rPr>
          <w:rFonts w:ascii="Segoe UI Semibold" w:eastAsiaTheme="majorEastAsia" w:hAnsi="Segoe UI Semibold"/>
          <w:bCs/>
          <w:color w:val="0069B4"/>
          <w:kern w:val="32"/>
          <w:sz w:val="36"/>
          <w:szCs w:val="32"/>
          <w:lang w:val="en-GB" w:bidi="ar-SA"/>
        </w:rPr>
      </w:pPr>
      <w:r>
        <w:br w:type="page"/>
      </w:r>
    </w:p>
    <w:p w14:paraId="60DF68DC" w14:textId="6A363A62" w:rsidR="009A6859" w:rsidRPr="00BE03C5" w:rsidRDefault="009A6859" w:rsidP="009A6859">
      <w:pPr>
        <w:pStyle w:val="Heading1"/>
      </w:pPr>
      <w:bookmarkStart w:id="29" w:name="_Toc222823323"/>
      <w:r>
        <w:lastRenderedPageBreak/>
        <w:t>Section C: Employer events</w:t>
      </w:r>
      <w:bookmarkEnd w:id="29"/>
    </w:p>
    <w:p w14:paraId="75C6A718" w14:textId="3BF04366" w:rsidR="009A6859" w:rsidRPr="00BE03C5" w:rsidRDefault="009A6859" w:rsidP="009A6859">
      <w:pPr>
        <w:pStyle w:val="Heading2"/>
      </w:pPr>
      <w:bookmarkStart w:id="30" w:name="_Ref204460177"/>
      <w:bookmarkStart w:id="31" w:name="_Toc222823324"/>
      <w:r>
        <w:t>Joining the fund and employer contribution rate setting and monitoring</w:t>
      </w:r>
      <w:bookmarkEnd w:id="30"/>
      <w:bookmarkEnd w:id="31"/>
    </w:p>
    <w:p w14:paraId="1DB5F8E9" w14:textId="68527212" w:rsidR="00123E7C" w:rsidRDefault="00123E7C" w:rsidP="00123E7C">
      <w:pPr>
        <w:pStyle w:val="BodyText"/>
      </w:pPr>
      <w:r>
        <w:t>When a new employer joins the Fund, the Fund Actuary is required to set the contribution rates payable by the new employer and allocate a share of Fund assets to the new employer as appropriate</w:t>
      </w:r>
      <w:r w:rsidR="003E42F3">
        <w:t xml:space="preserve"> (unless</w:t>
      </w:r>
      <w:r w:rsidR="00E55317">
        <w:t xml:space="preserve"> the new employer joins under a pass-through arrangement)</w:t>
      </w:r>
      <w:r>
        <w:t>. The most common types of new employers joining the Fund are admission bodies and new academies. These are considered in more detail below.</w:t>
      </w:r>
    </w:p>
    <w:p w14:paraId="5F22A17D" w14:textId="68534E09" w:rsidR="0065348D" w:rsidRPr="00813162" w:rsidRDefault="00583C2C" w:rsidP="00123E7C">
      <w:pPr>
        <w:pStyle w:val="BodyText"/>
      </w:pPr>
      <w:r w:rsidRPr="00983441">
        <w:t xml:space="preserve">When a new employer </w:t>
      </w:r>
      <w:r w:rsidR="00545CC3" w:rsidRPr="00983441">
        <w:t>want</w:t>
      </w:r>
      <w:r w:rsidR="0065348D" w:rsidRPr="00983441">
        <w:t>s</w:t>
      </w:r>
      <w:r w:rsidR="00545CC3" w:rsidRPr="00983441">
        <w:t xml:space="preserve"> to join the Fund, this should be </w:t>
      </w:r>
      <w:r w:rsidR="00545CC3" w:rsidRPr="00946566">
        <w:t xml:space="preserve">approved by </w:t>
      </w:r>
      <w:r w:rsidR="2689C66B" w:rsidRPr="00946566">
        <w:t>the Pensions Committee</w:t>
      </w:r>
      <w:r w:rsidR="00545CC3" w:rsidRPr="00946566">
        <w:t>.</w:t>
      </w:r>
      <w:r w:rsidR="0065348D" w:rsidRPr="00813162">
        <w:t xml:space="preserve"> The new employer will </w:t>
      </w:r>
      <w:r w:rsidR="00F776E4" w:rsidRPr="00813162">
        <w:t xml:space="preserve">automatically </w:t>
      </w:r>
      <w:r w:rsidR="0065348D" w:rsidRPr="00813162">
        <w:t xml:space="preserve">join the appropriate employer category or funding pool as set out in the table in </w:t>
      </w:r>
      <w:r w:rsidR="00814E35">
        <w:t>the</w:t>
      </w:r>
      <w:r w:rsidR="00814E35" w:rsidRPr="00813162">
        <w:t xml:space="preserve"> </w:t>
      </w:r>
      <w:r w:rsidR="009308E8">
        <w:t xml:space="preserve">section </w:t>
      </w:r>
      <w:r w:rsidR="00814E35">
        <w:fldChar w:fldCharType="begin"/>
      </w:r>
      <w:r w:rsidR="00814E35">
        <w:instrText xml:space="preserve"> REF _Ref204168845 \h </w:instrText>
      </w:r>
      <w:r w:rsidR="00814E35">
        <w:fldChar w:fldCharType="separate"/>
      </w:r>
      <w:r w:rsidR="00814E35">
        <w:t xml:space="preserve">Summary of </w:t>
      </w:r>
      <w:r w:rsidR="00814E35" w:rsidRPr="00BF1746">
        <w:t>funding approach</w:t>
      </w:r>
      <w:r w:rsidR="00814E35">
        <w:fldChar w:fldCharType="end"/>
      </w:r>
      <w:r w:rsidR="009308E8">
        <w:t>,</w:t>
      </w:r>
      <w:r w:rsidR="00814E35">
        <w:t xml:space="preserve"> </w:t>
      </w:r>
      <w:r w:rsidR="00F776E4" w:rsidRPr="00813162">
        <w:t xml:space="preserve">unless representations are made by the employer to the Fund </w:t>
      </w:r>
      <w:r w:rsidR="00F776E4" w:rsidRPr="00946566">
        <w:t>via the Fund officer</w:t>
      </w:r>
      <w:r w:rsidR="00946566">
        <w:t>s</w:t>
      </w:r>
      <w:r w:rsidR="00F776E4" w:rsidRPr="00946566">
        <w:t xml:space="preserve">. </w:t>
      </w:r>
    </w:p>
    <w:p w14:paraId="646ADC33" w14:textId="7C6EB423" w:rsidR="00545CC3" w:rsidRPr="00813162" w:rsidRDefault="00525EFD" w:rsidP="00123E7C">
      <w:pPr>
        <w:pStyle w:val="BodyText"/>
      </w:pPr>
      <w:r w:rsidRPr="00813162">
        <w:t xml:space="preserve">A new employer must provide membership data </w:t>
      </w:r>
      <w:r w:rsidR="00272DA7" w:rsidRPr="00813162">
        <w:t xml:space="preserve">where the data is as </w:t>
      </w:r>
      <w:r w:rsidRPr="00813162">
        <w:t>at the date of joining the Fund</w:t>
      </w:r>
      <w:r w:rsidR="00272DA7" w:rsidRPr="00813162">
        <w:t xml:space="preserve">. </w:t>
      </w:r>
      <w:r w:rsidRPr="00813162">
        <w:t xml:space="preserve">The data should be of good quality as it is used </w:t>
      </w:r>
      <w:r w:rsidR="00272DA7" w:rsidRPr="00813162">
        <w:t xml:space="preserve">by the Fund </w:t>
      </w:r>
      <w:r w:rsidR="00244F63">
        <w:t>A</w:t>
      </w:r>
      <w:r w:rsidR="00272DA7" w:rsidRPr="00813162">
        <w:t xml:space="preserve">ctuary </w:t>
      </w:r>
      <w:r w:rsidRPr="00813162">
        <w:t>to calculate the funding level and employer contribution rates</w:t>
      </w:r>
      <w:r w:rsidR="00272DA7" w:rsidRPr="00813162">
        <w:t xml:space="preserve"> on joining.</w:t>
      </w:r>
    </w:p>
    <w:p w14:paraId="691AD058" w14:textId="77777777" w:rsidR="00123E7C" w:rsidRDefault="00123E7C" w:rsidP="00813162">
      <w:pPr>
        <w:pStyle w:val="Heading3"/>
      </w:pPr>
      <w:bookmarkStart w:id="32" w:name="_Toc16069709"/>
      <w:r>
        <w:t>Admission bodies</w:t>
      </w:r>
      <w:bookmarkEnd w:id="32"/>
    </w:p>
    <w:p w14:paraId="44B7A7AB" w14:textId="2C188C62" w:rsidR="00123E7C" w:rsidRDefault="00123E7C" w:rsidP="00123E7C">
      <w:pPr>
        <w:pStyle w:val="BodyText"/>
      </w:pPr>
      <w:r>
        <w:t xml:space="preserve">New admission bodies in the Fund are commonly a result of a transfer of </w:t>
      </w:r>
      <w:r w:rsidR="00171615">
        <w:t xml:space="preserve">employees </w:t>
      </w:r>
      <w:r>
        <w:t>from an existing employer in the Fund to another body (for example as part of a transfer of services from a council or academy to an external provider under Schedule 2 Part 3 of the Regulations). Typically</w:t>
      </w:r>
      <w:r w:rsidR="007B5B3F">
        <w:t>,</w:t>
      </w:r>
      <w:r>
        <w:t xml:space="preserve"> these transfers will be for a limited period (the contract length), over which the new admission body employer is required to pay contributions into the Fund in respect of the transferred members.</w:t>
      </w:r>
    </w:p>
    <w:p w14:paraId="54A833F2" w14:textId="77777777" w:rsidR="00123E7C" w:rsidRDefault="00123E7C" w:rsidP="00123E7C">
      <w:pPr>
        <w:pStyle w:val="BodyText"/>
      </w:pPr>
      <w:r>
        <w:t>There are two main ways for the Fund to approach a new admission body joining the Fund.</w:t>
      </w:r>
    </w:p>
    <w:p w14:paraId="53DDA92C" w14:textId="77777777" w:rsidR="00123E7C" w:rsidRDefault="00123E7C" w:rsidP="00167545">
      <w:pPr>
        <w:pStyle w:val="BodyText"/>
        <w:numPr>
          <w:ilvl w:val="0"/>
          <w:numId w:val="21"/>
        </w:numPr>
      </w:pPr>
      <w:r>
        <w:t>Full risk transfer</w:t>
      </w:r>
    </w:p>
    <w:p w14:paraId="79AFEA27" w14:textId="4D35E28D" w:rsidR="00123E7C" w:rsidRPr="001B792E" w:rsidRDefault="00123E7C" w:rsidP="00167545">
      <w:pPr>
        <w:pStyle w:val="BodyText"/>
        <w:numPr>
          <w:ilvl w:val="0"/>
          <w:numId w:val="21"/>
        </w:numPr>
      </w:pPr>
      <w:r w:rsidRPr="007B5B3F">
        <w:t>Pass</w:t>
      </w:r>
      <w:r w:rsidR="0555FD87" w:rsidRPr="007B5B3F">
        <w:t>-</w:t>
      </w:r>
      <w:r w:rsidRPr="007B5B3F">
        <w:t>through arrangement</w:t>
      </w:r>
    </w:p>
    <w:p w14:paraId="6CB6CCF5" w14:textId="562F63B7" w:rsidR="00123E7C" w:rsidRPr="007B5B3F" w:rsidRDefault="00123E7C" w:rsidP="00123E7C">
      <w:pPr>
        <w:pStyle w:val="BodyText"/>
        <w:rPr>
          <w:color w:val="464547" w:themeColor="text1"/>
        </w:rPr>
      </w:pPr>
      <w:r w:rsidRPr="007B5B3F">
        <w:rPr>
          <w:color w:val="464547" w:themeColor="text1"/>
        </w:rPr>
        <w:t>More detail around the full risk transfer approach and the pass-through approach are set out below.</w:t>
      </w:r>
      <w:r w:rsidR="00B5543C" w:rsidRPr="007B5B3F">
        <w:rPr>
          <w:color w:val="464547" w:themeColor="text1"/>
        </w:rPr>
        <w:t xml:space="preserve"> </w:t>
      </w:r>
    </w:p>
    <w:p w14:paraId="50B72631" w14:textId="77777777" w:rsidR="00BF6A5D" w:rsidRPr="001B792E" w:rsidRDefault="00BF6A5D" w:rsidP="00D96D5B">
      <w:pPr>
        <w:pStyle w:val="NoSpacing"/>
        <w:rPr>
          <w:b/>
        </w:rPr>
      </w:pPr>
      <w:r w:rsidRPr="001B792E">
        <w:rPr>
          <w:b/>
        </w:rPr>
        <w:t>Approach of the Fund</w:t>
      </w:r>
    </w:p>
    <w:p w14:paraId="0FA7FABE" w14:textId="77777777" w:rsidR="00D96D5B" w:rsidRPr="001B792E" w:rsidRDefault="00D96D5B" w:rsidP="00813162">
      <w:pPr>
        <w:pStyle w:val="NoSpacing"/>
      </w:pPr>
    </w:p>
    <w:p w14:paraId="771C8738" w14:textId="3869ABE8" w:rsidR="00BF6A5D" w:rsidRPr="001B792E" w:rsidRDefault="00BF6A5D" w:rsidP="00BF6A5D">
      <w:pPr>
        <w:pStyle w:val="BodyText"/>
        <w:rPr>
          <w:color w:val="464547" w:themeColor="text1"/>
        </w:rPr>
      </w:pPr>
      <w:r w:rsidRPr="001B792E">
        <w:rPr>
          <w:color w:val="464547" w:themeColor="text1"/>
        </w:rPr>
        <w:t>The admission body becomes responsible for all the pensions risk associated with the benefits accrued by transferring members and the benefits to be accrued over the contract length</w:t>
      </w:r>
      <w:r w:rsidR="0020790B" w:rsidRPr="001B792E">
        <w:rPr>
          <w:color w:val="464547" w:themeColor="text1"/>
        </w:rPr>
        <w:t xml:space="preserve">. </w:t>
      </w:r>
      <w:r w:rsidRPr="001B792E">
        <w:rPr>
          <w:color w:val="464547" w:themeColor="text1"/>
        </w:rPr>
        <w:t xml:space="preserve">However, the </w:t>
      </w:r>
      <w:r w:rsidR="000D7F93" w:rsidRPr="001B792E">
        <w:rPr>
          <w:color w:val="464547" w:themeColor="text1"/>
        </w:rPr>
        <w:t>Administering Authority</w:t>
      </w:r>
      <w:r w:rsidRPr="001B792E">
        <w:rPr>
          <w:color w:val="464547" w:themeColor="text1"/>
        </w:rPr>
        <w:t xml:space="preserve"> may consider requests for a pass-through arrangement from new admission bodies. </w:t>
      </w:r>
    </w:p>
    <w:p w14:paraId="3BE1B755" w14:textId="1C5FBF08" w:rsidR="00123E7C" w:rsidRDefault="00123E7C" w:rsidP="00D96D5B">
      <w:pPr>
        <w:pStyle w:val="NoSpacing"/>
        <w:rPr>
          <w:b/>
          <w:bCs/>
        </w:rPr>
      </w:pPr>
      <w:r w:rsidRPr="00813162">
        <w:rPr>
          <w:b/>
        </w:rPr>
        <w:t>Funding at start of contract</w:t>
      </w:r>
      <w:r w:rsidR="00993FF6" w:rsidRPr="00813162">
        <w:rPr>
          <w:b/>
        </w:rPr>
        <w:t xml:space="preserve"> </w:t>
      </w:r>
      <w:r w:rsidR="00BF6A5D" w:rsidRPr="00813162">
        <w:rPr>
          <w:b/>
        </w:rPr>
        <w:t>(full risk transfer</w:t>
      </w:r>
      <w:r w:rsidR="00177A3A" w:rsidRPr="00813162">
        <w:rPr>
          <w:b/>
        </w:rPr>
        <w:t xml:space="preserve"> only</w:t>
      </w:r>
      <w:r w:rsidR="00BF6A5D" w:rsidRPr="00813162">
        <w:rPr>
          <w:b/>
        </w:rPr>
        <w:t>)</w:t>
      </w:r>
    </w:p>
    <w:p w14:paraId="595D931F" w14:textId="77777777" w:rsidR="00D96D5B" w:rsidRPr="00813162" w:rsidRDefault="00D96D5B" w:rsidP="00526637">
      <w:pPr>
        <w:pStyle w:val="NoSpacing"/>
        <w:rPr>
          <w:b/>
        </w:rPr>
      </w:pPr>
    </w:p>
    <w:p w14:paraId="5D431A1C" w14:textId="27D95BED" w:rsidR="00123E7C" w:rsidRDefault="00E12BB6" w:rsidP="00123E7C">
      <w:pPr>
        <w:pStyle w:val="BodyText"/>
      </w:pPr>
      <w:r>
        <w:t>Under a full risk transfer,</w:t>
      </w:r>
      <w:r w:rsidR="00123E7C">
        <w:t xml:space="preserve"> when a new admission body joins the Fund, they will become responsible for all the pensions risk associated with the benefits accrued by transferring members and the benefits to be accrued over the contract length. In these cases, it may be appropriate that the new admission body is allocated a share of Fund assets equal to the value of the benefits transferred, i.e. the new admission body starts off on a fully funded basis. This is calculated on the relevant funding basis and the opening position may be different when calculated on an alternative basis (e.g. on an accounting basis).</w:t>
      </w:r>
    </w:p>
    <w:p w14:paraId="724D8307" w14:textId="77777777" w:rsidR="00123E7C" w:rsidRDefault="00123E7C" w:rsidP="00123E7C">
      <w:pPr>
        <w:pStyle w:val="BodyText"/>
      </w:pPr>
      <w:r>
        <w:t xml:space="preserve">However, there may be special arrangements made as part of the contract such that a full risk transfer approach is not adopted. In these cases, the initial assets allocated to the new admission body will reflect the level of risk </w:t>
      </w:r>
      <w:r>
        <w:lastRenderedPageBreak/>
        <w:t>transferred and may therefore not be on a fully funded basis or may not reflect the full value of the benefits attributable to the transferring members.</w:t>
      </w:r>
    </w:p>
    <w:p w14:paraId="22A8A219" w14:textId="05409FF9" w:rsidR="00123E7C" w:rsidRDefault="00123E7C" w:rsidP="00D96D5B">
      <w:pPr>
        <w:pStyle w:val="NoSpacing"/>
        <w:rPr>
          <w:b/>
          <w:bCs/>
        </w:rPr>
      </w:pPr>
      <w:r w:rsidRPr="00813162">
        <w:rPr>
          <w:b/>
        </w:rPr>
        <w:t>Contribution rate</w:t>
      </w:r>
      <w:r w:rsidR="00BF6A5D" w:rsidRPr="00813162">
        <w:rPr>
          <w:b/>
        </w:rPr>
        <w:t xml:space="preserve"> </w:t>
      </w:r>
    </w:p>
    <w:p w14:paraId="11D9F6BD" w14:textId="77777777" w:rsidR="00D96D5B" w:rsidRPr="00813162" w:rsidRDefault="00D96D5B" w:rsidP="00526637">
      <w:pPr>
        <w:pStyle w:val="NoSpacing"/>
        <w:rPr>
          <w:b/>
        </w:rPr>
      </w:pPr>
    </w:p>
    <w:p w14:paraId="3A5F6AFB" w14:textId="77777777" w:rsidR="00123E7C" w:rsidRDefault="00123E7C" w:rsidP="00123E7C">
      <w:pPr>
        <w:pStyle w:val="BodyText"/>
      </w:pPr>
      <w:r>
        <w:t>The contribution rate may be set on an open or a closed basis. Where the funding at the start of the contract is on a fully funded basis then the contribution rate will represent the primary rate only; where there is a deficit allocated to the new admission body then the contribution rate will also incorporate a secondary rate with the aim of recovering the deficit over an appropriate recovery period.</w:t>
      </w:r>
    </w:p>
    <w:p w14:paraId="7997E71D" w14:textId="5F7EDB55" w:rsidR="00123E7C" w:rsidRDefault="00123E7C" w:rsidP="00123E7C">
      <w:pPr>
        <w:pStyle w:val="BodyText"/>
      </w:pPr>
      <w:r>
        <w:t xml:space="preserve">Depending on the details of </w:t>
      </w:r>
      <w:r w:rsidR="001C2CA6">
        <w:t>any risk</w:t>
      </w:r>
      <w:r w:rsidR="0058249A">
        <w:t xml:space="preserve"> </w:t>
      </w:r>
      <w:r w:rsidR="001C2CA6">
        <w:t xml:space="preserve">sharing </w:t>
      </w:r>
      <w:r>
        <w:t>arrangement, then additional adjustments may be made to determine the contribution rate payable by the new admission body. The approach in these cases will be bespoke to the individual arrangement</w:t>
      </w:r>
      <w:r w:rsidR="00273EE2">
        <w:t xml:space="preserve"> and agreed between the new employer and the letting authority</w:t>
      </w:r>
      <w:r>
        <w:t>.</w:t>
      </w:r>
    </w:p>
    <w:p w14:paraId="538A2BC2" w14:textId="2C845B81" w:rsidR="00123E7C" w:rsidRPr="001B792E" w:rsidRDefault="009F1311" w:rsidP="00526637">
      <w:pPr>
        <w:pStyle w:val="NoSpacing"/>
        <w:rPr>
          <w:b/>
        </w:rPr>
      </w:pPr>
      <w:r w:rsidRPr="001B792E">
        <w:rPr>
          <w:b/>
        </w:rPr>
        <w:t>Pass-through</w:t>
      </w:r>
      <w:r w:rsidR="008C2843" w:rsidRPr="001B792E">
        <w:rPr>
          <w:b/>
        </w:rPr>
        <w:t xml:space="preserve"> arrangements</w:t>
      </w:r>
    </w:p>
    <w:p w14:paraId="520C8D99" w14:textId="078DBB45" w:rsidR="008C2843" w:rsidRDefault="009F1311" w:rsidP="008C2843">
      <w:pPr>
        <w:spacing w:before="240" w:after="240" w:line="276" w:lineRule="auto"/>
      </w:pPr>
      <w:r w:rsidRPr="001B792E">
        <w:t>Pass-through</w:t>
      </w:r>
      <w:bookmarkStart w:id="33" w:name="_Hlk124975008"/>
      <w:r w:rsidR="008C2843" w:rsidRPr="007B5B3F">
        <w:rPr>
          <w:rFonts w:eastAsia="Segoe UI" w:cs="Segoe UI"/>
          <w:szCs w:val="20"/>
          <w:lang w:val="en-GB"/>
        </w:rPr>
        <w:t xml:space="preserve"> arrangements are allowed for at the </w:t>
      </w:r>
      <w:r w:rsidR="00E727AE" w:rsidRPr="007B5B3F">
        <w:rPr>
          <w:rFonts w:eastAsia="Segoe UI" w:cs="Segoe UI"/>
          <w:szCs w:val="20"/>
          <w:lang w:val="en-GB"/>
        </w:rPr>
        <w:t xml:space="preserve">actuarial </w:t>
      </w:r>
      <w:r w:rsidR="008C2843" w:rsidRPr="007B5B3F">
        <w:rPr>
          <w:rFonts w:eastAsia="Segoe UI" w:cs="Segoe UI"/>
          <w:szCs w:val="20"/>
          <w:lang w:val="en-GB"/>
        </w:rPr>
        <w:t>valuation by allocating any deficit/liabilities covered by the risk</w:t>
      </w:r>
      <w:r w:rsidR="0058249A" w:rsidRPr="007B5B3F">
        <w:rPr>
          <w:rFonts w:eastAsia="Segoe UI" w:cs="Segoe UI"/>
          <w:szCs w:val="20"/>
          <w:lang w:val="en-GB"/>
        </w:rPr>
        <w:t xml:space="preserve"> </w:t>
      </w:r>
      <w:r w:rsidR="008C2843" w:rsidRPr="007B5B3F">
        <w:rPr>
          <w:rFonts w:eastAsia="Segoe UI" w:cs="Segoe UI"/>
          <w:szCs w:val="20"/>
          <w:lang w:val="en-GB"/>
        </w:rPr>
        <w:t>sharing arrangement to the relevant responsible employer.</w:t>
      </w:r>
      <w:r w:rsidR="008C2843" w:rsidRPr="5162FEF7">
        <w:rPr>
          <w:rFonts w:eastAsia="Segoe UI" w:cs="Segoe UI"/>
          <w:szCs w:val="20"/>
          <w:lang w:val="en-GB"/>
        </w:rPr>
        <w:t xml:space="preserve"> </w:t>
      </w:r>
    </w:p>
    <w:p w14:paraId="4090B318" w14:textId="77777777" w:rsidR="00123E7C" w:rsidRDefault="00123E7C" w:rsidP="00526637">
      <w:pPr>
        <w:pStyle w:val="Heading3"/>
      </w:pPr>
      <w:bookmarkStart w:id="34" w:name="_Toc16069710"/>
      <w:bookmarkEnd w:id="33"/>
      <w:r>
        <w:t>New academies</w:t>
      </w:r>
      <w:bookmarkEnd w:id="34"/>
    </w:p>
    <w:p w14:paraId="0A3385A0" w14:textId="77777777" w:rsidR="00123E7C" w:rsidRDefault="00123E7C" w:rsidP="00123E7C">
      <w:pPr>
        <w:pStyle w:val="BodyText"/>
      </w:pPr>
      <w:r>
        <w:t>When a school converts to academy status, the new academy (or the sponsoring multi-academy trust) becomes a Scheme employer in its own right.</w:t>
      </w:r>
    </w:p>
    <w:p w14:paraId="7599FFCC" w14:textId="77777777" w:rsidR="00123E7C" w:rsidRDefault="00123E7C" w:rsidP="00E365FE">
      <w:pPr>
        <w:pStyle w:val="NoSpacing"/>
        <w:rPr>
          <w:b/>
          <w:bCs/>
        </w:rPr>
      </w:pPr>
      <w:r w:rsidRPr="00526637">
        <w:rPr>
          <w:b/>
        </w:rPr>
        <w:t>Funding at start</w:t>
      </w:r>
    </w:p>
    <w:p w14:paraId="317C9C3A" w14:textId="77777777" w:rsidR="00E365FE" w:rsidRPr="00526637" w:rsidRDefault="00E365FE" w:rsidP="00526637">
      <w:pPr>
        <w:pStyle w:val="NoSpacing"/>
        <w:rPr>
          <w:b/>
        </w:rPr>
      </w:pPr>
    </w:p>
    <w:p w14:paraId="078E907D" w14:textId="1277FB2E" w:rsidR="00123E7C" w:rsidRDefault="00123E7C" w:rsidP="00123E7C">
      <w:pPr>
        <w:pStyle w:val="BodyText"/>
      </w:pPr>
      <w:r w:rsidRPr="001B792E">
        <w:t>On conversion to academy status, the new academy will be allocated assets based on the active cover of the relevant local authority at the conversion date. The active cover approach is based on the funding level of the local authority’s active liabilities, after fully funding the local authority’s deferred and pensioner liabilities</w:t>
      </w:r>
      <w:r w:rsidR="0018299B" w:rsidRPr="0018299B">
        <w:t>, subject to a maximum cap on the allocated assets of 100% of the active liabilities</w:t>
      </w:r>
      <w:r w:rsidRPr="001B792E">
        <w:t>.</w:t>
      </w:r>
    </w:p>
    <w:p w14:paraId="0349B67F" w14:textId="77777777" w:rsidR="00123E7C" w:rsidRDefault="00123E7C" w:rsidP="00A166F5">
      <w:pPr>
        <w:pStyle w:val="NoSpacing"/>
        <w:rPr>
          <w:b/>
          <w:bCs/>
        </w:rPr>
      </w:pPr>
      <w:r w:rsidRPr="00526637">
        <w:rPr>
          <w:b/>
        </w:rPr>
        <w:t>Contribution rate</w:t>
      </w:r>
    </w:p>
    <w:p w14:paraId="55C52DCF" w14:textId="77777777" w:rsidR="00A166F5" w:rsidRPr="00526637" w:rsidRDefault="00A166F5" w:rsidP="00526637">
      <w:pPr>
        <w:pStyle w:val="NoSpacing"/>
        <w:rPr>
          <w:b/>
        </w:rPr>
      </w:pPr>
    </w:p>
    <w:p w14:paraId="2CA2A3AF" w14:textId="77777777" w:rsidR="007B5B3F" w:rsidRDefault="00801730" w:rsidP="007B5B3F">
      <w:pPr>
        <w:pStyle w:val="BodyText"/>
      </w:pPr>
      <w:r>
        <w:t xml:space="preserve">The contribution rate will be set on an open basis and </w:t>
      </w:r>
      <w:r w:rsidRPr="002D44E3">
        <w:t>will be calculated taking into account the academy’s individual membership and funding position on conversion</w:t>
      </w:r>
      <w:r>
        <w:t>. Where there is a deficit allocated to the new academy  then the contribution rate will incorporate a secondary rate with the aim of recovering the deficit over an appropriate recovery period</w:t>
      </w:r>
      <w:r w:rsidR="007B5B3F">
        <w:t>.</w:t>
      </w:r>
    </w:p>
    <w:p w14:paraId="22BADE85" w14:textId="73DEA8F5" w:rsidR="009A6859" w:rsidRDefault="009A6859" w:rsidP="007B5B3F">
      <w:pPr>
        <w:pStyle w:val="Heading2"/>
      </w:pPr>
      <w:bookmarkStart w:id="35" w:name="_Ref204266840"/>
      <w:bookmarkStart w:id="36" w:name="_Toc222823325"/>
      <w:r w:rsidRPr="00B12FAF">
        <w:t>Preparing</w:t>
      </w:r>
      <w:r>
        <w:t xml:space="preserve"> for exit and events which may trigger termination</w:t>
      </w:r>
      <w:bookmarkEnd w:id="35"/>
      <w:bookmarkEnd w:id="36"/>
    </w:p>
    <w:p w14:paraId="667729BB" w14:textId="06BF1A98" w:rsidR="78D3CF02" w:rsidRDefault="78D3CF02" w:rsidP="008474DB">
      <w:pPr>
        <w:pStyle w:val="NoSpacing1"/>
      </w:pPr>
      <w:r w:rsidRPr="11B4A112">
        <w:rPr>
          <w:lang w:val="en-US"/>
        </w:rPr>
        <w:t xml:space="preserve">A </w:t>
      </w:r>
      <w:r w:rsidRPr="11B4A112" w:rsidDel="004C7887">
        <w:rPr>
          <w:lang w:val="en-US"/>
        </w:rPr>
        <w:t>cessation</w:t>
      </w:r>
      <w:r w:rsidR="004C7887" w:rsidRPr="11B4A112">
        <w:rPr>
          <w:lang w:val="en-US"/>
        </w:rPr>
        <w:t xml:space="preserve"> </w:t>
      </w:r>
      <w:r w:rsidRPr="11B4A112">
        <w:rPr>
          <w:lang w:val="en-US"/>
        </w:rPr>
        <w:t>valuation may be required for many reasons, including:</w:t>
      </w:r>
    </w:p>
    <w:p w14:paraId="395F9234" w14:textId="41167FB8" w:rsidR="78D3CF02" w:rsidRDefault="78D3CF02" w:rsidP="008474DB">
      <w:pPr>
        <w:pStyle w:val="List"/>
      </w:pPr>
      <w:r w:rsidRPr="62DD8BBA">
        <w:t>the last active member ceasing participation in the Fund</w:t>
      </w:r>
    </w:p>
    <w:p w14:paraId="2C19A81D" w14:textId="2AC1601F" w:rsidR="78D3CF02" w:rsidRDefault="78D3CF02" w:rsidP="008474DB">
      <w:pPr>
        <w:pStyle w:val="List"/>
      </w:pPr>
      <w:r w:rsidRPr="62DD8BBA">
        <w:t xml:space="preserve">the contract / admission agreement expiring </w:t>
      </w:r>
    </w:p>
    <w:p w14:paraId="25596518" w14:textId="2239B136" w:rsidR="78D3CF02" w:rsidRDefault="78D3CF02" w:rsidP="008474DB">
      <w:pPr>
        <w:pStyle w:val="List"/>
      </w:pPr>
      <w:r w:rsidRPr="62DD8BBA">
        <w:t>Insolvency or wind up of the admission body</w:t>
      </w:r>
    </w:p>
    <w:p w14:paraId="6CF0300C" w14:textId="0B11D2D5" w:rsidR="78D3CF02" w:rsidRDefault="78D3CF02" w:rsidP="008474DB">
      <w:pPr>
        <w:pStyle w:val="List"/>
      </w:pPr>
      <w:r w:rsidRPr="62DD8BBA">
        <w:t xml:space="preserve">Termination of a deferred debt </w:t>
      </w:r>
      <w:r w:rsidR="00B41F17">
        <w:t>agreement</w:t>
      </w:r>
      <w:r w:rsidRPr="62DD8BBA">
        <w:t xml:space="preserve"> (DDA)</w:t>
      </w:r>
    </w:p>
    <w:p w14:paraId="5FC0B541" w14:textId="363341C1" w:rsidR="78D3CF02" w:rsidRDefault="78D3CF02" w:rsidP="008474DB">
      <w:pPr>
        <w:pStyle w:val="List"/>
      </w:pPr>
      <w:r w:rsidRPr="62DD8BBA">
        <w:t>A breach of the contract e.g. failure to pay contributions within the required period</w:t>
      </w:r>
    </w:p>
    <w:p w14:paraId="7E532D48" w14:textId="28A133A3" w:rsidR="001A692A" w:rsidRPr="0078167A" w:rsidRDefault="002F7089" w:rsidP="3CA178B6">
      <w:pPr>
        <w:pStyle w:val="NoSpacing1"/>
        <w:rPr>
          <w:highlight w:val="yellow"/>
          <w:lang w:val="en-US"/>
        </w:rPr>
      </w:pPr>
      <w:r w:rsidRPr="11B4A112">
        <w:rPr>
          <w:lang w:val="en-US"/>
        </w:rPr>
        <w:t>If an employer wants to leav</w:t>
      </w:r>
      <w:r w:rsidR="005429D3" w:rsidRPr="11B4A112">
        <w:rPr>
          <w:lang w:val="en-US"/>
        </w:rPr>
        <w:t>e the Fund, the</w:t>
      </w:r>
      <w:r w:rsidR="00237422" w:rsidRPr="11B4A112">
        <w:rPr>
          <w:lang w:val="en-US"/>
        </w:rPr>
        <w:t xml:space="preserve">y should </w:t>
      </w:r>
      <w:r w:rsidR="00886A7B" w:rsidRPr="11B4A112">
        <w:rPr>
          <w:lang w:val="en-US"/>
        </w:rPr>
        <w:t>notify the Fund</w:t>
      </w:r>
      <w:r w:rsidR="786C55F7" w:rsidRPr="11B4A112">
        <w:rPr>
          <w:lang w:val="en-US"/>
        </w:rPr>
        <w:t xml:space="preserve"> via </w:t>
      </w:r>
      <w:r w:rsidR="00651E51" w:rsidRPr="00651E51">
        <w:rPr>
          <w:lang w:val="en-US"/>
        </w:rPr>
        <w:t>an initial email enquiry to pensions@lbbd.gov.uk where further information will be provided of the process</w:t>
      </w:r>
      <w:r w:rsidR="00651E51">
        <w:rPr>
          <w:lang w:val="en-US"/>
        </w:rPr>
        <w:t>.</w:t>
      </w:r>
    </w:p>
    <w:p w14:paraId="3D803A8B" w14:textId="5221138B" w:rsidR="00EB329B" w:rsidRDefault="00EB329B" w:rsidP="008474DB">
      <w:pPr>
        <w:pStyle w:val="NoSpacing1"/>
      </w:pPr>
      <w:r w:rsidRPr="11B4A112">
        <w:rPr>
          <w:lang w:val="en-US"/>
        </w:rPr>
        <w:lastRenderedPageBreak/>
        <w:t xml:space="preserve">An employer should provide membership data to the Fund at the date of termination. The Fund needs the membership data before it can calculate the </w:t>
      </w:r>
      <w:r w:rsidR="00066AA7" w:rsidRPr="11B4A112">
        <w:rPr>
          <w:lang w:val="en-US"/>
        </w:rPr>
        <w:t>termination</w:t>
      </w:r>
      <w:r w:rsidRPr="11B4A112">
        <w:rPr>
          <w:lang w:val="en-US"/>
        </w:rPr>
        <w:t xml:space="preserve"> position. An employer can provide data at an earlier date to obtain an indicative termination position. If the termination takes place at a different date or if there are any changes to the membership from the data supplied </w:t>
      </w:r>
      <w:r w:rsidR="007B5B3F" w:rsidRPr="11B4A112">
        <w:rPr>
          <w:lang w:val="en-US"/>
        </w:rPr>
        <w:t>then</w:t>
      </w:r>
      <w:r w:rsidRPr="11B4A112">
        <w:rPr>
          <w:lang w:val="en-US"/>
        </w:rPr>
        <w:t xml:space="preserve"> the termination position should be recalculated.</w:t>
      </w:r>
      <w:r w:rsidR="00FE6051" w:rsidRPr="11B4A112">
        <w:rPr>
          <w:lang w:val="en-US"/>
        </w:rPr>
        <w:t xml:space="preserve"> The membership data should be of good quality as it affects the </w:t>
      </w:r>
      <w:r w:rsidR="00066AA7" w:rsidRPr="11B4A112">
        <w:rPr>
          <w:lang w:val="en-US"/>
        </w:rPr>
        <w:t xml:space="preserve">termination </w:t>
      </w:r>
      <w:r w:rsidR="00FE6051" w:rsidRPr="11B4A112">
        <w:rPr>
          <w:lang w:val="en-US"/>
        </w:rPr>
        <w:t>position</w:t>
      </w:r>
      <w:r w:rsidR="00DC1759" w:rsidRPr="11B4A112">
        <w:rPr>
          <w:lang w:val="en-US"/>
        </w:rPr>
        <w:t xml:space="preserve"> and the amount an employer needs to pay or receive when </w:t>
      </w:r>
      <w:r w:rsidR="00D5656F" w:rsidRPr="11B4A112">
        <w:rPr>
          <w:lang w:val="en-US"/>
        </w:rPr>
        <w:t>exiting</w:t>
      </w:r>
      <w:r w:rsidR="00DC1759" w:rsidRPr="11B4A112">
        <w:rPr>
          <w:lang w:val="en-US"/>
        </w:rPr>
        <w:t xml:space="preserve"> the Fund.</w:t>
      </w:r>
    </w:p>
    <w:p w14:paraId="4F87F22E" w14:textId="59F7A153" w:rsidR="78D3CF02" w:rsidRDefault="78D3CF02" w:rsidP="008474DB">
      <w:pPr>
        <w:pStyle w:val="NoSpacing1"/>
      </w:pPr>
      <w:r w:rsidRPr="11B4A112">
        <w:rPr>
          <w:lang w:val="en-US"/>
        </w:rPr>
        <w:t xml:space="preserve">When a Scheme employer exits the Fund they become an exiting employer, as required under the Regulations the Fund Actuary will be asked to carry out an actuarial valuation </w:t>
      </w:r>
      <w:r w:rsidR="007B5B3F" w:rsidRPr="11B4A112">
        <w:rPr>
          <w:lang w:val="en-US"/>
        </w:rPr>
        <w:t>to</w:t>
      </w:r>
      <w:r w:rsidRPr="11B4A112">
        <w:rPr>
          <w:lang w:val="en-US"/>
        </w:rPr>
        <w:t xml:space="preserve"> determine the liabilities in respect of the benefits held by the exiting employer’s current and former employees. The Fund Actuary is also required to determine the exit payment due from the exiting employer or the exit credit payable to the exiting employer</w:t>
      </w:r>
      <w:r w:rsidR="0020790B" w:rsidRPr="11B4A112">
        <w:rPr>
          <w:lang w:val="en-US"/>
        </w:rPr>
        <w:t xml:space="preserve">. </w:t>
      </w:r>
      <w:r w:rsidR="009C56F8" w:rsidRPr="11B4A112">
        <w:rPr>
          <w:lang w:val="en-US"/>
        </w:rPr>
        <w:t>The exit position will be determined using membership data relating to the date of exit.</w:t>
      </w:r>
    </w:p>
    <w:p w14:paraId="35FA4EB3" w14:textId="24A063A0" w:rsidR="78D3CF02" w:rsidRDefault="78D3CF02" w:rsidP="62DD8BBA">
      <w:pPr>
        <w:pStyle w:val="Heading3"/>
      </w:pPr>
      <w:bookmarkStart w:id="37" w:name="_Ref204267203"/>
      <w:r>
        <w:t>Process for determining the position</w:t>
      </w:r>
      <w:r w:rsidR="3D693A8E">
        <w:t xml:space="preserve"> on termination</w:t>
      </w:r>
      <w:bookmarkEnd w:id="37"/>
    </w:p>
    <w:p w14:paraId="7ADE7AFC" w14:textId="6FFCBDC4" w:rsidR="78D3CF02" w:rsidRDefault="00C777EA" w:rsidP="00DB2354">
      <w:pPr>
        <w:pStyle w:val="NoSpacing1"/>
      </w:pPr>
      <w:r w:rsidRPr="11B4A112">
        <w:rPr>
          <w:lang w:val="en-US"/>
        </w:rPr>
        <w:t xml:space="preserve">The Fund </w:t>
      </w:r>
      <w:r w:rsidR="78D3CF02" w:rsidRPr="11B4A112">
        <w:rPr>
          <w:lang w:val="en-US"/>
        </w:rPr>
        <w:t>need</w:t>
      </w:r>
      <w:r w:rsidRPr="11B4A112">
        <w:rPr>
          <w:lang w:val="en-US"/>
        </w:rPr>
        <w:t>s</w:t>
      </w:r>
      <w:r w:rsidR="78D3CF02" w:rsidRPr="11B4A112">
        <w:rPr>
          <w:lang w:val="en-US"/>
        </w:rPr>
        <w:t xml:space="preserve"> to protect the security of the remaining employers when assessing the position of the exiting employer</w:t>
      </w:r>
      <w:r w:rsidR="0020790B" w:rsidRPr="11B4A112">
        <w:rPr>
          <w:lang w:val="en-US"/>
        </w:rPr>
        <w:t xml:space="preserve">. </w:t>
      </w:r>
      <w:r w:rsidR="78D3CF02" w:rsidRPr="11B4A112">
        <w:rPr>
          <w:lang w:val="en-US"/>
        </w:rPr>
        <w:t xml:space="preserve">In assessing the value of the liabilities attributable to the exiting employer, the Fund Actuary may adopt differing </w:t>
      </w:r>
      <w:r w:rsidR="0088458C" w:rsidRPr="11B4A112">
        <w:rPr>
          <w:lang w:val="en-US"/>
        </w:rPr>
        <w:t xml:space="preserve">actuarial assumptions </w:t>
      </w:r>
      <w:r w:rsidR="78D3CF02" w:rsidRPr="11B4A112">
        <w:rPr>
          <w:lang w:val="en-US"/>
        </w:rPr>
        <w:t xml:space="preserve">depending on the employer and the specific details surrounding the employer’s </w:t>
      </w:r>
      <w:r w:rsidR="7A27B147" w:rsidRPr="11B4A112">
        <w:rPr>
          <w:lang w:val="en-US"/>
        </w:rPr>
        <w:t>termination</w:t>
      </w:r>
      <w:r w:rsidR="008D0ADC" w:rsidRPr="11B4A112">
        <w:rPr>
          <w:lang w:val="en-US"/>
        </w:rPr>
        <w:t xml:space="preserve">. </w:t>
      </w:r>
    </w:p>
    <w:p w14:paraId="49B2EC4A" w14:textId="33986B52" w:rsidR="00934420" w:rsidRDefault="00934420" w:rsidP="20125F8D">
      <w:pPr>
        <w:pStyle w:val="Default"/>
        <w:jc w:val="both"/>
        <w:rPr>
          <w:sz w:val="20"/>
          <w:szCs w:val="20"/>
          <w:lang w:val="en-US"/>
        </w:rPr>
      </w:pPr>
      <w:r w:rsidRPr="20125F8D">
        <w:rPr>
          <w:sz w:val="20"/>
          <w:szCs w:val="20"/>
          <w:lang w:val="en-US"/>
        </w:rPr>
        <w:t>Different valuation approaches are taken depending on the details surrounding the exit of the employer. This generally comes down to the following two questions:</w:t>
      </w:r>
    </w:p>
    <w:p w14:paraId="53D04A49" w14:textId="3941ACF9" w:rsidR="7122E37C" w:rsidRDefault="7122E37C" w:rsidP="7122E37C">
      <w:pPr>
        <w:pStyle w:val="Default"/>
        <w:jc w:val="both"/>
        <w:rPr>
          <w:sz w:val="20"/>
          <w:szCs w:val="20"/>
        </w:rPr>
      </w:pPr>
    </w:p>
    <w:p w14:paraId="1E048A58" w14:textId="77777777" w:rsidR="00934420" w:rsidRPr="00492D7C" w:rsidRDefault="00934420" w:rsidP="00492D7C">
      <w:pPr>
        <w:pStyle w:val="List"/>
        <w:rPr>
          <w:b/>
          <w:bCs/>
        </w:rPr>
      </w:pPr>
      <w:r w:rsidRPr="00492D7C">
        <w:rPr>
          <w:b/>
          <w:bCs/>
        </w:rPr>
        <w:t xml:space="preserve">What is happening to the active members? </w:t>
      </w:r>
    </w:p>
    <w:p w14:paraId="249D2AE6" w14:textId="2B7E1A29" w:rsidR="00934420" w:rsidRDefault="00934420" w:rsidP="00492D7C">
      <w:pPr>
        <w:pStyle w:val="List"/>
        <w:numPr>
          <w:ilvl w:val="0"/>
          <w:numId w:val="0"/>
        </w:numPr>
        <w:ind w:left="720"/>
      </w:pPr>
      <w:r>
        <w:t>For example, at the end of many outsourced contracts, the members may continue in employment with a new contractor. Alternatively, members may be made redundant or transferred to a defined contribution scheme with the same employer.</w:t>
      </w:r>
    </w:p>
    <w:p w14:paraId="78A00A86" w14:textId="77777777" w:rsidR="00002A6B" w:rsidRPr="00492D7C" w:rsidRDefault="00934420" w:rsidP="00492D7C">
      <w:pPr>
        <w:pStyle w:val="List"/>
        <w:rPr>
          <w:b/>
          <w:bCs/>
        </w:rPr>
      </w:pPr>
      <w:r w:rsidRPr="00492D7C">
        <w:rPr>
          <w:b/>
          <w:bCs/>
        </w:rPr>
        <w:t xml:space="preserve">Is there an employer in the Fund willing to underwrite the future pension liabilities? </w:t>
      </w:r>
    </w:p>
    <w:p w14:paraId="48A790DD" w14:textId="247D3FD2" w:rsidR="00934420" w:rsidRDefault="00934420" w:rsidP="00492D7C">
      <w:pPr>
        <w:pStyle w:val="List"/>
        <w:numPr>
          <w:ilvl w:val="0"/>
          <w:numId w:val="0"/>
        </w:numPr>
        <w:ind w:left="720"/>
      </w:pPr>
      <w:r>
        <w:t xml:space="preserve">For example, there may be a guarantor that is compelled to or volunteers to be responsible for any future deficits, or the exiting employer may be entering into a </w:t>
      </w:r>
      <w:r w:rsidR="00443ABE">
        <w:t>d</w:t>
      </w:r>
      <w:r>
        <w:t xml:space="preserve">eferred </w:t>
      </w:r>
      <w:r w:rsidR="00443ABE">
        <w:t>d</w:t>
      </w:r>
      <w:r>
        <w:t xml:space="preserve">ebt </w:t>
      </w:r>
      <w:r w:rsidR="00443ABE">
        <w:t>a</w:t>
      </w:r>
      <w:r w:rsidR="009E08BF">
        <w:t>greement</w:t>
      </w:r>
      <w:r>
        <w:t xml:space="preserve"> (DDA) with the Fund.</w:t>
      </w:r>
    </w:p>
    <w:p w14:paraId="50E41E4A" w14:textId="13F449E1" w:rsidR="00C777EA" w:rsidRDefault="00E06227">
      <w:pPr>
        <w:pStyle w:val="NoSpacing1"/>
      </w:pPr>
      <w:r>
        <w:t xml:space="preserve">The Fund </w:t>
      </w:r>
      <w:r w:rsidR="00E60C0A">
        <w:t xml:space="preserve">classifies a termination into the following </w:t>
      </w:r>
      <w:r w:rsidR="499A9248">
        <w:t>scenarios</w:t>
      </w:r>
      <w:r w:rsidR="00E60C0A">
        <w:t>:</w:t>
      </w:r>
    </w:p>
    <w:tbl>
      <w:tblPr>
        <w:tblW w:w="9429" w:type="dxa"/>
        <w:tblLook w:val="04A0" w:firstRow="1" w:lastRow="0" w:firstColumn="1" w:lastColumn="0" w:noHBand="0" w:noVBand="1"/>
      </w:tblPr>
      <w:tblGrid>
        <w:gridCol w:w="1866"/>
        <w:gridCol w:w="7563"/>
      </w:tblGrid>
      <w:tr w:rsidR="0082091D" w:rsidRPr="00C04496" w14:paraId="3BE69A4B" w14:textId="77777777" w:rsidTr="00944815">
        <w:trPr>
          <w:trHeight w:val="321"/>
        </w:trPr>
        <w:tc>
          <w:tcPr>
            <w:tcW w:w="9429" w:type="dxa"/>
            <w:gridSpan w:val="2"/>
            <w:tcBorders>
              <w:top w:val="single" w:sz="4" w:space="0" w:color="00B0F0"/>
              <w:left w:val="nil"/>
              <w:bottom w:val="single" w:sz="4" w:space="0" w:color="00B0F0"/>
              <w:right w:val="nil"/>
            </w:tcBorders>
            <w:noWrap/>
            <w:vAlign w:val="center"/>
            <w:hideMark/>
          </w:tcPr>
          <w:p w14:paraId="4B23EA76" w14:textId="23BF1BA8" w:rsidR="0082091D" w:rsidRPr="001B792E" w:rsidRDefault="0082091D" w:rsidP="007B5B3F">
            <w:pPr>
              <w:pStyle w:val="Sub-heading"/>
              <w:rPr>
                <w:lang w:eastAsia="en-GB"/>
              </w:rPr>
            </w:pPr>
            <w:r w:rsidRPr="001B792E">
              <w:rPr>
                <w:lang w:eastAsia="en-GB"/>
              </w:rPr>
              <w:t>Cessation scenarios</w:t>
            </w:r>
          </w:p>
        </w:tc>
      </w:tr>
      <w:tr w:rsidR="00C04496" w:rsidRPr="00C04496" w14:paraId="1B3B8350" w14:textId="77777777" w:rsidTr="0078167A">
        <w:trPr>
          <w:trHeight w:val="438"/>
        </w:trPr>
        <w:tc>
          <w:tcPr>
            <w:tcW w:w="1866" w:type="dxa"/>
            <w:tcBorders>
              <w:top w:val="nil"/>
              <w:left w:val="nil"/>
              <w:bottom w:val="nil"/>
              <w:right w:val="nil"/>
            </w:tcBorders>
            <w:hideMark/>
          </w:tcPr>
          <w:p w14:paraId="18B9F887" w14:textId="77777777" w:rsidR="00C04496" w:rsidRPr="001B792E" w:rsidRDefault="00C04496" w:rsidP="007B5B3F">
            <w:pPr>
              <w:rPr>
                <w:rFonts w:eastAsia="Times New Roman" w:cs="Segoe UI"/>
                <w:color w:val="000000"/>
                <w:szCs w:val="20"/>
                <w:lang w:val="en-GB" w:eastAsia="en-GB" w:bidi="ar-SA"/>
              </w:rPr>
            </w:pPr>
            <w:r w:rsidRPr="001B792E">
              <w:rPr>
                <w:rFonts w:eastAsia="Times New Roman" w:cs="Segoe UI"/>
                <w:color w:val="000000"/>
                <w:szCs w:val="20"/>
                <w:lang w:val="en-GB" w:eastAsia="en-GB" w:bidi="ar-SA"/>
              </w:rPr>
              <w:t>Ongoing cessation</w:t>
            </w:r>
          </w:p>
        </w:tc>
        <w:tc>
          <w:tcPr>
            <w:tcW w:w="7563" w:type="dxa"/>
            <w:vMerge w:val="restart"/>
            <w:tcBorders>
              <w:top w:val="single" w:sz="4" w:space="0" w:color="00B0F0"/>
              <w:left w:val="nil"/>
              <w:bottom w:val="nil"/>
              <w:right w:val="nil"/>
            </w:tcBorders>
            <w:hideMark/>
          </w:tcPr>
          <w:p w14:paraId="51A125EA" w14:textId="0BF4C13A" w:rsidR="00C04496" w:rsidRDefault="00C04496" w:rsidP="007B5B3F">
            <w:pPr>
              <w:rPr>
                <w:rFonts w:eastAsia="Times New Roman" w:cs="Segoe UI"/>
                <w:color w:val="000000"/>
                <w:szCs w:val="20"/>
                <w:lang w:val="en-GB" w:eastAsia="en-GB" w:bidi="ar-SA"/>
              </w:rPr>
            </w:pPr>
            <w:r w:rsidRPr="001B792E">
              <w:rPr>
                <w:rFonts w:eastAsia="Times New Roman" w:cs="Segoe UI"/>
                <w:color w:val="000000"/>
                <w:szCs w:val="20"/>
                <w:lang w:val="en-GB" w:eastAsia="en-GB" w:bidi="ar-SA"/>
              </w:rPr>
              <w:t>Any remaining active employees are transferred to another employer in the Fund and the deferred and pensioner liabilities are also picked up by another employer in the Fund. The funding position under this scenario is essentially the current ongoing funding position.</w:t>
            </w:r>
          </w:p>
          <w:p w14:paraId="419470B9" w14:textId="77777777" w:rsidR="007B5B3F" w:rsidRPr="001B792E" w:rsidRDefault="007B5B3F" w:rsidP="007B5B3F">
            <w:pPr>
              <w:rPr>
                <w:rFonts w:eastAsia="Times New Roman" w:cs="Segoe UI"/>
                <w:color w:val="000000"/>
                <w:szCs w:val="20"/>
                <w:lang w:val="en-GB" w:eastAsia="en-GB" w:bidi="ar-SA"/>
              </w:rPr>
            </w:pPr>
          </w:p>
          <w:p w14:paraId="31801F3F" w14:textId="77777777" w:rsidR="00C04496" w:rsidRPr="001B792E" w:rsidRDefault="00C04496" w:rsidP="007B5B3F">
            <w:pPr>
              <w:rPr>
                <w:rFonts w:eastAsia="Times New Roman" w:cs="Segoe UI"/>
                <w:color w:val="000000"/>
                <w:szCs w:val="20"/>
                <w:lang w:val="en-GB" w:eastAsia="en-GB" w:bidi="ar-SA"/>
              </w:rPr>
            </w:pPr>
          </w:p>
        </w:tc>
      </w:tr>
      <w:tr w:rsidR="00C04496" w:rsidRPr="00C04496" w14:paraId="22EEC40D" w14:textId="77777777" w:rsidTr="0078167A">
        <w:trPr>
          <w:trHeight w:val="438"/>
        </w:trPr>
        <w:tc>
          <w:tcPr>
            <w:tcW w:w="1866" w:type="dxa"/>
            <w:tcBorders>
              <w:top w:val="nil"/>
              <w:left w:val="nil"/>
              <w:bottom w:val="nil"/>
              <w:right w:val="nil"/>
            </w:tcBorders>
            <w:hideMark/>
          </w:tcPr>
          <w:p w14:paraId="55295C38" w14:textId="77777777" w:rsidR="00C04496" w:rsidRPr="001B792E" w:rsidRDefault="00C04496" w:rsidP="007B5B3F">
            <w:pPr>
              <w:rPr>
                <w:rFonts w:eastAsia="Times New Roman" w:cs="Segoe UI"/>
                <w:color w:val="000000"/>
                <w:szCs w:val="20"/>
                <w:lang w:val="en-GB" w:eastAsia="en-GB" w:bidi="ar-SA"/>
              </w:rPr>
            </w:pPr>
          </w:p>
        </w:tc>
        <w:tc>
          <w:tcPr>
            <w:tcW w:w="7563" w:type="dxa"/>
            <w:vMerge/>
            <w:tcBorders>
              <w:top w:val="nil"/>
              <w:left w:val="nil"/>
              <w:bottom w:val="nil"/>
              <w:right w:val="nil"/>
            </w:tcBorders>
            <w:vAlign w:val="center"/>
            <w:hideMark/>
          </w:tcPr>
          <w:p w14:paraId="2EC3A71D" w14:textId="77777777" w:rsidR="00C04496" w:rsidRPr="001B792E" w:rsidRDefault="00C04496" w:rsidP="007B5B3F">
            <w:pPr>
              <w:rPr>
                <w:rFonts w:eastAsia="Times New Roman" w:cs="Segoe UI"/>
                <w:color w:val="000000"/>
                <w:szCs w:val="20"/>
                <w:lang w:val="en-GB" w:eastAsia="en-GB" w:bidi="ar-SA"/>
              </w:rPr>
            </w:pPr>
          </w:p>
        </w:tc>
      </w:tr>
      <w:tr w:rsidR="00C04496" w:rsidRPr="00C04496" w14:paraId="3D28A9F1" w14:textId="77777777" w:rsidTr="0078167A">
        <w:trPr>
          <w:trHeight w:val="438"/>
        </w:trPr>
        <w:tc>
          <w:tcPr>
            <w:tcW w:w="1866" w:type="dxa"/>
            <w:tcBorders>
              <w:top w:val="nil"/>
              <w:left w:val="nil"/>
              <w:bottom w:val="nil"/>
              <w:right w:val="nil"/>
            </w:tcBorders>
            <w:hideMark/>
          </w:tcPr>
          <w:p w14:paraId="3CE3E942" w14:textId="77777777" w:rsidR="00C04496" w:rsidRPr="001B792E" w:rsidRDefault="00C04496" w:rsidP="007B5B3F">
            <w:pPr>
              <w:rPr>
                <w:rFonts w:ascii="Times New Roman" w:eastAsia="Times New Roman" w:hAnsi="Times New Roman"/>
                <w:szCs w:val="20"/>
                <w:lang w:val="en-GB" w:eastAsia="en-GB" w:bidi="ar-SA"/>
              </w:rPr>
            </w:pPr>
          </w:p>
        </w:tc>
        <w:tc>
          <w:tcPr>
            <w:tcW w:w="7563" w:type="dxa"/>
            <w:vMerge/>
            <w:tcBorders>
              <w:top w:val="nil"/>
              <w:left w:val="nil"/>
              <w:bottom w:val="nil"/>
              <w:right w:val="nil"/>
            </w:tcBorders>
            <w:vAlign w:val="center"/>
            <w:hideMark/>
          </w:tcPr>
          <w:p w14:paraId="0E786E35" w14:textId="77777777" w:rsidR="00C04496" w:rsidRPr="001B792E" w:rsidRDefault="00C04496" w:rsidP="007B5B3F">
            <w:pPr>
              <w:rPr>
                <w:rFonts w:eastAsia="Times New Roman" w:cs="Segoe UI"/>
                <w:color w:val="000000"/>
                <w:szCs w:val="20"/>
                <w:lang w:val="en-GB" w:eastAsia="en-GB" w:bidi="ar-SA"/>
              </w:rPr>
            </w:pPr>
          </w:p>
        </w:tc>
      </w:tr>
      <w:tr w:rsidR="00C04496" w:rsidRPr="00C04496" w14:paraId="2A7EF26A" w14:textId="77777777" w:rsidTr="0078167A">
        <w:trPr>
          <w:trHeight w:val="438"/>
        </w:trPr>
        <w:tc>
          <w:tcPr>
            <w:tcW w:w="1866" w:type="dxa"/>
            <w:tcBorders>
              <w:top w:val="nil"/>
              <w:left w:val="nil"/>
              <w:bottom w:val="nil"/>
              <w:right w:val="nil"/>
            </w:tcBorders>
            <w:hideMark/>
          </w:tcPr>
          <w:p w14:paraId="5C0C4F5A" w14:textId="77777777" w:rsidR="00C04496" w:rsidRPr="001B792E" w:rsidRDefault="00C04496" w:rsidP="007B5B3F">
            <w:pPr>
              <w:rPr>
                <w:rFonts w:eastAsia="Times New Roman" w:cs="Segoe UI"/>
                <w:color w:val="000000"/>
                <w:szCs w:val="20"/>
                <w:lang w:val="en-GB" w:eastAsia="en-GB" w:bidi="ar-SA"/>
              </w:rPr>
            </w:pPr>
            <w:r w:rsidRPr="001B792E">
              <w:rPr>
                <w:rFonts w:eastAsia="Times New Roman" w:cs="Segoe UI"/>
                <w:color w:val="000000"/>
                <w:szCs w:val="20"/>
                <w:lang w:val="en-GB" w:eastAsia="en-GB" w:bidi="ar-SA"/>
              </w:rPr>
              <w:t>Full cessation</w:t>
            </w:r>
          </w:p>
        </w:tc>
        <w:tc>
          <w:tcPr>
            <w:tcW w:w="7563" w:type="dxa"/>
            <w:vMerge w:val="restart"/>
            <w:tcBorders>
              <w:top w:val="nil"/>
              <w:left w:val="nil"/>
              <w:bottom w:val="nil"/>
              <w:right w:val="nil"/>
            </w:tcBorders>
            <w:hideMark/>
          </w:tcPr>
          <w:p w14:paraId="5F4D1080" w14:textId="47A579E7" w:rsidR="00C04496" w:rsidRPr="001B792E" w:rsidRDefault="00C04496" w:rsidP="007B5B3F">
            <w:pPr>
              <w:rPr>
                <w:rFonts w:eastAsia="Times New Roman" w:cs="Segoe UI"/>
                <w:color w:val="000000"/>
                <w:szCs w:val="20"/>
                <w:lang w:val="en-GB" w:eastAsia="en-GB" w:bidi="ar-SA"/>
              </w:rPr>
            </w:pPr>
            <w:r w:rsidRPr="001B792E">
              <w:rPr>
                <w:rFonts w:eastAsia="Times New Roman" w:cs="Segoe UI"/>
                <w:color w:val="000000"/>
                <w:szCs w:val="20"/>
                <w:lang w:val="en-GB" w:eastAsia="en-GB" w:bidi="ar-SA"/>
              </w:rPr>
              <w:t xml:space="preserve">No employer in the Fund will be responsible for the Employer’s residual liabilities after the Employer’s exit from the Fund. Therefore, an approach using a relative high level of prudence is required </w:t>
            </w:r>
            <w:r w:rsidR="007B5B3F" w:rsidRPr="007B5B3F">
              <w:rPr>
                <w:rFonts w:eastAsia="Times New Roman" w:cs="Segoe UI"/>
                <w:color w:val="000000"/>
                <w:szCs w:val="20"/>
                <w:lang w:val="en-GB" w:eastAsia="en-GB" w:bidi="ar-SA"/>
              </w:rPr>
              <w:t>to</w:t>
            </w:r>
            <w:r w:rsidRPr="001B792E">
              <w:rPr>
                <w:rFonts w:eastAsia="Times New Roman" w:cs="Segoe UI"/>
                <w:color w:val="000000"/>
                <w:szCs w:val="20"/>
                <w:lang w:val="en-GB" w:eastAsia="en-GB" w:bidi="ar-SA"/>
              </w:rPr>
              <w:t xml:space="preserve"> reduce the risk that the assets held in respect of the Employer’s liabilities are not sufficient to pay for the members’ benefits. Any members eligible for unreduced early retirement benefits on redundancy are assumed to become entitled to these.</w:t>
            </w:r>
          </w:p>
        </w:tc>
      </w:tr>
      <w:tr w:rsidR="00C04496" w:rsidRPr="00C04496" w14:paraId="231D73DD" w14:textId="77777777" w:rsidTr="0078167A">
        <w:trPr>
          <w:trHeight w:val="438"/>
        </w:trPr>
        <w:tc>
          <w:tcPr>
            <w:tcW w:w="1866" w:type="dxa"/>
            <w:tcBorders>
              <w:top w:val="nil"/>
              <w:left w:val="nil"/>
              <w:bottom w:val="nil"/>
              <w:right w:val="nil"/>
            </w:tcBorders>
            <w:hideMark/>
          </w:tcPr>
          <w:p w14:paraId="6326A645" w14:textId="77777777" w:rsidR="00C04496" w:rsidRPr="00C04496" w:rsidRDefault="00C04496" w:rsidP="00C04496">
            <w:pPr>
              <w:rPr>
                <w:rFonts w:eastAsia="Times New Roman" w:cs="Segoe UI"/>
                <w:color w:val="000000"/>
                <w:szCs w:val="20"/>
                <w:lang w:val="en-GB" w:eastAsia="en-GB" w:bidi="ar-SA"/>
              </w:rPr>
            </w:pPr>
          </w:p>
        </w:tc>
        <w:tc>
          <w:tcPr>
            <w:tcW w:w="7563" w:type="dxa"/>
            <w:vMerge/>
            <w:tcBorders>
              <w:top w:val="nil"/>
              <w:left w:val="nil"/>
              <w:bottom w:val="nil"/>
              <w:right w:val="nil"/>
            </w:tcBorders>
            <w:vAlign w:val="center"/>
            <w:hideMark/>
          </w:tcPr>
          <w:p w14:paraId="5CC59622" w14:textId="77777777" w:rsidR="00C04496" w:rsidRPr="00C04496" w:rsidRDefault="00C04496" w:rsidP="00C04496">
            <w:pPr>
              <w:rPr>
                <w:rFonts w:eastAsia="Times New Roman" w:cs="Segoe UI"/>
                <w:color w:val="000000"/>
                <w:szCs w:val="20"/>
                <w:lang w:val="en-GB" w:eastAsia="en-GB" w:bidi="ar-SA"/>
              </w:rPr>
            </w:pPr>
          </w:p>
        </w:tc>
      </w:tr>
      <w:tr w:rsidR="00C04496" w:rsidRPr="00C04496" w14:paraId="6B650E7E" w14:textId="77777777" w:rsidTr="0078167A">
        <w:trPr>
          <w:trHeight w:val="438"/>
        </w:trPr>
        <w:tc>
          <w:tcPr>
            <w:tcW w:w="1866" w:type="dxa"/>
            <w:tcBorders>
              <w:top w:val="nil"/>
              <w:left w:val="nil"/>
              <w:bottom w:val="nil"/>
              <w:right w:val="nil"/>
            </w:tcBorders>
            <w:noWrap/>
            <w:vAlign w:val="bottom"/>
            <w:hideMark/>
          </w:tcPr>
          <w:p w14:paraId="3BF2B323" w14:textId="77777777" w:rsidR="00C04496" w:rsidRPr="00C04496" w:rsidRDefault="00C04496" w:rsidP="00C04496">
            <w:pPr>
              <w:rPr>
                <w:rFonts w:ascii="Times New Roman" w:eastAsia="Times New Roman" w:hAnsi="Times New Roman"/>
                <w:szCs w:val="20"/>
                <w:lang w:val="en-GB" w:eastAsia="en-GB" w:bidi="ar-SA"/>
              </w:rPr>
            </w:pPr>
          </w:p>
        </w:tc>
        <w:tc>
          <w:tcPr>
            <w:tcW w:w="7563" w:type="dxa"/>
            <w:vMerge/>
            <w:tcBorders>
              <w:top w:val="nil"/>
              <w:left w:val="nil"/>
              <w:bottom w:val="nil"/>
              <w:right w:val="nil"/>
            </w:tcBorders>
            <w:vAlign w:val="center"/>
            <w:hideMark/>
          </w:tcPr>
          <w:p w14:paraId="68CF14FD" w14:textId="77777777" w:rsidR="00C04496" w:rsidRPr="00C04496" w:rsidRDefault="00C04496" w:rsidP="00C04496">
            <w:pPr>
              <w:rPr>
                <w:rFonts w:eastAsia="Times New Roman" w:cs="Segoe UI"/>
                <w:color w:val="000000"/>
                <w:szCs w:val="20"/>
                <w:lang w:val="en-GB" w:eastAsia="en-GB" w:bidi="ar-SA"/>
              </w:rPr>
            </w:pPr>
          </w:p>
        </w:tc>
      </w:tr>
    </w:tbl>
    <w:p w14:paraId="5702B089" w14:textId="77777777" w:rsidR="00E60C0A" w:rsidRDefault="00E60C0A" w:rsidP="00DB2354">
      <w:pPr>
        <w:pStyle w:val="NoSpacing1"/>
      </w:pPr>
    </w:p>
    <w:p w14:paraId="4C74DF5B" w14:textId="747FC276" w:rsidR="003522BB" w:rsidRDefault="78D3CF02">
      <w:pPr>
        <w:pStyle w:val="NoSpacing1"/>
      </w:pPr>
      <w:r w:rsidRPr="11B4A112">
        <w:rPr>
          <w:lang w:val="en-US"/>
        </w:rPr>
        <w:lastRenderedPageBreak/>
        <w:t xml:space="preserve">For any employer exiting on the ongoing cessation </w:t>
      </w:r>
      <w:r w:rsidR="076F22D5" w:rsidRPr="11B4A112">
        <w:rPr>
          <w:lang w:val="en-US"/>
        </w:rPr>
        <w:t>scenario</w:t>
      </w:r>
      <w:r w:rsidRPr="11B4A112">
        <w:rPr>
          <w:lang w:val="en-US"/>
        </w:rPr>
        <w:t xml:space="preserve">, their valuation will be carried out under the same method and assumptions as the ongoing funding basis. </w:t>
      </w:r>
      <w:r w:rsidR="00C56C98" w:rsidRPr="11B4A112">
        <w:rPr>
          <w:lang w:val="en-US"/>
        </w:rPr>
        <w:t xml:space="preserve">i.e. the </w:t>
      </w:r>
      <w:r w:rsidR="00BB5687" w:rsidRPr="11B4A112">
        <w:rPr>
          <w:lang w:val="en-US"/>
        </w:rPr>
        <w:t xml:space="preserve">funding basis as set out in section </w:t>
      </w:r>
      <w:r w:rsidR="00FB2876" w:rsidRPr="008E2F2F">
        <w:fldChar w:fldCharType="begin"/>
      </w:r>
      <w:r w:rsidR="00FB2876" w:rsidRPr="008E2F2F">
        <w:instrText xml:space="preserve"> REF _Ref204267986 \h </w:instrText>
      </w:r>
      <w:r w:rsidR="008E2F2F">
        <w:instrText xml:space="preserve"> \* MERGEFORMAT </w:instrText>
      </w:r>
      <w:r w:rsidR="00FB2876" w:rsidRPr="008E2F2F">
        <w:fldChar w:fldCharType="separate"/>
      </w:r>
      <w:r w:rsidR="00FB2876" w:rsidRPr="11B4A112">
        <w:rPr>
          <w:lang w:val="en-US"/>
        </w:rPr>
        <w:t>Main actuarial assumptions</w:t>
      </w:r>
      <w:r w:rsidR="00FB2876" w:rsidRPr="008E2F2F">
        <w:fldChar w:fldCharType="end"/>
      </w:r>
      <w:r w:rsidR="003C408F" w:rsidRPr="11B4A112">
        <w:rPr>
          <w:lang w:val="en-US"/>
        </w:rPr>
        <w:t>.</w:t>
      </w:r>
    </w:p>
    <w:p w14:paraId="5C97D0B0" w14:textId="750B99EA" w:rsidR="00BE646C" w:rsidRPr="007B5B3F" w:rsidRDefault="00BE646C">
      <w:pPr>
        <w:pStyle w:val="NoSpacing1"/>
        <w:rPr>
          <w:lang w:val="en-US"/>
        </w:rPr>
      </w:pPr>
      <w:r w:rsidRPr="11B4A112">
        <w:rPr>
          <w:lang w:val="en-US"/>
        </w:rPr>
        <w:t xml:space="preserve">For any employer exiting </w:t>
      </w:r>
      <w:r w:rsidR="3AE2149A" w:rsidRPr="11B4A112">
        <w:rPr>
          <w:lang w:val="en-US"/>
        </w:rPr>
        <w:t>under</w:t>
      </w:r>
      <w:r w:rsidRPr="11B4A112">
        <w:rPr>
          <w:lang w:val="en-US"/>
        </w:rPr>
        <w:t xml:space="preserve"> a full cessation </w:t>
      </w:r>
      <w:r w:rsidR="7F72FBD3" w:rsidRPr="11B4A112">
        <w:rPr>
          <w:lang w:val="en-US"/>
        </w:rPr>
        <w:t>scenario</w:t>
      </w:r>
      <w:r w:rsidRPr="11B4A112">
        <w:rPr>
          <w:lang w:val="en-US"/>
        </w:rPr>
        <w:t>,</w:t>
      </w:r>
      <w:r w:rsidRPr="11B4A112" w:rsidDel="00BE646C">
        <w:rPr>
          <w:lang w:val="en-US"/>
        </w:rPr>
        <w:t xml:space="preserve"> </w:t>
      </w:r>
      <w:r w:rsidR="03232931" w:rsidRPr="11B4A112">
        <w:rPr>
          <w:lang w:val="en-US"/>
        </w:rPr>
        <w:t xml:space="preserve">a </w:t>
      </w:r>
      <w:r w:rsidR="005F5464" w:rsidRPr="11B4A112">
        <w:rPr>
          <w:lang w:val="en-US"/>
        </w:rPr>
        <w:t xml:space="preserve">more prudent discount rate is adopted than for the ongoing basis. </w:t>
      </w:r>
      <w:r w:rsidR="001E4A13" w:rsidRPr="11B4A112">
        <w:rPr>
          <w:lang w:val="en-US"/>
        </w:rPr>
        <w:t xml:space="preserve">All other assumptions are as for the ongoing funding basis. </w:t>
      </w:r>
      <w:r w:rsidR="0091673C" w:rsidRPr="11B4A112">
        <w:rPr>
          <w:lang w:val="en-US"/>
        </w:rPr>
        <w:t xml:space="preserve">The </w:t>
      </w:r>
      <w:r w:rsidR="004E1673" w:rsidRPr="11B4A112">
        <w:rPr>
          <w:lang w:val="en-US"/>
        </w:rPr>
        <w:t xml:space="preserve">more prudent </w:t>
      </w:r>
      <w:r w:rsidR="0091673C" w:rsidRPr="11B4A112">
        <w:rPr>
          <w:lang w:val="en-US"/>
        </w:rPr>
        <w:t xml:space="preserve">discount rate is </w:t>
      </w:r>
      <w:r w:rsidR="00A75304" w:rsidRPr="007B5B3F">
        <w:rPr>
          <w:lang w:val="en-US"/>
        </w:rPr>
        <w:t>determined as follows:</w:t>
      </w:r>
    </w:p>
    <w:p w14:paraId="4FCEAE01" w14:textId="308DCBFE" w:rsidR="00415D80" w:rsidRPr="007B5B3F" w:rsidRDefault="00415D80" w:rsidP="001B792E">
      <w:pPr>
        <w:pStyle w:val="BodyText"/>
      </w:pPr>
      <w:r w:rsidRPr="001B792E">
        <w:t xml:space="preserve">A stochastic analysis was used to assess the “success probabilities” of certain levels of prudence as part of the 2025 valuation. The default approach to calculating the cessation position will be using a discount rate based on the success probability of </w:t>
      </w:r>
      <w:r w:rsidR="00F4725B">
        <w:t>80</w:t>
      </w:r>
      <w:r w:rsidRPr="00F4725B">
        <w:t>%.</w:t>
      </w:r>
      <w:r w:rsidRPr="001B792E">
        <w:t xml:space="preserve"> </w:t>
      </w:r>
    </w:p>
    <w:p w14:paraId="5044C13F" w14:textId="0B3BA204" w:rsidR="3E9030AA" w:rsidRDefault="3E9030AA" w:rsidP="62DD8BBA">
      <w:pPr>
        <w:spacing w:after="200"/>
      </w:pPr>
      <w:r w:rsidRPr="001B792E">
        <w:rPr>
          <w:rFonts w:eastAsia="Segoe UI" w:cs="Segoe UI"/>
          <w:szCs w:val="20"/>
        </w:rPr>
        <w:t>The level of prudence will remain fixed over the inter-valuation period</w:t>
      </w:r>
      <w:r w:rsidR="00415D80" w:rsidRPr="001B792E">
        <w:rPr>
          <w:rFonts w:eastAsia="Segoe UI" w:cs="Segoe UI"/>
          <w:szCs w:val="20"/>
        </w:rPr>
        <w:t xml:space="preserve"> and as a minimum reviewed at each triennial valuation</w:t>
      </w:r>
      <w:r w:rsidRPr="001B792E">
        <w:rPr>
          <w:rFonts w:eastAsia="Segoe UI" w:cs="Segoe UI"/>
          <w:szCs w:val="20"/>
        </w:rPr>
        <w:t>.</w:t>
      </w:r>
    </w:p>
    <w:p w14:paraId="00F36890" w14:textId="7B806F08" w:rsidR="00903CC6" w:rsidRPr="00651710" w:rsidRDefault="78D3CF02" w:rsidP="00903CC6">
      <w:pPr>
        <w:pStyle w:val="NoSpacing1"/>
      </w:pPr>
      <w:r w:rsidRPr="11B4A112">
        <w:rPr>
          <w:lang w:val="en-US"/>
        </w:rPr>
        <w:t xml:space="preserve">Any deficit in the Fund in respect of the exiting employer will be due to the Fund as a single lump sum payment, unless </w:t>
      </w:r>
      <w:r w:rsidR="006C7C62" w:rsidRPr="11B4A112">
        <w:rPr>
          <w:lang w:val="en-US"/>
        </w:rPr>
        <w:t>we</w:t>
      </w:r>
      <w:r w:rsidRPr="11B4A112">
        <w:rPr>
          <w:lang w:val="en-US"/>
        </w:rPr>
        <w:t xml:space="preserve"> agree</w:t>
      </w:r>
      <w:r w:rsidR="00F26EB8" w:rsidRPr="11B4A112">
        <w:rPr>
          <w:lang w:val="en-US"/>
        </w:rPr>
        <w:t xml:space="preserve"> </w:t>
      </w:r>
      <w:r w:rsidR="006C7C62" w:rsidRPr="11B4A112">
        <w:rPr>
          <w:lang w:val="en-US"/>
        </w:rPr>
        <w:t>with</w:t>
      </w:r>
      <w:r w:rsidRPr="11B4A112">
        <w:rPr>
          <w:lang w:val="en-US"/>
        </w:rPr>
        <w:t xml:space="preserve"> the other parties involved that an alternative approach is permissible. </w:t>
      </w:r>
      <w:r w:rsidR="00903CC6" w:rsidRPr="11B4A112">
        <w:rPr>
          <w:lang w:val="en-US"/>
        </w:rPr>
        <w:t xml:space="preserve">Alternative approaches are set out in the Fund’s policy for entering into, monitoring and terminating a DDA or DSA is set out in the DSA and DDA policy in </w:t>
      </w:r>
      <w:r w:rsidR="00FB2876">
        <w:fldChar w:fldCharType="begin"/>
      </w:r>
      <w:r w:rsidR="00FB2876">
        <w:instrText xml:space="preserve"> REF _Ref204268010 \h </w:instrText>
      </w:r>
      <w:r w:rsidR="00FB2876">
        <w:fldChar w:fldCharType="separate"/>
      </w:r>
      <w:r w:rsidR="005A525C" w:rsidRPr="11B4A112">
        <w:rPr>
          <w:lang w:val="en-US"/>
        </w:rPr>
        <w:t>Annex B: Deferred debt agreement and debt spreading arrangement policies</w:t>
      </w:r>
      <w:r w:rsidR="00FB2876">
        <w:fldChar w:fldCharType="end"/>
      </w:r>
      <w:r w:rsidR="00FB2876" w:rsidRPr="11B4A112">
        <w:rPr>
          <w:lang w:val="en-US"/>
        </w:rPr>
        <w:t>.</w:t>
      </w:r>
    </w:p>
    <w:p w14:paraId="49EF9056" w14:textId="0BDAFE7F" w:rsidR="007F392A" w:rsidRDefault="00404632" w:rsidP="62DD8BBA">
      <w:pPr>
        <w:spacing w:after="200"/>
      </w:pPr>
      <w:r>
        <w:rPr>
          <w:rFonts w:eastAsia="Segoe UI" w:cs="Segoe UI"/>
          <w:szCs w:val="20"/>
          <w:lang w:val="en-GB"/>
        </w:rPr>
        <w:t>Any</w:t>
      </w:r>
      <w:r w:rsidR="78D3CF02" w:rsidRPr="62DD8BBA">
        <w:rPr>
          <w:rFonts w:eastAsia="Segoe UI" w:cs="Segoe UI"/>
          <w:szCs w:val="20"/>
          <w:lang w:val="en-GB"/>
        </w:rPr>
        <w:t xml:space="preserve"> surplus in the Fund in respect of the exiting employer may be treated differently to </w:t>
      </w:r>
      <w:r w:rsidR="00E32CC4">
        <w:rPr>
          <w:rFonts w:eastAsia="Segoe UI" w:cs="Segoe UI"/>
          <w:szCs w:val="20"/>
          <w:lang w:val="en-GB"/>
        </w:rPr>
        <w:t>an exit payment,</w:t>
      </w:r>
      <w:r w:rsidR="78D3CF02" w:rsidRPr="62DD8BBA">
        <w:rPr>
          <w:rFonts w:eastAsia="Segoe UI" w:cs="Segoe UI"/>
          <w:szCs w:val="20"/>
          <w:lang w:val="en-GB"/>
        </w:rPr>
        <w:t xml:space="preserve"> subject to the agreement between the relevant parties and any legal documentation.</w:t>
      </w:r>
      <w:r w:rsidR="00D2431F">
        <w:rPr>
          <w:rFonts w:eastAsia="Segoe UI" w:cs="Segoe UI"/>
          <w:szCs w:val="20"/>
          <w:lang w:val="en-GB"/>
        </w:rPr>
        <w:t xml:space="preserve"> </w:t>
      </w:r>
      <w:r w:rsidR="00F83106" w:rsidRPr="62DD8BBA">
        <w:t>The L</w:t>
      </w:r>
      <w:r w:rsidR="00F83106">
        <w:t>GPS</w:t>
      </w:r>
      <w:r w:rsidR="00F83106" w:rsidRPr="62DD8BBA">
        <w:t xml:space="preserve"> (Amendment) Regulations 2018 allow administering authorities to make an exit credit payment to exiting employers. </w:t>
      </w:r>
      <w:r w:rsidR="00AD309E">
        <w:t>The Fund’s exit credi</w:t>
      </w:r>
      <w:r w:rsidR="00F83106">
        <w:t xml:space="preserve">t policy is here </w:t>
      </w:r>
      <w:r w:rsidR="00FB2876" w:rsidRPr="004D42EA">
        <w:fldChar w:fldCharType="begin"/>
      </w:r>
      <w:r w:rsidR="00FB2876" w:rsidRPr="004D42EA">
        <w:instrText xml:space="preserve"> REF _Ref204268027 \h </w:instrText>
      </w:r>
      <w:r w:rsidR="00FB2876">
        <w:instrText xml:space="preserve"> \* MERGEFORMAT </w:instrText>
      </w:r>
      <w:r w:rsidR="00FB2876" w:rsidRPr="004D42EA">
        <w:fldChar w:fldCharType="separate"/>
      </w:r>
      <w:r w:rsidR="00FB2876" w:rsidRPr="00FB2876">
        <w:t>Annex C: Exit Credit Policy</w:t>
      </w:r>
      <w:r w:rsidR="00FB2876" w:rsidRPr="004D42EA">
        <w:fldChar w:fldCharType="end"/>
      </w:r>
      <w:r w:rsidR="00FB2876" w:rsidRPr="004D42EA">
        <w:t>.</w:t>
      </w:r>
    </w:p>
    <w:p w14:paraId="5195B89F" w14:textId="046D7B14" w:rsidR="00E24687" w:rsidRDefault="00F3194A" w:rsidP="62DD8BBA">
      <w:pPr>
        <w:spacing w:after="200"/>
      </w:pPr>
      <w:r>
        <w:t>The</w:t>
      </w:r>
      <w:r w:rsidR="00B47622">
        <w:t xml:space="preserve"> decision made by the </w:t>
      </w:r>
      <w:r w:rsidR="000D7F93">
        <w:t>Administering Authority</w:t>
      </w:r>
      <w:r w:rsidR="00B47622">
        <w:t xml:space="preserve"> is final, however </w:t>
      </w:r>
      <w:r w:rsidR="005C797A">
        <w:t xml:space="preserve">if the </w:t>
      </w:r>
      <w:r w:rsidR="001E7A79">
        <w:t>employer wishes to appeal the decision then</w:t>
      </w:r>
      <w:r w:rsidR="007F33C2">
        <w:t xml:space="preserve"> the</w:t>
      </w:r>
      <w:r w:rsidR="001E7A79">
        <w:t xml:space="preserve"> </w:t>
      </w:r>
      <w:r w:rsidR="00651E51" w:rsidRPr="00651E51">
        <w:t>appeal</w:t>
      </w:r>
      <w:r w:rsidR="007F33C2">
        <w:t xml:space="preserve"> should be made</w:t>
      </w:r>
      <w:r w:rsidR="00651E51" w:rsidRPr="00651E51">
        <w:t xml:space="preserve"> to</w:t>
      </w:r>
      <w:r w:rsidR="007F33C2">
        <w:t xml:space="preserve"> the</w:t>
      </w:r>
      <w:r w:rsidR="00651E51" w:rsidRPr="00651E51">
        <w:t xml:space="preserve"> Strategic Director </w:t>
      </w:r>
      <w:r w:rsidR="007F33C2">
        <w:t xml:space="preserve">of </w:t>
      </w:r>
      <w:r w:rsidR="00651E51" w:rsidRPr="00651E51">
        <w:t>Resources.</w:t>
      </w:r>
    </w:p>
    <w:p w14:paraId="2D0B0B94" w14:textId="0E853EEF" w:rsidR="009A6859" w:rsidRPr="00BE03C5" w:rsidRDefault="009A6859" w:rsidP="009A6859">
      <w:pPr>
        <w:pStyle w:val="Heading2"/>
        <w:rPr>
          <w:b/>
          <w:bCs w:val="0"/>
        </w:rPr>
      </w:pPr>
      <w:bookmarkStart w:id="38" w:name="_Toc222823326"/>
      <w:r w:rsidRPr="3AEB75FB">
        <w:t>Deferred debt agreements or debt spreading arrangements</w:t>
      </w:r>
      <w:bookmarkEnd w:id="38"/>
      <w:r w:rsidR="2BCAECAD" w:rsidRPr="3AEB75FB">
        <w:t xml:space="preserve"> </w:t>
      </w:r>
    </w:p>
    <w:p w14:paraId="465C5C7E" w14:textId="34C0C7A7" w:rsidR="009A6859" w:rsidRPr="00651710" w:rsidRDefault="1076ECC1" w:rsidP="009A6859">
      <w:pPr>
        <w:pStyle w:val="NoSpacing1"/>
      </w:pPr>
      <w:r w:rsidRPr="11B4A112">
        <w:rPr>
          <w:lang w:val="en-US"/>
        </w:rPr>
        <w:t>Where a valuation reveals a deficit and an exit payment is due</w:t>
      </w:r>
      <w:r w:rsidR="22D26F11" w:rsidRPr="11B4A112">
        <w:rPr>
          <w:lang w:val="en-US"/>
        </w:rPr>
        <w:t xml:space="preserve"> on termination</w:t>
      </w:r>
      <w:r w:rsidRPr="11B4A112">
        <w:rPr>
          <w:lang w:val="en-US"/>
        </w:rPr>
        <w:t xml:space="preserve">, the expectation is that the employer settles this debt immediately through a single cash payment. However, should it not be possible for the employer to settle this amount, providing the employer puts forward sufficient supporting evidence to the </w:t>
      </w:r>
      <w:r w:rsidR="000D7F93" w:rsidRPr="11B4A112">
        <w:rPr>
          <w:lang w:val="en-US"/>
        </w:rPr>
        <w:t>Administering Authority</w:t>
      </w:r>
      <w:r w:rsidRPr="11B4A112">
        <w:rPr>
          <w:lang w:val="en-US"/>
        </w:rPr>
        <w:t xml:space="preserve">, the </w:t>
      </w:r>
      <w:r w:rsidR="000D7F93" w:rsidRPr="11B4A112">
        <w:rPr>
          <w:lang w:val="en-US"/>
        </w:rPr>
        <w:t>Administering Authority</w:t>
      </w:r>
      <w:r w:rsidRPr="11B4A112">
        <w:rPr>
          <w:lang w:val="en-US"/>
        </w:rPr>
        <w:t xml:space="preserve"> may agree a deferred debt agreement (DDA) with the employer under Regulation 64(7A) or a debt spreading arrangement (DSA) under Regulation 64B. </w:t>
      </w:r>
    </w:p>
    <w:p w14:paraId="527D764E" w14:textId="4D91D93A" w:rsidR="003522BB" w:rsidRPr="00651710" w:rsidRDefault="00AE5053" w:rsidP="009A6859">
      <w:pPr>
        <w:pStyle w:val="NoSpacing1"/>
      </w:pPr>
      <w:r w:rsidRPr="11B4A112">
        <w:rPr>
          <w:lang w:val="en-US"/>
        </w:rPr>
        <w:t xml:space="preserve">The Fund’s </w:t>
      </w:r>
      <w:r w:rsidR="1076ECC1" w:rsidRPr="11B4A112">
        <w:rPr>
          <w:lang w:val="en-US"/>
        </w:rPr>
        <w:t xml:space="preserve">policy for entering into, monitoring and terminating a DDA or DSA is set out in </w:t>
      </w:r>
      <w:r w:rsidR="00FE7AF9" w:rsidRPr="11B4A112">
        <w:rPr>
          <w:lang w:val="en-US"/>
        </w:rPr>
        <w:t>the</w:t>
      </w:r>
      <w:r w:rsidR="1076ECC1" w:rsidRPr="11B4A112">
        <w:rPr>
          <w:lang w:val="en-US"/>
        </w:rPr>
        <w:t xml:space="preserve"> DSA and DDA polic</w:t>
      </w:r>
      <w:r w:rsidR="00FE7AF9" w:rsidRPr="11B4A112">
        <w:rPr>
          <w:lang w:val="en-US"/>
        </w:rPr>
        <w:t>y</w:t>
      </w:r>
      <w:r w:rsidR="1076ECC1" w:rsidRPr="11B4A112">
        <w:rPr>
          <w:lang w:val="en-US"/>
        </w:rPr>
        <w:t xml:space="preserve"> </w:t>
      </w:r>
      <w:r w:rsidR="00C8632C" w:rsidRPr="11B4A112">
        <w:rPr>
          <w:lang w:val="en-US"/>
        </w:rPr>
        <w:t xml:space="preserve">in </w:t>
      </w:r>
      <w:r w:rsidR="00FB2876">
        <w:fldChar w:fldCharType="begin"/>
      </w:r>
      <w:r w:rsidR="00FB2876">
        <w:instrText xml:space="preserve"> REF _Ref204268063 \h </w:instrText>
      </w:r>
      <w:r w:rsidR="00FB2876">
        <w:fldChar w:fldCharType="separate"/>
      </w:r>
      <w:r w:rsidR="005A525C" w:rsidRPr="11B4A112">
        <w:rPr>
          <w:lang w:val="en-US"/>
        </w:rPr>
        <w:t>Annex B: Deferred debt agreement and debt spreading arrangement policies</w:t>
      </w:r>
      <w:r w:rsidR="00FB2876">
        <w:fldChar w:fldCharType="end"/>
      </w:r>
      <w:r w:rsidR="00FB2876" w:rsidRPr="11B4A112">
        <w:rPr>
          <w:lang w:val="en-US"/>
        </w:rPr>
        <w:t>.</w:t>
      </w:r>
    </w:p>
    <w:p w14:paraId="4095B0C5" w14:textId="77777777" w:rsidR="00E4252E" w:rsidRDefault="009A6859" w:rsidP="68D2C35F">
      <w:pPr>
        <w:pStyle w:val="BodyText"/>
      </w:pPr>
      <w:bookmarkStart w:id="39" w:name="_Toc222823327"/>
      <w:r w:rsidRPr="2E7F8F26">
        <w:rPr>
          <w:rStyle w:val="Heading2Char"/>
        </w:rPr>
        <w:t>Partial terminations</w:t>
      </w:r>
      <w:bookmarkEnd w:id="39"/>
      <w:r w:rsidR="28BA3F2E">
        <w:t xml:space="preserve"> </w:t>
      </w:r>
    </w:p>
    <w:p w14:paraId="41B2EE0C" w14:textId="732D8C03" w:rsidR="009D1860" w:rsidRPr="007F33C2" w:rsidRDefault="009D1860" w:rsidP="68D2C35F">
      <w:pPr>
        <w:pStyle w:val="BodyText"/>
        <w:rPr>
          <w:lang w:bidi="en-US"/>
        </w:rPr>
      </w:pPr>
      <w:r>
        <w:rPr>
          <w:lang w:bidi="en-US"/>
        </w:rPr>
        <w:t>A partial termination</w:t>
      </w:r>
      <w:r w:rsidRPr="009D1860">
        <w:rPr>
          <w:lang w:bidi="en-US"/>
        </w:rPr>
        <w:t xml:space="preserve"> is where an employer exits the fund for deferred and pensioner members but seeks to </w:t>
      </w:r>
      <w:r w:rsidRPr="007F33C2">
        <w:rPr>
          <w:lang w:bidi="en-US"/>
        </w:rPr>
        <w:t>remain a participating employer for active members.</w:t>
      </w:r>
    </w:p>
    <w:p w14:paraId="18F21E40" w14:textId="09C32C07" w:rsidR="009A6859" w:rsidRPr="007F33C2" w:rsidRDefault="0069310A" w:rsidP="68D2C35F">
      <w:pPr>
        <w:pStyle w:val="BodyText"/>
      </w:pPr>
      <w:r w:rsidRPr="007F33C2">
        <w:t>We</w:t>
      </w:r>
      <w:r w:rsidR="4D2B5000" w:rsidRPr="007F33C2">
        <w:t xml:space="preserve"> will </w:t>
      </w:r>
      <w:r w:rsidR="009B5E99" w:rsidRPr="007F33C2">
        <w:t xml:space="preserve">only </w:t>
      </w:r>
      <w:r w:rsidR="4D2B5000" w:rsidRPr="007F33C2">
        <w:t xml:space="preserve">permit any employer in the Fund to </w:t>
      </w:r>
      <w:r w:rsidR="60154671" w:rsidRPr="007F33C2">
        <w:t xml:space="preserve">complete a partial </w:t>
      </w:r>
      <w:r w:rsidR="009F0ED5" w:rsidRPr="007F33C2">
        <w:t xml:space="preserve">termination </w:t>
      </w:r>
      <w:r w:rsidR="60154671" w:rsidRPr="007F33C2">
        <w:t>from the Fund</w:t>
      </w:r>
      <w:r w:rsidRPr="007F33C2">
        <w:t xml:space="preserve"> apart from under exceptional</w:t>
      </w:r>
      <w:r w:rsidR="007406E2" w:rsidRPr="007F33C2">
        <w:t xml:space="preserve"> circumstances</w:t>
      </w:r>
      <w:r w:rsidR="60154671" w:rsidRPr="007F33C2">
        <w:t xml:space="preserve">. </w:t>
      </w:r>
    </w:p>
    <w:p w14:paraId="22460F51" w14:textId="2D620AB3" w:rsidR="009A6859" w:rsidRPr="007F33C2" w:rsidRDefault="009B5E99" w:rsidP="00B073A0">
      <w:pPr>
        <w:pStyle w:val="BodyText"/>
      </w:pPr>
      <w:r w:rsidRPr="007F33C2">
        <w:t>Exceptional circumstances are unlikely to be demonstrated unless all of the following criteria are met</w:t>
      </w:r>
      <w:r w:rsidR="4FC4B0FC" w:rsidRPr="007F33C2">
        <w:t>:</w:t>
      </w:r>
    </w:p>
    <w:p w14:paraId="041D1572" w14:textId="3AF6D168" w:rsidR="67B187A2" w:rsidRPr="007F33C2" w:rsidRDefault="53E8C36A" w:rsidP="00F2122E">
      <w:pPr>
        <w:pStyle w:val="List"/>
      </w:pPr>
      <w:r w:rsidRPr="007F33C2">
        <w:t xml:space="preserve">A sufficient surplus on the </w:t>
      </w:r>
      <w:r w:rsidR="000B01A9" w:rsidRPr="007F33C2">
        <w:t xml:space="preserve">valuation </w:t>
      </w:r>
      <w:r w:rsidRPr="007F33C2">
        <w:t xml:space="preserve">basis used to calculate the partial </w:t>
      </w:r>
      <w:r w:rsidR="000B01A9" w:rsidRPr="007F33C2">
        <w:t>termination</w:t>
      </w:r>
      <w:r w:rsidR="00191C9D" w:rsidRPr="007F33C2">
        <w:t>;</w:t>
      </w:r>
    </w:p>
    <w:p w14:paraId="453C47D9" w14:textId="77777777" w:rsidR="00FD5682" w:rsidRPr="007F33C2" w:rsidRDefault="4FC4B0FC" w:rsidP="00F2122E">
      <w:pPr>
        <w:pStyle w:val="List"/>
      </w:pPr>
      <w:r w:rsidRPr="007F33C2">
        <w:t xml:space="preserve">Size of the employer relative to the </w:t>
      </w:r>
      <w:r w:rsidR="5BAEA854" w:rsidRPr="007F33C2">
        <w:t>remain</w:t>
      </w:r>
      <w:r w:rsidRPr="007F33C2">
        <w:t xml:space="preserve">ing </w:t>
      </w:r>
      <w:r w:rsidR="000B01A9" w:rsidRPr="007F33C2">
        <w:t>F</w:t>
      </w:r>
      <w:r w:rsidRPr="007F33C2">
        <w:t>und</w:t>
      </w:r>
      <w:r w:rsidR="036D7B3F" w:rsidRPr="007F33C2">
        <w:t xml:space="preserve"> is not unduly large</w:t>
      </w:r>
      <w:r w:rsidR="00191C9D" w:rsidRPr="007F33C2">
        <w:t xml:space="preserve">; </w:t>
      </w:r>
    </w:p>
    <w:p w14:paraId="05C1422C" w14:textId="55AD4B7F" w:rsidR="4FC4B0FC" w:rsidRPr="007F33C2" w:rsidRDefault="00FD5682" w:rsidP="00F2122E">
      <w:pPr>
        <w:pStyle w:val="List"/>
      </w:pPr>
      <w:r w:rsidRPr="007F33C2">
        <w:lastRenderedPageBreak/>
        <w:t xml:space="preserve">Consistent with the interests of other employers in the Fund; </w:t>
      </w:r>
      <w:r w:rsidR="00191C9D" w:rsidRPr="007F33C2">
        <w:t>and</w:t>
      </w:r>
    </w:p>
    <w:p w14:paraId="537F0C67" w14:textId="72CBA4E5" w:rsidR="6B9785E2" w:rsidRPr="007F33C2" w:rsidRDefault="6B9785E2" w:rsidP="00F2122E">
      <w:pPr>
        <w:pStyle w:val="List"/>
      </w:pPr>
      <w:r w:rsidRPr="007F33C2">
        <w:t>Approval from the Fund Actuary</w:t>
      </w:r>
      <w:r w:rsidR="00191C9D" w:rsidRPr="007F33C2">
        <w:t>.</w:t>
      </w:r>
    </w:p>
    <w:p w14:paraId="119361AD" w14:textId="79D6A075" w:rsidR="63190ABA" w:rsidRDefault="63190ABA" w:rsidP="68D2C35F">
      <w:pPr>
        <w:pStyle w:val="BodyText"/>
      </w:pPr>
      <w:r w:rsidRPr="007F33C2">
        <w:t xml:space="preserve">The basis used to calculate the transfer of assets </w:t>
      </w:r>
      <w:r w:rsidR="009B74E6" w:rsidRPr="007F33C2">
        <w:t>to cove</w:t>
      </w:r>
      <w:r w:rsidR="00C21D7B" w:rsidRPr="007F33C2">
        <w:t xml:space="preserve">r the deferred and pensioner liabilities </w:t>
      </w:r>
      <w:r w:rsidRPr="007F33C2">
        <w:t xml:space="preserve">would be consistent with the approach used </w:t>
      </w:r>
      <w:r w:rsidR="00972C5F" w:rsidRPr="007F33C2">
        <w:t xml:space="preserve">for </w:t>
      </w:r>
      <w:r w:rsidR="00321A02" w:rsidRPr="007F33C2">
        <w:t>the</w:t>
      </w:r>
      <w:r w:rsidR="00BB6C3A" w:rsidRPr="007F33C2">
        <w:t xml:space="preserve"> cessation valuation</w:t>
      </w:r>
      <w:r w:rsidR="5E3A741C" w:rsidRPr="007F33C2">
        <w:t>.</w:t>
      </w:r>
      <w:r w:rsidR="5E3A741C">
        <w:t xml:space="preserve"> </w:t>
      </w:r>
    </w:p>
    <w:p w14:paraId="0B0F32FF" w14:textId="6103A284" w:rsidR="00981DDE" w:rsidRDefault="009A6859" w:rsidP="0001597D">
      <w:pPr>
        <w:pStyle w:val="Heading2"/>
      </w:pPr>
      <w:bookmarkStart w:id="40" w:name="_Toc222823328"/>
      <w:r>
        <w:t>Bulk transfers (both to</w:t>
      </w:r>
      <w:r w:rsidR="007B2D0A">
        <w:t xml:space="preserve"> </w:t>
      </w:r>
      <w:r>
        <w:t>or from the LGPS)</w:t>
      </w:r>
      <w:bookmarkEnd w:id="40"/>
    </w:p>
    <w:p w14:paraId="6C30B207" w14:textId="620C685D" w:rsidR="009A6859" w:rsidRPr="009A6859" w:rsidRDefault="4092B780" w:rsidP="3CA178B6">
      <w:pPr>
        <w:pStyle w:val="BodyText"/>
        <w:rPr>
          <w:rFonts w:eastAsia="Segoe UI" w:cs="Segoe UI"/>
        </w:rPr>
      </w:pPr>
      <w:r>
        <w:t xml:space="preserve">Bulk transfers of </w:t>
      </w:r>
      <w:r w:rsidR="00171615">
        <w:t xml:space="preserve">employees </w:t>
      </w:r>
      <w:r>
        <w:t>into or out of the Fund can take place from other LGPS Funds or non-LGPS Funds.</w:t>
      </w:r>
      <w:r w:rsidR="5DE22CB3">
        <w:t xml:space="preserve"> </w:t>
      </w:r>
    </w:p>
    <w:p w14:paraId="4A3A2112" w14:textId="0E9A388F" w:rsidR="009A6859" w:rsidRPr="009A6859" w:rsidRDefault="5DE22CB3" w:rsidP="3CA178B6">
      <w:pPr>
        <w:pStyle w:val="BodyText"/>
        <w:rPr>
          <w:rFonts w:eastAsia="Segoe UI" w:cs="Segoe UI"/>
        </w:rPr>
      </w:pPr>
      <w:r w:rsidRPr="3CA178B6">
        <w:rPr>
          <w:rFonts w:eastAsia="Segoe UI" w:cs="Segoe UI"/>
        </w:rPr>
        <w:t>A bulk transfer involves a group of employees changing to a new employer in a different Fund or moving along with their existing employer to a new Fund</w:t>
      </w:r>
      <w:r w:rsidR="0020790B">
        <w:rPr>
          <w:rFonts w:eastAsia="Segoe UI" w:cs="Segoe UI"/>
        </w:rPr>
        <w:t xml:space="preserve">. </w:t>
      </w:r>
      <w:r w:rsidRPr="3CA178B6">
        <w:rPr>
          <w:rFonts w:eastAsia="Segoe UI" w:cs="Segoe UI"/>
        </w:rPr>
        <w:t>It is usually triggered by a contract being transferred, a service being restructured, or a merger or acquisition involving an LGPS employer.</w:t>
      </w:r>
    </w:p>
    <w:p w14:paraId="6552B330" w14:textId="7A99443B" w:rsidR="009A6859" w:rsidRPr="009A6859" w:rsidRDefault="5DE22CB3" w:rsidP="00A12FA2">
      <w:pPr>
        <w:spacing w:after="200"/>
        <w:jc w:val="both"/>
        <w:rPr>
          <w:rFonts w:eastAsia="Segoe UI" w:cs="Segoe UI"/>
          <w:szCs w:val="20"/>
          <w:lang w:val="en-GB"/>
        </w:rPr>
      </w:pPr>
      <w:r w:rsidRPr="3CA178B6">
        <w:rPr>
          <w:rFonts w:eastAsia="Segoe UI" w:cs="Segoe UI"/>
          <w:szCs w:val="20"/>
          <w:lang w:val="en-GB"/>
        </w:rPr>
        <w:t>If ten or more members move from one LGPS Fund to another LGPS Fund they are covered by Regulation 103 of the Local Government Pension Scheme Regulations 2013.</w:t>
      </w:r>
    </w:p>
    <w:p w14:paraId="231210CC" w14:textId="3AD5ED49" w:rsidR="009A6859" w:rsidRPr="009A6859" w:rsidRDefault="3B5E0361" w:rsidP="68D2C35F">
      <w:pPr>
        <w:pStyle w:val="BodyText"/>
      </w:pPr>
      <w:r>
        <w:t>A bulk transfer may be required by an issued Direction Order. This is generally in relation to an employer merger, where all the assets and liabilities attributable to the transferring employer in its original Fund are transferred to the receiving Fund.</w:t>
      </w:r>
    </w:p>
    <w:p w14:paraId="5911FF13" w14:textId="1690C0EE" w:rsidR="009A6859" w:rsidRPr="009A6859" w:rsidRDefault="3B5E0361" w:rsidP="68D2C35F">
      <w:pPr>
        <w:pStyle w:val="BodyText"/>
      </w:pPr>
      <w:r>
        <w:t>The employer is responsible for making the Fund aware of any such bulk transfer</w:t>
      </w:r>
      <w:r w:rsidR="009B5E99">
        <w:t>.</w:t>
      </w:r>
      <w:r>
        <w:t xml:space="preserve"> </w:t>
      </w:r>
    </w:p>
    <w:p w14:paraId="68D26876" w14:textId="3EEEF917" w:rsidR="009A6859" w:rsidRPr="009A6859" w:rsidRDefault="4A2A7BE6">
      <w:pPr>
        <w:pStyle w:val="BodyText"/>
      </w:pPr>
      <w:r>
        <w:t>The</w:t>
      </w:r>
      <w:r w:rsidR="4092B780">
        <w:t xml:space="preserve"> Fund Actuary for both Funds </w:t>
      </w:r>
      <w:r w:rsidR="00E22275">
        <w:t>is responsible</w:t>
      </w:r>
      <w:r w:rsidR="00BF102E">
        <w:t xml:space="preserve"> for</w:t>
      </w:r>
      <w:r w:rsidR="4092B780">
        <w:t xml:space="preserve"> negotiat</w:t>
      </w:r>
      <w:r w:rsidR="00BF102E">
        <w:t>ing</w:t>
      </w:r>
      <w:r w:rsidR="4092B780">
        <w:t xml:space="preserve"> the terms for the bulk transfer – specifically the terms by which the value of assets to be paid from one Fund to the other is calculated. </w:t>
      </w:r>
    </w:p>
    <w:p w14:paraId="226C82C1" w14:textId="3D575DE7" w:rsidR="000A3D58" w:rsidRDefault="4092B780" w:rsidP="3CA178B6">
      <w:pPr>
        <w:pStyle w:val="BodyText"/>
        <w:rPr>
          <w:rFonts w:eastAsia="Segoe UI" w:cs="Segoe UI"/>
          <w:lang w:val="en-US"/>
        </w:rPr>
      </w:pPr>
      <w:r>
        <w:t>The agreement will be specific to the situation surrounding each bulk transfer but in general</w:t>
      </w:r>
      <w:r w:rsidR="00ED277A">
        <w:t>, we</w:t>
      </w:r>
      <w:r>
        <w:t xml:space="preserve"> will look to receive the bulk transfer on no less than a fully funded transfer (i.e. the assets paid from the ceding Fund are sufficient to cover the value of the liabilities on the agreed basis).</w:t>
      </w:r>
      <w:r w:rsidR="771710E5" w:rsidRPr="3CA178B6">
        <w:rPr>
          <w:rFonts w:eastAsia="Segoe UI" w:cs="Segoe UI"/>
          <w:lang w:val="en-US"/>
        </w:rPr>
        <w:t xml:space="preserve"> The terms must be acceptable to both Funds and if the Funds and their actuaries cannot reach an agreement then a third actuary is required to step in to determine a reasonable solution</w:t>
      </w:r>
      <w:r w:rsidR="369360D1" w:rsidRPr="3CA178B6">
        <w:rPr>
          <w:rFonts w:eastAsia="Segoe UI" w:cs="Segoe UI"/>
          <w:lang w:val="en-US"/>
        </w:rPr>
        <w:t>.</w:t>
      </w:r>
    </w:p>
    <w:p w14:paraId="66A977B7" w14:textId="637ACD93" w:rsidR="576B1434" w:rsidRDefault="576B1434" w:rsidP="3CA178B6">
      <w:pPr>
        <w:pStyle w:val="BodyText"/>
      </w:pPr>
      <w:r>
        <w:t xml:space="preserve">Membership data will be required in respect of members transferring </w:t>
      </w:r>
      <w:r w:rsidR="6A944388">
        <w:t>and this will be agreed by both Funds involved.</w:t>
      </w:r>
    </w:p>
    <w:p w14:paraId="38CACE15" w14:textId="483BEBF2" w:rsidR="316A3557" w:rsidRDefault="316A3557" w:rsidP="3CA178B6">
      <w:pPr>
        <w:pStyle w:val="BodyText"/>
      </w:pPr>
      <w:r>
        <w:t xml:space="preserve">The Fund actuaries will agree a calculation of the transfer amount and it is the </w:t>
      </w:r>
      <w:r w:rsidR="1ACF5683">
        <w:t xml:space="preserve">original </w:t>
      </w:r>
      <w:r>
        <w:t>Fund’s responsibility to facilitate payment of th</w:t>
      </w:r>
      <w:r w:rsidR="59A0B4E3">
        <w:t>e transfer amount to the receiving Fund.</w:t>
      </w:r>
    </w:p>
    <w:p w14:paraId="05134007" w14:textId="77777777" w:rsidR="00981DDE" w:rsidRDefault="00981DDE" w:rsidP="009A6859">
      <w:pPr>
        <w:pStyle w:val="BodyText"/>
      </w:pPr>
    </w:p>
    <w:p w14:paraId="49E50949" w14:textId="77777777" w:rsidR="00981DDE" w:rsidRPr="009A6859" w:rsidRDefault="00981DDE" w:rsidP="009A6859">
      <w:pPr>
        <w:pStyle w:val="BodyText"/>
      </w:pPr>
    </w:p>
    <w:p w14:paraId="56644CB4" w14:textId="34D3F12D" w:rsidR="00E51FBA" w:rsidRDefault="00E51FBA">
      <w:pPr>
        <w:spacing w:after="200" w:line="276" w:lineRule="auto"/>
        <w:rPr>
          <w:rFonts w:asciiTheme="minorHAnsi" w:hAnsiTheme="minorHAnsi"/>
          <w:lang w:val="en-GB" w:bidi="ar-SA"/>
        </w:rPr>
      </w:pPr>
      <w:r>
        <w:rPr>
          <w:lang w:val="en-GB" w:bidi="ar-SA"/>
        </w:rPr>
        <w:br w:type="page"/>
      </w:r>
    </w:p>
    <w:p w14:paraId="5F23101F" w14:textId="7C80373A" w:rsidR="005C3E2F" w:rsidRDefault="005C3E2F" w:rsidP="004D42EA">
      <w:pPr>
        <w:pStyle w:val="Heading1"/>
      </w:pPr>
      <w:bookmarkStart w:id="41" w:name="_Ref204267563"/>
      <w:bookmarkStart w:id="42" w:name="_Toc222823329"/>
      <w:r>
        <w:lastRenderedPageBreak/>
        <w:t>Annex A</w:t>
      </w:r>
      <w:r w:rsidR="00F14EED">
        <w:t>: Contribution review policy</w:t>
      </w:r>
      <w:bookmarkEnd w:id="41"/>
      <w:bookmarkEnd w:id="42"/>
    </w:p>
    <w:p w14:paraId="1589A7A6" w14:textId="77777777" w:rsidR="007D2AA7" w:rsidRDefault="007D2AA7" w:rsidP="005E7A38">
      <w:pPr>
        <w:pStyle w:val="Notheader1"/>
      </w:pPr>
      <w:bookmarkStart w:id="43" w:name="_Toc62134735"/>
      <w:bookmarkStart w:id="44" w:name="_Toc203646080"/>
      <w:bookmarkStart w:id="45" w:name="_Toc203940088"/>
      <w:r>
        <w:t>Introduction</w:t>
      </w:r>
      <w:bookmarkEnd w:id="43"/>
      <w:bookmarkEnd w:id="44"/>
      <w:bookmarkEnd w:id="45"/>
    </w:p>
    <w:p w14:paraId="7B7D1772" w14:textId="4285260C" w:rsidR="000D33C4" w:rsidRDefault="000D33C4" w:rsidP="000D33C4">
      <w:pPr>
        <w:pStyle w:val="BodyText"/>
      </w:pPr>
      <w:r>
        <w:t xml:space="preserve">This is the Contribution review policy for the </w:t>
      </w:r>
      <w:r w:rsidR="009B5E99">
        <w:t>London Borough of Barking and Dagenham Pension Fund</w:t>
      </w:r>
      <w:r>
        <w:t xml:space="preserve"> (the Fund), part of the Local Government Pension Scheme (LGPS). It has been prepared by </w:t>
      </w:r>
      <w:r w:rsidR="009B5E99">
        <w:t>London Borough of Barking and Dagenham</w:t>
      </w:r>
      <w:r>
        <w:t xml:space="preserve"> in our capacity as </w:t>
      </w:r>
      <w:r w:rsidR="000D7F93">
        <w:t>Administering Authority</w:t>
      </w:r>
      <w:r>
        <w:t xml:space="preserve"> of the Fund.</w:t>
      </w:r>
    </w:p>
    <w:p w14:paraId="5CF13EC7" w14:textId="65F2CFE2" w:rsidR="007D2AA7" w:rsidRPr="00542024" w:rsidRDefault="007D2AA7" w:rsidP="007D2AA7">
      <w:pPr>
        <w:pStyle w:val="BodyText"/>
      </w:pPr>
      <w:r>
        <w:t xml:space="preserve">This document sets out the </w:t>
      </w:r>
      <w:r w:rsidR="009C154C">
        <w:t>Fund’s</w:t>
      </w:r>
      <w:r>
        <w:t xml:space="preserve"> policy on amending the contribution rates payable by an employer (or group of employers) between formal funding valuations. </w:t>
      </w:r>
    </w:p>
    <w:p w14:paraId="29D07FE8" w14:textId="6CD9149C" w:rsidR="007D2AA7" w:rsidRDefault="007D2AA7" w:rsidP="007D2AA7">
      <w:pPr>
        <w:pStyle w:val="BodyText"/>
      </w:pPr>
      <w:r>
        <w:t>Under Regulation 62</w:t>
      </w:r>
      <w:r w:rsidR="002A246C">
        <w:t xml:space="preserve"> of the LGPS Regulations 2013 (the Regulations) we</w:t>
      </w:r>
      <w:r w:rsidR="00BF3AD7">
        <w:t xml:space="preserve"> </w:t>
      </w:r>
      <w:r w:rsidR="002A246C">
        <w:t>are</w:t>
      </w:r>
      <w:r>
        <w:t xml:space="preserve"> required to obtain a formal actuarial valuation of the Fund and a rates and adjustments certificate setting out the contribution rates payable by each Scheme employer for three year period beginning 1 April following that in which the valuation date falls. </w:t>
      </w:r>
    </w:p>
    <w:p w14:paraId="3EC7B582" w14:textId="03A35982" w:rsidR="007D2AA7" w:rsidRDefault="007D2AA7" w:rsidP="007D2AA7">
      <w:pPr>
        <w:pStyle w:val="BodyText"/>
      </w:pPr>
      <w:r>
        <w:t xml:space="preserve">It is anticipated for most Scheme employers that the contribution rates certified at the formal actuarial valuation will remain payable for the period of the rates and adjustments certificate. However, there may be circumstances where a review of the contribution rates payable by an employer (or a group of employers) under Regulation 64A is deemed appropriate. This policy document sets out </w:t>
      </w:r>
      <w:r w:rsidR="00E11F77">
        <w:t xml:space="preserve">our </w:t>
      </w:r>
      <w:r>
        <w:t xml:space="preserve">approach to considering the appropriateness of a review and the process in which a review will be conducted. </w:t>
      </w:r>
    </w:p>
    <w:p w14:paraId="0E8B07FB" w14:textId="17CD8020" w:rsidR="007D2AA7" w:rsidRDefault="007D2AA7" w:rsidP="007D2AA7">
      <w:pPr>
        <w:pStyle w:val="BodyText"/>
      </w:pPr>
      <w:r>
        <w:t xml:space="preserve">This policy has been prepared following advice from the Fund Actuary, and following consultation with the Fund’s Scheme employers. In drafting this policy document, </w:t>
      </w:r>
      <w:r w:rsidR="009C27F8">
        <w:t>we have</w:t>
      </w:r>
      <w:r>
        <w:t xml:space="preserve"> taken into consideration the statutory guidance on drafting a contribution review policy which was issued by the Ministry of Housing, Communities and Local Government, and the Scheme Advisory Board’s guide to employer flexibilities.</w:t>
      </w:r>
    </w:p>
    <w:p w14:paraId="06BDF42A" w14:textId="77777777" w:rsidR="007D2AA7" w:rsidRDefault="007D2AA7" w:rsidP="007D2AA7">
      <w:pPr>
        <w:pStyle w:val="BodyText"/>
      </w:pPr>
      <w:r>
        <w:t>Throughout this document, any reference to the review of a Scheme employer’s contribution rates will also mean the single review of the contribution rates for a group of Scheme employers (for example if the employers are pooled for funding purposes).</w:t>
      </w:r>
    </w:p>
    <w:p w14:paraId="404CA9C7" w14:textId="004B5CAD" w:rsidR="007D2AA7" w:rsidRDefault="007D2AA7" w:rsidP="007D2AA7">
      <w:pPr>
        <w:pStyle w:val="BodyText"/>
      </w:pPr>
      <w:r>
        <w:t xml:space="preserve">Note that where a Scheme employer </w:t>
      </w:r>
      <w:r w:rsidRPr="00FE1529">
        <w:t xml:space="preserve">seems likely </w:t>
      </w:r>
      <w:r>
        <w:t xml:space="preserve">to </w:t>
      </w:r>
      <w:r w:rsidRPr="00FE1529">
        <w:t xml:space="preserve">exit </w:t>
      </w:r>
      <w:r>
        <w:t xml:space="preserve">the Fund </w:t>
      </w:r>
      <w:r w:rsidRPr="00FE1529">
        <w:t xml:space="preserve">before the next </w:t>
      </w:r>
      <w:r>
        <w:t xml:space="preserve">actuarial </w:t>
      </w:r>
      <w:r w:rsidRPr="00FE1529">
        <w:t xml:space="preserve">valuation then </w:t>
      </w:r>
      <w:r w:rsidR="00B05F94">
        <w:t>we</w:t>
      </w:r>
      <w:r>
        <w:t xml:space="preserve"> can exercise </w:t>
      </w:r>
      <w:r w:rsidR="00B05F94">
        <w:t xml:space="preserve">our </w:t>
      </w:r>
      <w:r>
        <w:t xml:space="preserve">powers </w:t>
      </w:r>
      <w:r w:rsidRPr="00FE1529">
        <w:t xml:space="preserve">under Regulation 64(4) to carry out a </w:t>
      </w:r>
      <w:r>
        <w:t xml:space="preserve">review of contributions </w:t>
      </w:r>
      <w:r w:rsidRPr="00FE1529">
        <w:t xml:space="preserve">with a view to </w:t>
      </w:r>
      <w:r w:rsidR="00CE4C04">
        <w:t>adjusting the contributions</w:t>
      </w:r>
      <w:r w:rsidR="00F470EE">
        <w:t xml:space="preserve"> for the</w:t>
      </w:r>
      <w:r w:rsidR="00C309DB">
        <w:t xml:space="preserve"> Scheme employer </w:t>
      </w:r>
      <w:r w:rsidR="00F470EE">
        <w:t xml:space="preserve">to </w:t>
      </w:r>
      <w:r w:rsidR="00C309DB">
        <w:t>exit on a fully funded basis</w:t>
      </w:r>
      <w:r>
        <w:t>. These cases do not fall under this contribution review policy.</w:t>
      </w:r>
    </w:p>
    <w:p w14:paraId="581A0BD0" w14:textId="285FE8D5" w:rsidR="007D2AA7" w:rsidRDefault="007D2AA7" w:rsidP="005E7A38">
      <w:pPr>
        <w:pStyle w:val="Notheader1"/>
      </w:pPr>
      <w:bookmarkStart w:id="46" w:name="_Toc62134736"/>
      <w:bookmarkStart w:id="47" w:name="_Toc203646081"/>
      <w:bookmarkStart w:id="48" w:name="_Toc203940089"/>
      <w:r>
        <w:t xml:space="preserve">The </w:t>
      </w:r>
      <w:r w:rsidR="00301305">
        <w:t xml:space="preserve">contribution </w:t>
      </w:r>
      <w:r>
        <w:t>review process</w:t>
      </w:r>
      <w:bookmarkEnd w:id="46"/>
      <w:bookmarkEnd w:id="47"/>
      <w:bookmarkEnd w:id="48"/>
    </w:p>
    <w:p w14:paraId="77130B01" w14:textId="056AE317" w:rsidR="003E18ED" w:rsidRDefault="00ED18BF" w:rsidP="007D2AA7">
      <w:pPr>
        <w:pStyle w:val="BodyText"/>
      </w:pPr>
      <w:r>
        <w:t>As part of the review process</w:t>
      </w:r>
      <w:r w:rsidR="00D01545">
        <w:t>, within this policy</w:t>
      </w:r>
      <w:r>
        <w:t xml:space="preserve"> </w:t>
      </w:r>
      <w:r w:rsidR="003E18ED">
        <w:t xml:space="preserve">we </w:t>
      </w:r>
      <w:r>
        <w:t>include</w:t>
      </w:r>
      <w:r w:rsidR="003E18ED">
        <w:t xml:space="preserve"> detail on:</w:t>
      </w:r>
    </w:p>
    <w:p w14:paraId="74A4D7D8" w14:textId="4ED50C12" w:rsidR="00ED18BF" w:rsidRDefault="007A3CAF" w:rsidP="003E18ED">
      <w:pPr>
        <w:pStyle w:val="List"/>
      </w:pPr>
      <w:r>
        <w:t xml:space="preserve">Examples of </w:t>
      </w:r>
      <w:r w:rsidR="007D2AA7">
        <w:t xml:space="preserve">events that may trigger a </w:t>
      </w:r>
      <w:r w:rsidR="0017631C">
        <w:t xml:space="preserve">contribution </w:t>
      </w:r>
      <w:r w:rsidR="007D2AA7">
        <w:t xml:space="preserve">review </w:t>
      </w:r>
      <w:r>
        <w:t>under</w:t>
      </w:r>
      <w:r w:rsidR="00723B1B">
        <w:t xml:space="preserve"> Regulation 64(A)(1)(b)</w:t>
      </w:r>
      <w:r w:rsidR="007D2AA7">
        <w:t xml:space="preserve">. </w:t>
      </w:r>
    </w:p>
    <w:p w14:paraId="59519D75" w14:textId="5E3CEC0C" w:rsidR="003D7E6D" w:rsidRDefault="007D2AA7" w:rsidP="003E18ED">
      <w:pPr>
        <w:pStyle w:val="List"/>
      </w:pPr>
      <w:r>
        <w:t xml:space="preserve">The general process for assessing and conducting a review. </w:t>
      </w:r>
    </w:p>
    <w:p w14:paraId="7A440034" w14:textId="44E72139" w:rsidR="007D2AA7" w:rsidRDefault="007D2AA7" w:rsidP="00F2122E">
      <w:pPr>
        <w:pStyle w:val="List"/>
      </w:pPr>
      <w:r>
        <w:t xml:space="preserve">Timescales </w:t>
      </w:r>
      <w:r w:rsidR="008C2FA1">
        <w:t>including a</w:t>
      </w:r>
      <w:r>
        <w:t xml:space="preserve"> timeline </w:t>
      </w:r>
      <w:r w:rsidR="008C2FA1">
        <w:t>to</w:t>
      </w:r>
      <w:r>
        <w:t xml:space="preserve"> provide a rough guide of </w:t>
      </w:r>
      <w:r w:rsidR="008C2FA1">
        <w:t>our</w:t>
      </w:r>
      <w:r>
        <w:t xml:space="preserve"> general expectation.</w:t>
      </w:r>
    </w:p>
    <w:p w14:paraId="1DC8BC56" w14:textId="78254598" w:rsidR="007D2AA7" w:rsidRDefault="007D2AA7" w:rsidP="007D2AA7">
      <w:pPr>
        <w:pStyle w:val="BodyText"/>
      </w:pPr>
      <w:r>
        <w:t xml:space="preserve">Following completion of the review process, </w:t>
      </w:r>
      <w:r w:rsidR="002B3784">
        <w:t>we</w:t>
      </w:r>
      <w:r>
        <w:t xml:space="preserve"> may continue to monitor the Scheme employer’s position in order to ensure the revised contribution rate remains appropriate (where a review was completed) or to ensure the Scheme employer’s situation does not change such that a review previously deemed not appropriate becomes appropriate. As part of its participation in the Fund, any Scheme employer is expected to support any reasonable information requests made by </w:t>
      </w:r>
      <w:r w:rsidR="002B3784">
        <w:t>us</w:t>
      </w:r>
      <w:r>
        <w:t xml:space="preserve"> in order to allow effective monitoring.</w:t>
      </w:r>
    </w:p>
    <w:p w14:paraId="6EE6F4A6" w14:textId="77777777" w:rsidR="00EC7626" w:rsidRDefault="007D2AA7" w:rsidP="005E7A38">
      <w:pPr>
        <w:pStyle w:val="Notheader1"/>
      </w:pPr>
      <w:bookmarkStart w:id="49" w:name="_Toc203646082"/>
      <w:bookmarkStart w:id="50" w:name="_Toc203940090"/>
      <w:bookmarkStart w:id="51" w:name="_Toc62134737"/>
      <w:r>
        <w:lastRenderedPageBreak/>
        <w:t>Timeline</w:t>
      </w:r>
      <w:r w:rsidR="00EC7626">
        <w:t>s</w:t>
      </w:r>
      <w:bookmarkEnd w:id="49"/>
      <w:bookmarkEnd w:id="50"/>
    </w:p>
    <w:p w14:paraId="069AA834" w14:textId="77777777" w:rsidR="00657A6F" w:rsidRDefault="00657A6F" w:rsidP="00657A6F">
      <w:pPr>
        <w:pStyle w:val="BodyText"/>
      </w:pPr>
      <w:r>
        <w:t>Once a review of contribution rates has been agreed, unless the impact of amending the contribution rates is deemed immaterial by the Fund Actuary, then the results of the review will be applied with effect from the agreed review date.</w:t>
      </w:r>
    </w:p>
    <w:p w14:paraId="38EDE305" w14:textId="4C2DC8C0" w:rsidR="007D2AA7" w:rsidRDefault="00EC7626" w:rsidP="00F2122E">
      <w:pPr>
        <w:pStyle w:val="Heading3"/>
      </w:pPr>
      <w:r>
        <w:t>W</w:t>
      </w:r>
      <w:r w:rsidR="007D2AA7">
        <w:t xml:space="preserve">here initiation is made by the </w:t>
      </w:r>
      <w:r w:rsidR="000D7F93">
        <w:t>Administering Authority</w:t>
      </w:r>
      <w:bookmarkEnd w:id="51"/>
    </w:p>
    <w:p w14:paraId="192AFE00" w14:textId="3CEFEAE5" w:rsidR="007D2AA7" w:rsidRPr="007F33C2" w:rsidRDefault="007D2AA7" w:rsidP="007D2AA7">
      <w:pPr>
        <w:pStyle w:val="BodyText"/>
      </w:pPr>
      <w:r>
        <w:t xml:space="preserve">Where </w:t>
      </w:r>
      <w:r w:rsidR="005D668D">
        <w:t>we initiate</w:t>
      </w:r>
      <w:r w:rsidR="00D92AC7">
        <w:t xml:space="preserve"> a</w:t>
      </w:r>
      <w:r>
        <w:t xml:space="preserve"> review (i.e. under conditions (i) and (ii) </w:t>
      </w:r>
      <w:r w:rsidR="00AB0773">
        <w:rPr>
          <w:rStyle w:val="Hyperlink"/>
          <w:color w:val="auto"/>
          <w:u w:val="none"/>
        </w:rPr>
        <w:t>of Regulation 64(A)(1)(b)</w:t>
      </w:r>
      <w:r>
        <w:rPr>
          <w:rStyle w:val="Hyperlink"/>
          <w:color w:val="auto"/>
          <w:u w:val="none"/>
        </w:rPr>
        <w:t>)</w:t>
      </w:r>
      <w:r>
        <w:t xml:space="preserve">, the first stage is to engage with the Scheme </w:t>
      </w:r>
      <w:r w:rsidRPr="007F33C2">
        <w:t xml:space="preserve">employer and provide written evidence for requiring the review. </w:t>
      </w:r>
    </w:p>
    <w:p w14:paraId="215F0EE8" w14:textId="60A01723" w:rsidR="007D2AA7" w:rsidRPr="007F33C2" w:rsidRDefault="007D2AA7" w:rsidP="007D2AA7">
      <w:pPr>
        <w:pStyle w:val="BodyText"/>
      </w:pPr>
      <w:r w:rsidRPr="007F33C2">
        <w:t xml:space="preserve">The Scheme employer will be given 28 days from the later of the date of receipt of the evidence provided and the date of receipt of the results of the formal contribution review to respond to </w:t>
      </w:r>
      <w:r w:rsidR="00A53E50" w:rsidRPr="007F33C2">
        <w:t>our</w:t>
      </w:r>
      <w:r w:rsidRPr="007F33C2">
        <w:t xml:space="preserve"> proposal. Should no challenge be accepted within this period then </w:t>
      </w:r>
      <w:r w:rsidR="00A53E50" w:rsidRPr="007F33C2">
        <w:t>we</w:t>
      </w:r>
      <w:r w:rsidRPr="007F33C2">
        <w:t xml:space="preserve"> will treat the proposal as accepted and the revised contribution rates will come into effect from the proposed review date.</w:t>
      </w:r>
    </w:p>
    <w:p w14:paraId="56CBAA01" w14:textId="0911806A" w:rsidR="007D2AA7" w:rsidRPr="007F33C2" w:rsidRDefault="007D2AA7" w:rsidP="007D2AA7">
      <w:pPr>
        <w:pStyle w:val="BodyText"/>
      </w:pPr>
      <w:r w:rsidRPr="007F33C2">
        <w:t xml:space="preserve">Should the Scheme employer challenge </w:t>
      </w:r>
      <w:r w:rsidR="00A53E50" w:rsidRPr="007F33C2">
        <w:t>our</w:t>
      </w:r>
      <w:r w:rsidRPr="007F33C2">
        <w:t xml:space="preserve"> proposal, then </w:t>
      </w:r>
      <w:r w:rsidR="00A53E50" w:rsidRPr="007F33C2">
        <w:t>we</w:t>
      </w:r>
      <w:r w:rsidRPr="007F33C2">
        <w:t xml:space="preserve"> will continue to engage with the Scheme employer </w:t>
      </w:r>
      <w:r w:rsidR="007B5B3F" w:rsidRPr="007F33C2">
        <w:t>to</w:t>
      </w:r>
      <w:r w:rsidRPr="007F33C2">
        <w:t xml:space="preserve"> reach an agreeable decision. If no decision has been agreed within 3 months of the initial proposal, then </w:t>
      </w:r>
      <w:r w:rsidR="00256128" w:rsidRPr="007F33C2">
        <w:t>we</w:t>
      </w:r>
      <w:r w:rsidRPr="007F33C2">
        <w:t xml:space="preserve"> may proceed with the revised contribution rates. Further details of the appeals process for the Scheme employer is set out in the </w:t>
      </w:r>
      <w:r w:rsidRPr="007F33C2">
        <w:fldChar w:fldCharType="begin"/>
      </w:r>
      <w:r w:rsidRPr="007F33C2">
        <w:instrText xml:space="preserve"> REF _Ref62130644 \h  \* MERGEFORMAT </w:instrText>
      </w:r>
      <w:r w:rsidRPr="007F33C2">
        <w:fldChar w:fldCharType="separate"/>
      </w:r>
      <w:r w:rsidRPr="007F33C2">
        <w:t>Appeals process</w:t>
      </w:r>
      <w:r w:rsidRPr="007F33C2">
        <w:fldChar w:fldCharType="end"/>
      </w:r>
      <w:r w:rsidRPr="007F33C2">
        <w:t xml:space="preserve"> section.</w:t>
      </w:r>
    </w:p>
    <w:p w14:paraId="5E45CC64" w14:textId="42681689" w:rsidR="007D2AA7" w:rsidRPr="007F33C2" w:rsidRDefault="007D2AA7" w:rsidP="007D2AA7">
      <w:pPr>
        <w:pStyle w:val="BodyText"/>
      </w:pPr>
      <w:r w:rsidRPr="007F33C2">
        <w:t xml:space="preserve">Although </w:t>
      </w:r>
      <w:r w:rsidR="00516B40" w:rsidRPr="007F33C2">
        <w:t xml:space="preserve">we will make </w:t>
      </w:r>
      <w:r w:rsidRPr="007F33C2">
        <w:t xml:space="preserve">the ultimate decision for </w:t>
      </w:r>
      <w:r w:rsidR="00516B40" w:rsidRPr="007F33C2">
        <w:t xml:space="preserve">a </w:t>
      </w:r>
      <w:r w:rsidRPr="007F33C2">
        <w:t xml:space="preserve">review, </w:t>
      </w:r>
      <w:r w:rsidR="00516B40" w:rsidRPr="007F33C2">
        <w:t>we are</w:t>
      </w:r>
      <w:r w:rsidRPr="007F33C2">
        <w:t xml:space="preserve"> committed to engaging with any Scheme employer following the initial proposal to ensure that any change is agreeable to all relevant parties. </w:t>
      </w:r>
    </w:p>
    <w:p w14:paraId="36BF04FA" w14:textId="2E3562AF" w:rsidR="007D2AA7" w:rsidRPr="007F33C2" w:rsidRDefault="00EC7626" w:rsidP="00F2122E">
      <w:pPr>
        <w:pStyle w:val="Heading3"/>
      </w:pPr>
      <w:bookmarkStart w:id="52" w:name="_Toc62134738"/>
      <w:r w:rsidRPr="007F33C2">
        <w:t>W</w:t>
      </w:r>
      <w:r w:rsidR="007D2AA7" w:rsidRPr="007F33C2">
        <w:t>here initiation is made by the Scheme employer</w:t>
      </w:r>
      <w:bookmarkEnd w:id="52"/>
    </w:p>
    <w:p w14:paraId="592EACD5" w14:textId="39438DB4" w:rsidR="007D2AA7" w:rsidRPr="007F33C2" w:rsidRDefault="007D2AA7" w:rsidP="007D2AA7">
      <w:pPr>
        <w:pStyle w:val="BodyText"/>
      </w:pPr>
      <w:r w:rsidRPr="007F33C2">
        <w:t xml:space="preserve">Where the review is initiated by the Scheme employer, the process begins once the Scheme employer has provided all the relevant documents required as set out in the </w:t>
      </w:r>
      <w:r w:rsidRPr="007F33C2">
        <w:rPr>
          <w:rStyle w:val="Hyperlink"/>
        </w:rPr>
        <w:fldChar w:fldCharType="begin"/>
      </w:r>
      <w:r w:rsidRPr="007F33C2">
        <w:instrText xml:space="preserve"> REF _Ref65849193 \h </w:instrText>
      </w:r>
      <w:r w:rsidR="007F33C2">
        <w:rPr>
          <w:rStyle w:val="Hyperlink"/>
        </w:rPr>
        <w:instrText xml:space="preserve"> \* MERGEFORMAT </w:instrText>
      </w:r>
      <w:r w:rsidRPr="007F33C2">
        <w:rPr>
          <w:rStyle w:val="Hyperlink"/>
        </w:rPr>
      </w:r>
      <w:r w:rsidRPr="007F33C2">
        <w:rPr>
          <w:rStyle w:val="Hyperlink"/>
        </w:rPr>
        <w:fldChar w:fldCharType="separate"/>
      </w:r>
      <w:r w:rsidRPr="007F33C2">
        <w:t>Triggering a contribution review</w:t>
      </w:r>
      <w:r w:rsidRPr="007F33C2">
        <w:rPr>
          <w:rStyle w:val="Hyperlink"/>
        </w:rPr>
        <w:fldChar w:fldCharType="end"/>
      </w:r>
      <w:r w:rsidRPr="007F33C2">
        <w:t xml:space="preserve"> </w:t>
      </w:r>
      <w:r w:rsidRPr="007F33C2">
        <w:rPr>
          <w:rStyle w:val="Hyperlink"/>
          <w:color w:val="auto"/>
          <w:u w:val="none"/>
        </w:rPr>
        <w:t>section</w:t>
      </w:r>
      <w:r w:rsidRPr="007F33C2">
        <w:t>.</w:t>
      </w:r>
    </w:p>
    <w:p w14:paraId="6EA94231" w14:textId="28A75432" w:rsidR="007D2AA7" w:rsidRDefault="003670D7" w:rsidP="007D2AA7">
      <w:pPr>
        <w:pStyle w:val="BodyText"/>
      </w:pPr>
      <w:r w:rsidRPr="007F33C2">
        <w:t>We</w:t>
      </w:r>
      <w:r w:rsidR="007D2AA7" w:rsidRPr="007F33C2">
        <w:t xml:space="preserve"> will aim to provide a response to the Scheme employer within 28 days from the date</w:t>
      </w:r>
      <w:r w:rsidR="007D2AA7">
        <w:t xml:space="preserve"> of receipt. This will depend on the quality of the documents provided and any need </w:t>
      </w:r>
      <w:r>
        <w:t>for us</w:t>
      </w:r>
      <w:r w:rsidR="007D2AA7">
        <w:t xml:space="preserve"> to request further information from the Scheme employer. </w:t>
      </w:r>
      <w:r w:rsidR="00CE7910">
        <w:t>We</w:t>
      </w:r>
      <w:r w:rsidR="007D2AA7">
        <w:t xml:space="preserve"> will provide a written response setting out the issues considered in reviewing the request from the Scheme employer, together with the outcome and confirming the next steps in the process.</w:t>
      </w:r>
    </w:p>
    <w:p w14:paraId="6E5D3155" w14:textId="77777777" w:rsidR="007D2AA7" w:rsidRDefault="007D2AA7" w:rsidP="005E7A38">
      <w:pPr>
        <w:pStyle w:val="Notheader1"/>
      </w:pPr>
      <w:bookmarkStart w:id="53" w:name="_Toc62134739"/>
      <w:bookmarkStart w:id="54" w:name="_Toc203646083"/>
      <w:bookmarkStart w:id="55" w:name="_Toc203940091"/>
      <w:r>
        <w:t>Responsibility of costs</w:t>
      </w:r>
      <w:bookmarkStart w:id="56" w:name="_Ref62053993"/>
      <w:bookmarkEnd w:id="53"/>
      <w:bookmarkEnd w:id="54"/>
      <w:bookmarkEnd w:id="55"/>
    </w:p>
    <w:p w14:paraId="083A7A80" w14:textId="7F78251E" w:rsidR="007D2AA7" w:rsidRDefault="007D2AA7" w:rsidP="007D2AA7">
      <w:pPr>
        <w:pStyle w:val="BodyText"/>
      </w:pPr>
      <w:r>
        <w:t xml:space="preserve">Where </w:t>
      </w:r>
      <w:r w:rsidR="00C70DE3">
        <w:t xml:space="preserve">we have initiated </w:t>
      </w:r>
      <w:r>
        <w:t xml:space="preserve">the review of contributions, any costs incurred as part of the review in relation to the gathering of evidence to present to the Scheme employer and the actuarial costs to commission the contribution review will be met by the Fund. This is </w:t>
      </w:r>
      <w:r w:rsidR="007B5B3F">
        <w:t>except for</w:t>
      </w:r>
      <w:r>
        <w:t xml:space="preserve"> any costs incurred as a result of extra information requested by the Scheme employer which is not ordinarily anticipated to be incurred by the </w:t>
      </w:r>
      <w:r w:rsidR="000D7F93">
        <w:t>Administering Authority</w:t>
      </w:r>
      <w:r>
        <w:t xml:space="preserve"> as part of the review. These exception costs would be recharged to the Scheme employer. </w:t>
      </w:r>
    </w:p>
    <w:p w14:paraId="467A3446" w14:textId="69EC69A5" w:rsidR="007D2AA7" w:rsidRDefault="007D2AA7" w:rsidP="007D2AA7">
      <w:pPr>
        <w:pStyle w:val="BodyText"/>
      </w:pPr>
      <w:r>
        <w:t xml:space="preserve">Any costs incurred </w:t>
      </w:r>
      <w:r w:rsidR="007B5B3F">
        <w:t>because of</w:t>
      </w:r>
      <w:r>
        <w:t xml:space="preserve"> a review initiated by the Scheme employer will be the responsibility of the Scheme employer, regardless of the outcome of the review proceeding or not. This may include specialist adviser costs involved in assessing </w:t>
      </w:r>
      <w:r w:rsidR="007B5B3F">
        <w:t>whether</w:t>
      </w:r>
      <w:r>
        <w:t xml:space="preserve"> the request for review should be accepted and the costs in relation to carrying out the review. </w:t>
      </w:r>
    </w:p>
    <w:p w14:paraId="59344EF9" w14:textId="77777777" w:rsidR="007D2AA7" w:rsidRDefault="007D2AA7" w:rsidP="005E7A38">
      <w:pPr>
        <w:pStyle w:val="Notheader1"/>
      </w:pPr>
      <w:bookmarkStart w:id="57" w:name="_Toc62134740"/>
      <w:bookmarkStart w:id="58" w:name="_Ref65849181"/>
      <w:bookmarkStart w:id="59" w:name="_Ref65849193"/>
      <w:bookmarkStart w:id="60" w:name="_Toc203646084"/>
      <w:bookmarkStart w:id="61" w:name="_Toc203940092"/>
      <w:r>
        <w:t>Triggering a contribution review</w:t>
      </w:r>
      <w:bookmarkEnd w:id="56"/>
      <w:bookmarkEnd w:id="57"/>
      <w:bookmarkEnd w:id="58"/>
      <w:bookmarkEnd w:id="59"/>
      <w:bookmarkEnd w:id="60"/>
      <w:bookmarkEnd w:id="61"/>
    </w:p>
    <w:p w14:paraId="46C695BA" w14:textId="77777777" w:rsidR="007D2AA7" w:rsidRDefault="007D2AA7" w:rsidP="007D2AA7">
      <w:pPr>
        <w:pStyle w:val="BodyText"/>
      </w:pPr>
      <w:r>
        <w:t>As set out in Regulation 64(A)(1)(b), a review of an employer’s contribution rate between formal actuarial valuations may only take place if one of the following conditions are met:</w:t>
      </w:r>
    </w:p>
    <w:p w14:paraId="4B6AD04B" w14:textId="2C5C549D" w:rsidR="007D2AA7" w:rsidRDefault="007D2AA7" w:rsidP="007D2AA7">
      <w:pPr>
        <w:pStyle w:val="BodyText"/>
      </w:pPr>
      <w:r>
        <w:lastRenderedPageBreak/>
        <w:t>(i)</w:t>
      </w:r>
      <w:r>
        <w:tab/>
        <w:t xml:space="preserve">it appears likely to the </w:t>
      </w:r>
      <w:r w:rsidR="000D7F93">
        <w:t>Administering Authority</w:t>
      </w:r>
      <w:r>
        <w:t xml:space="preserve"> that the amount of the liabilities arising or likely to arise has changed significantly since the last valuation;</w:t>
      </w:r>
    </w:p>
    <w:p w14:paraId="5BC5B146" w14:textId="08A5B15C" w:rsidR="007D2AA7" w:rsidRDefault="007D2AA7" w:rsidP="007D2AA7">
      <w:pPr>
        <w:pStyle w:val="BodyText"/>
      </w:pPr>
      <w:r>
        <w:t>(ii)</w:t>
      </w:r>
      <w:r>
        <w:tab/>
        <w:t xml:space="preserve">it appears likely to the </w:t>
      </w:r>
      <w:r w:rsidR="000D7F93">
        <w:t>Administering Authority</w:t>
      </w:r>
      <w:r>
        <w:t xml:space="preserve"> that there has been a significant change in the ability of the Scheme employer or employers to meet the obligations of employers in the Scheme; or</w:t>
      </w:r>
    </w:p>
    <w:p w14:paraId="4A2EB713" w14:textId="77777777" w:rsidR="007D2AA7" w:rsidRDefault="007D2AA7" w:rsidP="007D2AA7">
      <w:pPr>
        <w:pStyle w:val="BodyText"/>
      </w:pPr>
      <w:r>
        <w:t>(iii)</w:t>
      </w:r>
      <w:r>
        <w:tab/>
        <w:t>a Scheme employer or employers have requested a review of Scheme employer contributions and have undertaken to meet the costs of that review.</w:t>
      </w:r>
    </w:p>
    <w:p w14:paraId="7D323C46" w14:textId="10823CA4" w:rsidR="007D2AA7" w:rsidRDefault="007D2AA7" w:rsidP="007D2AA7">
      <w:pPr>
        <w:pStyle w:val="BodyText"/>
      </w:pPr>
      <w:r>
        <w:t xml:space="preserve">Conditions (i) and (ii) are triggered by the </w:t>
      </w:r>
      <w:r w:rsidR="000D7F93">
        <w:t>Administering Authority</w:t>
      </w:r>
      <w:r>
        <w:t xml:space="preserve"> and (iii) by the Scheme employer. The key considerations under each of the conditions are detailed below. </w:t>
      </w:r>
    </w:p>
    <w:p w14:paraId="0B3F4A9C" w14:textId="72F32EA9" w:rsidR="007D2AA7" w:rsidRDefault="007D2AA7" w:rsidP="007D2AA7">
      <w:pPr>
        <w:pStyle w:val="BodyText"/>
      </w:pPr>
      <w:r>
        <w:t xml:space="preserve">It should be noted that the conditions </w:t>
      </w:r>
      <w:r w:rsidR="005B32B1">
        <w:t xml:space="preserve">above </w:t>
      </w:r>
      <w:r>
        <w:t>are as set out in the Regulations therefore do not allow for a review of contributions where the trigger is due to a change in actuarial assumptions or asset values.</w:t>
      </w:r>
    </w:p>
    <w:p w14:paraId="161DFBD8" w14:textId="77777777" w:rsidR="007D2AA7" w:rsidRDefault="007D2AA7" w:rsidP="005E7A38">
      <w:pPr>
        <w:pStyle w:val="Sub-heading"/>
      </w:pPr>
      <w:bookmarkStart w:id="62" w:name="_Toc62134741"/>
      <w:bookmarkStart w:id="63" w:name="_Toc203646085"/>
      <w:bookmarkStart w:id="64" w:name="_Toc203940093"/>
      <w:r w:rsidRPr="20125F8D">
        <w:rPr>
          <w:lang w:val="en-US"/>
        </w:rPr>
        <w:t>(i) change in the amount of the liabilities arising or likely to arise</w:t>
      </w:r>
      <w:bookmarkEnd w:id="62"/>
      <w:bookmarkEnd w:id="63"/>
      <w:bookmarkEnd w:id="64"/>
    </w:p>
    <w:p w14:paraId="175357A7" w14:textId="77777777" w:rsidR="007D2AA7" w:rsidRDefault="007D2AA7" w:rsidP="007D2AA7">
      <w:pPr>
        <w:pStyle w:val="BodyText"/>
      </w:pPr>
      <w:r>
        <w:t>Examples of changes which may trigger a review under this condition include, but are not limited to:</w:t>
      </w:r>
    </w:p>
    <w:p w14:paraId="73564E66" w14:textId="77777777" w:rsidR="007D2AA7" w:rsidRDefault="007D2AA7" w:rsidP="007D2AA7">
      <w:pPr>
        <w:pStyle w:val="List"/>
      </w:pPr>
      <w:r>
        <w:t>Restructuring of a council due to a move to unitary status</w:t>
      </w:r>
    </w:p>
    <w:p w14:paraId="510A89C0" w14:textId="77777777" w:rsidR="007D2AA7" w:rsidRDefault="007D2AA7" w:rsidP="007D2AA7">
      <w:pPr>
        <w:pStyle w:val="List"/>
      </w:pPr>
      <w:r>
        <w:t>Restructuring of a Multi Academy Trust</w:t>
      </w:r>
    </w:p>
    <w:p w14:paraId="1C537DC4" w14:textId="0C0556EC" w:rsidR="007D2AA7" w:rsidRDefault="007D2AA7" w:rsidP="007D2AA7">
      <w:pPr>
        <w:pStyle w:val="List"/>
      </w:pPr>
      <w:r>
        <w:t xml:space="preserve">A significant outsourcing or transfer of </w:t>
      </w:r>
      <w:r w:rsidR="00171615">
        <w:t>employees</w:t>
      </w:r>
    </w:p>
    <w:p w14:paraId="4A0C9B13" w14:textId="77777777" w:rsidR="007D2AA7" w:rsidRDefault="007D2AA7" w:rsidP="007D2AA7">
      <w:pPr>
        <w:pStyle w:val="List"/>
      </w:pPr>
      <w:r>
        <w:t>Any other restructuring or event which could materially affect the Scheme employer’s membership</w:t>
      </w:r>
    </w:p>
    <w:p w14:paraId="60A5FDB2" w14:textId="43E456B4" w:rsidR="007D2AA7" w:rsidRDefault="007D2AA7" w:rsidP="007D2AA7">
      <w:pPr>
        <w:pStyle w:val="List"/>
      </w:pPr>
      <w:r>
        <w:t xml:space="preserve">Changes to whether a Scheme employer is open or closed to new members, or a decision which will restrict the Scheme employer’s active membership in the </w:t>
      </w:r>
      <w:r w:rsidR="00421DC9">
        <w:t>F</w:t>
      </w:r>
      <w:r>
        <w:t>und in future</w:t>
      </w:r>
    </w:p>
    <w:p w14:paraId="5B026EAD" w14:textId="77777777" w:rsidR="007D2AA7" w:rsidRDefault="007D2AA7" w:rsidP="007D2AA7">
      <w:pPr>
        <w:pStyle w:val="List"/>
      </w:pPr>
      <w:r>
        <w:t>Significant changes to the membership of an employer, for example due to redundancies, significant salary awards, ill health retirements or a large number of withdrawals</w:t>
      </w:r>
    </w:p>
    <w:p w14:paraId="075CDAF6" w14:textId="77777777" w:rsidR="007D2AA7" w:rsidRDefault="007D2AA7" w:rsidP="007D2AA7">
      <w:pPr>
        <w:pStyle w:val="List"/>
      </w:pPr>
      <w:r w:rsidRPr="00B34E65">
        <w:t xml:space="preserve">Establishment of a </w:t>
      </w:r>
      <w:r w:rsidRPr="00F31825">
        <w:t>wholly</w:t>
      </w:r>
      <w:r w:rsidRPr="00B34E65">
        <w:t xml:space="preserve"> owned company by a scheduled body which does not participate in the LGPS.</w:t>
      </w:r>
    </w:p>
    <w:p w14:paraId="1048C95D" w14:textId="6D5CF956" w:rsidR="007D2AA7" w:rsidRPr="00F66AFC" w:rsidRDefault="007D2AA7" w:rsidP="007D2AA7">
      <w:pPr>
        <w:pStyle w:val="BodyText"/>
      </w:pPr>
      <w:r w:rsidRPr="00B34E65">
        <w:t xml:space="preserve">As part of its participation in the Fund, Scheme employers are required to inform </w:t>
      </w:r>
      <w:r w:rsidR="00995A96">
        <w:t>us</w:t>
      </w:r>
      <w:r w:rsidRPr="00B34E65">
        <w:t xml:space="preserve"> of any notifiable events as set out in the Fund’s Pensions Administration Strategy, service agreements and/or admission agreements. </w:t>
      </w:r>
      <w:r w:rsidRPr="00F66AFC">
        <w:t xml:space="preserve">Through this notification process, </w:t>
      </w:r>
      <w:r w:rsidR="00AB089D" w:rsidRPr="00F66AFC">
        <w:t>we</w:t>
      </w:r>
      <w:r w:rsidRPr="00F66AFC">
        <w:t xml:space="preserve"> may identify events that merit a review of contributions.</w:t>
      </w:r>
    </w:p>
    <w:p w14:paraId="5361BEE3" w14:textId="723DFB82" w:rsidR="007D2AA7" w:rsidRDefault="007D2AA7" w:rsidP="007D2AA7">
      <w:pPr>
        <w:pStyle w:val="BodyText"/>
      </w:pPr>
      <w:r w:rsidRPr="001B792E">
        <w:t xml:space="preserve">In addition, </w:t>
      </w:r>
      <w:r w:rsidR="00AB089D" w:rsidRPr="001B792E">
        <w:t>we</w:t>
      </w:r>
      <w:r w:rsidRPr="001B792E">
        <w:t xml:space="preserve"> may initiate a review of contributions if </w:t>
      </w:r>
      <w:r w:rsidR="00AB089D" w:rsidRPr="001B792E">
        <w:t xml:space="preserve">we </w:t>
      </w:r>
      <w:r w:rsidRPr="001B792E">
        <w:t xml:space="preserve">become aware of any events that </w:t>
      </w:r>
      <w:r w:rsidR="00E76BC0" w:rsidRPr="001B792E">
        <w:t xml:space="preserve">we </w:t>
      </w:r>
      <w:r w:rsidRPr="001B792E">
        <w:t>deem could potentially change the liabilities of the Scheme employer. This also applies to any employers for whom a review of contributions has already taken place as a further change in liabilities may merit a review.</w:t>
      </w:r>
    </w:p>
    <w:p w14:paraId="67E4FCF4" w14:textId="77777777" w:rsidR="007D2AA7" w:rsidRDefault="007D2AA7" w:rsidP="005E7A38">
      <w:pPr>
        <w:pStyle w:val="Sub-heading"/>
      </w:pPr>
      <w:bookmarkStart w:id="65" w:name="_Toc62134742"/>
      <w:bookmarkStart w:id="66" w:name="_Toc203646086"/>
      <w:bookmarkStart w:id="67" w:name="_Toc203940094"/>
      <w:r>
        <w:t>(ii) change in the ability of the Scheme employer to meet its obligations</w:t>
      </w:r>
      <w:bookmarkEnd w:id="65"/>
      <w:bookmarkEnd w:id="66"/>
      <w:bookmarkEnd w:id="67"/>
    </w:p>
    <w:p w14:paraId="56C90B75" w14:textId="77777777" w:rsidR="007D2AA7" w:rsidRDefault="007D2AA7" w:rsidP="007D2AA7">
      <w:pPr>
        <w:pStyle w:val="BodyText"/>
      </w:pPr>
      <w:r>
        <w:t>Examples of changes which may trigger a review under this condition include, but are not limited to:</w:t>
      </w:r>
    </w:p>
    <w:p w14:paraId="79C97A24" w14:textId="77777777" w:rsidR="007D2AA7" w:rsidRDefault="007D2AA7" w:rsidP="007D2AA7">
      <w:pPr>
        <w:pStyle w:val="List"/>
      </w:pPr>
      <w:r>
        <w:t>Change in employer legal status or constitution</w:t>
      </w:r>
    </w:p>
    <w:p w14:paraId="415FB3D5" w14:textId="10A3B3F8" w:rsidR="007D2AA7" w:rsidRDefault="007D2AA7" w:rsidP="007D2AA7">
      <w:pPr>
        <w:pStyle w:val="List"/>
      </w:pPr>
      <w:r>
        <w:t>Provision of, or removal of, security, bond, guarantee or other form of indemnity by a Scheme employer</w:t>
      </w:r>
    </w:p>
    <w:p w14:paraId="0F82DCDB" w14:textId="77777777" w:rsidR="007D2AA7" w:rsidRDefault="007D2AA7" w:rsidP="007D2AA7">
      <w:pPr>
        <w:pStyle w:val="List"/>
      </w:pPr>
      <w:r>
        <w:t>A change in a Scheme employer’s immediate financial strength</w:t>
      </w:r>
    </w:p>
    <w:p w14:paraId="2A5F754F" w14:textId="77777777" w:rsidR="007D2AA7" w:rsidRDefault="007D2AA7" w:rsidP="007D2AA7">
      <w:pPr>
        <w:pStyle w:val="List"/>
      </w:pPr>
      <w:r>
        <w:t>A change in a Scheme employer’s longer-term financial outlook</w:t>
      </w:r>
    </w:p>
    <w:p w14:paraId="2B241092" w14:textId="77777777" w:rsidR="007D2AA7" w:rsidRDefault="007D2AA7" w:rsidP="007D2AA7">
      <w:pPr>
        <w:pStyle w:val="List"/>
      </w:pPr>
      <w:r>
        <w:t>Confirmation of wrongful trading</w:t>
      </w:r>
    </w:p>
    <w:p w14:paraId="219C85B6" w14:textId="77777777" w:rsidR="007D2AA7" w:rsidRDefault="007D2AA7" w:rsidP="007D2AA7">
      <w:pPr>
        <w:pStyle w:val="List"/>
      </w:pPr>
      <w:r>
        <w:t>Conviction of senior personnel</w:t>
      </w:r>
    </w:p>
    <w:p w14:paraId="0CC25456" w14:textId="77777777" w:rsidR="007D2AA7" w:rsidRDefault="007D2AA7" w:rsidP="007D2AA7">
      <w:pPr>
        <w:pStyle w:val="List"/>
      </w:pPr>
      <w:r>
        <w:t>Decision to cease business</w:t>
      </w:r>
    </w:p>
    <w:p w14:paraId="162A2A15" w14:textId="77777777" w:rsidR="007D2AA7" w:rsidRDefault="007D2AA7" w:rsidP="007D2AA7">
      <w:pPr>
        <w:pStyle w:val="List"/>
      </w:pPr>
      <w:r>
        <w:t>Breach of banking covenant</w:t>
      </w:r>
    </w:p>
    <w:p w14:paraId="6A9D1C00" w14:textId="4EE68E2E" w:rsidR="007D2AA7" w:rsidRDefault="007D2AA7" w:rsidP="007D2AA7">
      <w:pPr>
        <w:pStyle w:val="List"/>
      </w:pPr>
      <w:r>
        <w:lastRenderedPageBreak/>
        <w:t xml:space="preserve">Concerns felt by the </w:t>
      </w:r>
      <w:r w:rsidR="000D7F93">
        <w:t>Administering Authority</w:t>
      </w:r>
      <w:r>
        <w:t xml:space="preserve"> due to behaviour by a Scheme </w:t>
      </w:r>
      <w:r w:rsidR="00F66AFC">
        <w:t>employer</w:t>
      </w:r>
      <w:r>
        <w:t xml:space="preserve">, for example, a persistent failure to pay </w:t>
      </w:r>
      <w:r w:rsidRPr="00B34E65">
        <w:t>contributions (at all, or on time), or to</w:t>
      </w:r>
      <w:r>
        <w:t xml:space="preserve"> reasonably engage with the </w:t>
      </w:r>
      <w:r w:rsidR="000D7F93">
        <w:t>Administering Authority</w:t>
      </w:r>
      <w:r>
        <w:t xml:space="preserve"> over a significant period of time.</w:t>
      </w:r>
    </w:p>
    <w:p w14:paraId="28482AEE" w14:textId="531BB169" w:rsidR="007D2AA7" w:rsidRDefault="00F66AFC" w:rsidP="007D2AA7">
      <w:pPr>
        <w:pStyle w:val="BodyText"/>
      </w:pPr>
      <w:r w:rsidRPr="00533EC4">
        <w:t xml:space="preserve">The Administering Authority monitors </w:t>
      </w:r>
      <w:r w:rsidR="0060132D" w:rsidRPr="00533EC4">
        <w:t>employer</w:t>
      </w:r>
      <w:r w:rsidR="007D2AA7" w:rsidRPr="00533EC4">
        <w:t xml:space="preserve"> covenant of </w:t>
      </w:r>
      <w:r w:rsidRPr="00533EC4">
        <w:t>its</w:t>
      </w:r>
      <w:r w:rsidR="003A3E49" w:rsidRPr="00533EC4">
        <w:t xml:space="preserve"> </w:t>
      </w:r>
      <w:r w:rsidR="007D2AA7" w:rsidRPr="00533EC4">
        <w:t xml:space="preserve">Scheme employers </w:t>
      </w:r>
      <w:r w:rsidR="003A3E49" w:rsidRPr="00533EC4">
        <w:t>as part of the actuarial valuation</w:t>
      </w:r>
      <w:r w:rsidRPr="00533EC4">
        <w:t xml:space="preserve"> and may</w:t>
      </w:r>
      <w:r w:rsidR="007D2AA7" w:rsidRPr="00533EC4">
        <w:t xml:space="preserve"> commission an employer risk review report from the Fund Actuary. Through this analysis, </w:t>
      </w:r>
      <w:r w:rsidR="00167C3F" w:rsidRPr="00533EC4">
        <w:t>we</w:t>
      </w:r>
      <w:r w:rsidR="007D2AA7" w:rsidRPr="00533EC4">
        <w:t xml:space="preserve"> can identify any Scheme employers that might be considered as high risk and whether any Scheme employers have had a significant change in riskiness. This in turn may affect </w:t>
      </w:r>
      <w:r w:rsidR="00167C3F" w:rsidRPr="00533EC4">
        <w:t>our</w:t>
      </w:r>
      <w:r w:rsidR="007D2AA7" w:rsidRPr="00533EC4">
        <w:t xml:space="preserve"> views on whether the ability of a Scheme employer to meet its obligations to the Fund has changed significantly and therefore whether this change may merit a contribution review. This also applies to any employers for whom a review of contributions has already taken place as a further change in an employer’s ability to meet its obligations may merit another review.</w:t>
      </w:r>
    </w:p>
    <w:p w14:paraId="73A3BAC2" w14:textId="77777777" w:rsidR="007D2AA7" w:rsidRDefault="007D2AA7" w:rsidP="00D45ABD">
      <w:pPr>
        <w:pStyle w:val="Sub-heading"/>
      </w:pPr>
      <w:bookmarkStart w:id="68" w:name="_Toc62134743"/>
      <w:bookmarkStart w:id="69" w:name="_Toc203646087"/>
      <w:bookmarkStart w:id="70" w:name="_Toc203940095"/>
      <w:r>
        <w:t>(iii) request from the Scheme employer for a contribution review</w:t>
      </w:r>
      <w:bookmarkEnd w:id="68"/>
      <w:bookmarkEnd w:id="69"/>
      <w:bookmarkEnd w:id="70"/>
    </w:p>
    <w:p w14:paraId="6B409D8F" w14:textId="439522B1" w:rsidR="007D2AA7" w:rsidRDefault="007D2AA7" w:rsidP="007D2AA7">
      <w:pPr>
        <w:pStyle w:val="BodyText"/>
      </w:pPr>
      <w:r>
        <w:t xml:space="preserve">A request can be made by a Scheme employer for a review of contribution rates outside of the formal actuarial process. This </w:t>
      </w:r>
      <w:r w:rsidR="00C038F6">
        <w:t xml:space="preserve">may </w:t>
      </w:r>
      <w:r>
        <w:t>be triggered by one of the following two conditions:</w:t>
      </w:r>
    </w:p>
    <w:p w14:paraId="28E9652C" w14:textId="77777777" w:rsidR="007D2AA7" w:rsidRDefault="007D2AA7" w:rsidP="007D2AA7">
      <w:pPr>
        <w:pStyle w:val="List"/>
      </w:pPr>
      <w:r>
        <w:t>There has been a significant change in the liabilities arising or likely to arise; and/or</w:t>
      </w:r>
    </w:p>
    <w:p w14:paraId="1CDB03F5" w14:textId="77777777" w:rsidR="007D2AA7" w:rsidRDefault="007D2AA7" w:rsidP="007D2AA7">
      <w:pPr>
        <w:pStyle w:val="List"/>
      </w:pPr>
      <w:r>
        <w:t>There has been a significant change in the ability of the Scheme employer to meet its obligations to the Fund.</w:t>
      </w:r>
    </w:p>
    <w:p w14:paraId="19337F9C" w14:textId="4B60A935" w:rsidR="007D2AA7" w:rsidRDefault="00C038F6" w:rsidP="007D2AA7">
      <w:pPr>
        <w:pStyle w:val="BodyText"/>
      </w:pPr>
      <w:r w:rsidRPr="00C038F6">
        <w:t>If a request is made for any other reason, then it will be considered by the Administering Authority on a case-by-case</w:t>
      </w:r>
      <w:r>
        <w:t xml:space="preserve"> basis</w:t>
      </w:r>
      <w:r w:rsidR="007D2AA7">
        <w:t>.</w:t>
      </w:r>
    </w:p>
    <w:p w14:paraId="67B34096" w14:textId="77777777" w:rsidR="007D2AA7" w:rsidRDefault="007D2AA7" w:rsidP="007D2AA7">
      <w:pPr>
        <w:pStyle w:val="BodyText"/>
      </w:pPr>
      <w:r w:rsidRPr="00B34E65">
        <w:t xml:space="preserve">Requests by a Scheme employer are limited to </w:t>
      </w:r>
      <w:r w:rsidRPr="00533EC4">
        <w:t>one review per calendar year.</w:t>
      </w:r>
    </w:p>
    <w:p w14:paraId="62C1AE2E" w14:textId="09F0D719" w:rsidR="007D2AA7" w:rsidRDefault="007D2AA7" w:rsidP="007D2AA7">
      <w:pPr>
        <w:pStyle w:val="BodyText"/>
      </w:pPr>
      <w:r>
        <w:t xml:space="preserve">With the exception of any cases where the Scheme employer is expected to cease before the next rates and adjustments certificate comes into effect, </w:t>
      </w:r>
      <w:r w:rsidR="00315639">
        <w:t>we</w:t>
      </w:r>
      <w:r>
        <w:t xml:space="preserve"> will not accept a request for a review of contributions with an effective date within the </w:t>
      </w:r>
      <w:r w:rsidRPr="00533EC4">
        <w:t xml:space="preserve">12 months </w:t>
      </w:r>
      <w:r>
        <w:t xml:space="preserve">preceding the next rates and adjustments certificate. It is expected in these cases that any requests can be factored </w:t>
      </w:r>
      <w:r w:rsidR="00315639">
        <w:t>into</w:t>
      </w:r>
      <w:r>
        <w:t xml:space="preserve"> the formal review and any benefits of carrying out a review just prior to the commencement of a new rates and adjustments certificate are outweighed by the costs and resource required. </w:t>
      </w:r>
    </w:p>
    <w:p w14:paraId="48852BB6" w14:textId="6017FB31" w:rsidR="00F66AFC" w:rsidRDefault="00F66AFC" w:rsidP="007D2AA7">
      <w:pPr>
        <w:pStyle w:val="BodyText"/>
      </w:pPr>
      <w:r>
        <w:t xml:space="preserve">If a request is made with an effective date </w:t>
      </w:r>
      <w:r w:rsidRPr="00533EC4">
        <w:t xml:space="preserve">within the 12 months </w:t>
      </w:r>
      <w:r w:rsidRPr="004C0503">
        <w:t>preceding the next Rates and Adjustments certificate</w:t>
      </w:r>
      <w:r>
        <w:t>, the administering authority will instead reflect these changes in the actuarial valuation and the rates being certified and taking effect the year following the valuation date.</w:t>
      </w:r>
    </w:p>
    <w:p w14:paraId="3B4405EF" w14:textId="77777777" w:rsidR="007D2AA7" w:rsidRDefault="007D2AA7" w:rsidP="00D45ABD">
      <w:pPr>
        <w:pStyle w:val="Notheader1"/>
      </w:pPr>
      <w:r>
        <w:t>Information required from the Scheme employer</w:t>
      </w:r>
    </w:p>
    <w:p w14:paraId="3BA478E4" w14:textId="77777777" w:rsidR="007D2AA7" w:rsidRDefault="007D2AA7" w:rsidP="007D2AA7">
      <w:pPr>
        <w:pStyle w:val="BodyText"/>
      </w:pPr>
      <w:r>
        <w:t>In order to submit a request for a review of contribution rates outside of the formal actuarial valuation process, a Scheme employer must provide the following to the Fund:</w:t>
      </w:r>
    </w:p>
    <w:p w14:paraId="2FBE9F37" w14:textId="77777777" w:rsidR="007D2AA7" w:rsidRDefault="007D2AA7" w:rsidP="007D2AA7">
      <w:pPr>
        <w:pStyle w:val="List"/>
      </w:pPr>
      <w:r>
        <w:t xml:space="preserve">Where a review is sought due to a potential change in the Scheme employer’s liabilities: </w:t>
      </w:r>
    </w:p>
    <w:p w14:paraId="3EEED965" w14:textId="77777777" w:rsidR="007D2AA7" w:rsidRDefault="007D2AA7" w:rsidP="007D2AA7">
      <w:pPr>
        <w:pStyle w:val="List"/>
        <w:numPr>
          <w:ilvl w:val="1"/>
          <w:numId w:val="24"/>
        </w:numPr>
      </w:pPr>
      <w:r>
        <w:t>Membership data or details of membership changes to evidence that the liabilities have materially changed, or are likely to change</w:t>
      </w:r>
    </w:p>
    <w:p w14:paraId="6C16DE6A" w14:textId="77777777" w:rsidR="007D2AA7" w:rsidRDefault="007D2AA7" w:rsidP="007D2AA7">
      <w:pPr>
        <w:pStyle w:val="List"/>
      </w:pPr>
      <w:r>
        <w:t xml:space="preserve">Where a review is sought due to a potential change in the ability of the Scheme employer to meet its obligations: </w:t>
      </w:r>
    </w:p>
    <w:p w14:paraId="445F89D6" w14:textId="77777777" w:rsidR="007D2AA7" w:rsidRDefault="007D2AA7" w:rsidP="007D2AA7">
      <w:pPr>
        <w:pStyle w:val="List"/>
        <w:numPr>
          <w:ilvl w:val="1"/>
          <w:numId w:val="24"/>
        </w:numPr>
      </w:pPr>
      <w:r>
        <w:t>The most recent annual report and accounts for the Scheme employer</w:t>
      </w:r>
    </w:p>
    <w:p w14:paraId="20379E00" w14:textId="77777777" w:rsidR="007D2AA7" w:rsidRDefault="007D2AA7" w:rsidP="007D2AA7">
      <w:pPr>
        <w:pStyle w:val="List"/>
        <w:numPr>
          <w:ilvl w:val="1"/>
          <w:numId w:val="24"/>
        </w:numPr>
      </w:pPr>
      <w:r>
        <w:t>The most recent management accounts</w:t>
      </w:r>
    </w:p>
    <w:p w14:paraId="10B535E0" w14:textId="77777777" w:rsidR="007D2AA7" w:rsidRDefault="007D2AA7" w:rsidP="007D2AA7">
      <w:pPr>
        <w:pStyle w:val="List"/>
        <w:numPr>
          <w:ilvl w:val="1"/>
          <w:numId w:val="24"/>
        </w:numPr>
      </w:pPr>
      <w:r>
        <w:lastRenderedPageBreak/>
        <w:t>Financial forecasts for a minimum of three years</w:t>
      </w:r>
    </w:p>
    <w:p w14:paraId="12E09DFB" w14:textId="77777777" w:rsidR="007D2AA7" w:rsidRDefault="007D2AA7" w:rsidP="007D2AA7">
      <w:pPr>
        <w:pStyle w:val="List"/>
        <w:numPr>
          <w:ilvl w:val="1"/>
          <w:numId w:val="24"/>
        </w:numPr>
      </w:pPr>
      <w:r>
        <w:t>The change in security or guarantee to be provided in respect of the Scheme employer’s liabilities</w:t>
      </w:r>
    </w:p>
    <w:p w14:paraId="4E196439" w14:textId="65FB42B5" w:rsidR="007D2AA7" w:rsidRDefault="007F6585" w:rsidP="007D2AA7">
      <w:pPr>
        <w:pStyle w:val="BodyText"/>
      </w:pPr>
      <w:r>
        <w:t>We</w:t>
      </w:r>
      <w:r w:rsidR="007D2AA7">
        <w:t xml:space="preserve"> may require further evidence to support the request and this will be requested on a case by case basis.</w:t>
      </w:r>
    </w:p>
    <w:p w14:paraId="3F26C7D5" w14:textId="77777777" w:rsidR="007D2AA7" w:rsidRDefault="007D2AA7" w:rsidP="00D45ABD">
      <w:pPr>
        <w:pStyle w:val="Notheader1"/>
      </w:pPr>
      <w:bookmarkStart w:id="71" w:name="_Toc62134744"/>
      <w:bookmarkStart w:id="72" w:name="_Toc203646088"/>
      <w:bookmarkStart w:id="73" w:name="_Toc203940096"/>
      <w:r>
        <w:t>Assessing the appropriateness of a review</w:t>
      </w:r>
      <w:bookmarkEnd w:id="71"/>
      <w:bookmarkEnd w:id="72"/>
      <w:bookmarkEnd w:id="73"/>
    </w:p>
    <w:p w14:paraId="4DCD0A26" w14:textId="30D4DB9E" w:rsidR="007D2AA7" w:rsidRDefault="00295B0C" w:rsidP="007D2AA7">
      <w:pPr>
        <w:pStyle w:val="BodyText"/>
      </w:pPr>
      <w:r>
        <w:t xml:space="preserve">We will take </w:t>
      </w:r>
      <w:r w:rsidR="007D2AA7">
        <w:t>following general considerations into account</w:t>
      </w:r>
      <w:r w:rsidR="00EC659F">
        <w:t xml:space="preserve"> in all scenarios</w:t>
      </w:r>
      <w:r w:rsidR="007D2AA7">
        <w:t>:</w:t>
      </w:r>
    </w:p>
    <w:p w14:paraId="4E0B307E" w14:textId="77777777" w:rsidR="007D2AA7" w:rsidRDefault="007D2AA7" w:rsidP="007D2AA7">
      <w:pPr>
        <w:pStyle w:val="List"/>
      </w:pPr>
      <w:r>
        <w:t xml:space="preserve">the expected term for which the Scheme employer will continue to participate in the Fund; </w:t>
      </w:r>
    </w:p>
    <w:p w14:paraId="1E501FB4" w14:textId="77777777" w:rsidR="007D2AA7" w:rsidRDefault="007D2AA7" w:rsidP="007D2AA7">
      <w:pPr>
        <w:pStyle w:val="List"/>
      </w:pPr>
      <w:r>
        <w:t xml:space="preserve">the time remaining to the next formal funding valuation; </w:t>
      </w:r>
    </w:p>
    <w:p w14:paraId="02DCEC46" w14:textId="77777777" w:rsidR="007D2AA7" w:rsidRDefault="007D2AA7" w:rsidP="007D2AA7">
      <w:pPr>
        <w:pStyle w:val="List"/>
      </w:pPr>
      <w:r>
        <w:t>the cost of the review relative to the anticipated change in contribution rates and the benefit to the Scheme employer, the Fund and/or the other Scheme employers; and</w:t>
      </w:r>
    </w:p>
    <w:p w14:paraId="7060EF86" w14:textId="77777777" w:rsidR="007D2AA7" w:rsidRDefault="007D2AA7" w:rsidP="007D2AA7">
      <w:pPr>
        <w:pStyle w:val="List"/>
      </w:pPr>
      <w:r>
        <w:t>the anticipated impact on the Fund and the other Fund employers, including the relative size of the change in liabilities and contributions and any change in the risk borne by other Fund employers.</w:t>
      </w:r>
    </w:p>
    <w:p w14:paraId="51D1ED6E" w14:textId="663EC05B" w:rsidR="007D2AA7" w:rsidRDefault="007D2AA7" w:rsidP="007D2AA7">
      <w:pPr>
        <w:pStyle w:val="BodyText"/>
      </w:pPr>
      <w:r>
        <w:t xml:space="preserve">Where the review has been requested by the Scheme employer, </w:t>
      </w:r>
      <w:r w:rsidR="00F8404A">
        <w:t>we</w:t>
      </w:r>
      <w:r>
        <w:t xml:space="preserve"> will also consider the information and evidence put forward by the Scheme employer. This may be with advice from the Fund Actuary where </w:t>
      </w:r>
      <w:r w:rsidR="009E7EC2">
        <w:t>required</w:t>
      </w:r>
      <w:r w:rsidR="005151EE">
        <w:t>. We</w:t>
      </w:r>
      <w:r>
        <w:t xml:space="preserve"> will include an assessment of whether there is a reasonable likelihood that a review would result in a change in the Scheme employer’s contribution rates. </w:t>
      </w:r>
      <w:r w:rsidR="00E1487C">
        <w:t>We</w:t>
      </w:r>
      <w:r>
        <w:t xml:space="preserve"> will also consider whether it is necessary to consult with any other Scheme employer e.g. where a guarantee may have been provided by another Scheme employer.</w:t>
      </w:r>
    </w:p>
    <w:p w14:paraId="7D8E6834" w14:textId="1BA23E6C" w:rsidR="007D2AA7" w:rsidRDefault="005E14DE" w:rsidP="007D2AA7">
      <w:pPr>
        <w:pStyle w:val="BodyText"/>
      </w:pPr>
      <w:r>
        <w:t>We will make t</w:t>
      </w:r>
      <w:r w:rsidR="007D2AA7">
        <w:t>he final decision of whether a review of contribution rates will be carried out after</w:t>
      </w:r>
      <w:r w:rsidR="0024405F">
        <w:t xml:space="preserve"> discussion with</w:t>
      </w:r>
      <w:r w:rsidR="007D2AA7">
        <w:t xml:space="preserve"> Fund Actuary. </w:t>
      </w:r>
      <w:r w:rsidR="00BC1DC9">
        <w:t xml:space="preserve">It is acknowledged that each Scheme employer’s situation may differ and therefore each decision will be made on a case by case basis. </w:t>
      </w:r>
    </w:p>
    <w:p w14:paraId="5B408B86" w14:textId="77777777" w:rsidR="007D2AA7" w:rsidRDefault="007D2AA7" w:rsidP="00D45ABD">
      <w:pPr>
        <w:pStyle w:val="Sub-heading"/>
      </w:pPr>
      <w:bookmarkStart w:id="74" w:name="_Toc62134745"/>
      <w:bookmarkStart w:id="75" w:name="_Toc203646089"/>
      <w:bookmarkStart w:id="76" w:name="_Toc203940097"/>
      <w:r>
        <w:t>Appropriateness of a review due to change in liabilities</w:t>
      </w:r>
      <w:bookmarkEnd w:id="74"/>
      <w:bookmarkEnd w:id="75"/>
      <w:bookmarkEnd w:id="76"/>
    </w:p>
    <w:p w14:paraId="56357E9A" w14:textId="14433738" w:rsidR="007D2AA7" w:rsidRDefault="007D2AA7" w:rsidP="007D2AA7">
      <w:pPr>
        <w:pStyle w:val="BodyText"/>
      </w:pPr>
      <w:r>
        <w:t>This will be subject to the following considerations in addition to the general considerations set out above</w:t>
      </w:r>
      <w:r w:rsidR="0059171C">
        <w:t xml:space="preserve"> and</w:t>
      </w:r>
      <w:r>
        <w:t>:</w:t>
      </w:r>
    </w:p>
    <w:p w14:paraId="5D46BB80" w14:textId="77777777" w:rsidR="007D2AA7" w:rsidRDefault="007D2AA7" w:rsidP="007D2AA7">
      <w:pPr>
        <w:pStyle w:val="List"/>
      </w:pPr>
      <w:r>
        <w:t>the size of the Scheme employer’s liabilities relative to the Fund and the extent to which they have changed;</w:t>
      </w:r>
    </w:p>
    <w:p w14:paraId="7D940A5E" w14:textId="77777777" w:rsidR="007D2AA7" w:rsidRDefault="007D2AA7" w:rsidP="007D2AA7">
      <w:pPr>
        <w:pStyle w:val="List"/>
      </w:pPr>
      <w:r>
        <w:t>the size of the event in terms of membership and liabilities relative to the Scheme employer and/or the Fund; and</w:t>
      </w:r>
    </w:p>
    <w:p w14:paraId="335EB56E" w14:textId="2F8794D1" w:rsidR="007D2AA7" w:rsidRDefault="007D2AA7" w:rsidP="007D2AA7">
      <w:pPr>
        <w:pStyle w:val="List"/>
      </w:pPr>
      <w:r>
        <w:t xml:space="preserve">the </w:t>
      </w:r>
      <w:r w:rsidR="000D7F93">
        <w:t>Administering Authority</w:t>
      </w:r>
      <w:r>
        <w:t>’s assessment of the ability of the Scheme employer to meet its obligations.</w:t>
      </w:r>
    </w:p>
    <w:p w14:paraId="53630B69" w14:textId="77777777" w:rsidR="007D2AA7" w:rsidRDefault="007D2AA7" w:rsidP="00673B1F">
      <w:pPr>
        <w:pStyle w:val="Sub-heading"/>
      </w:pPr>
      <w:bookmarkStart w:id="77" w:name="_Toc62134746"/>
      <w:bookmarkStart w:id="78" w:name="_Toc203646090"/>
      <w:bookmarkStart w:id="79" w:name="_Toc203940098"/>
      <w:r w:rsidRPr="00D45ABD">
        <w:rPr>
          <w:rStyle w:val="Sub-headingChar"/>
        </w:rPr>
        <w:t>Appropriateness of a review due to change in ability to meet its obligations to the Fund</w:t>
      </w:r>
      <w:bookmarkEnd w:id="77"/>
      <w:bookmarkEnd w:id="78"/>
      <w:bookmarkEnd w:id="79"/>
    </w:p>
    <w:p w14:paraId="19B99BCE" w14:textId="234012D0" w:rsidR="007D2AA7" w:rsidRDefault="0059171C" w:rsidP="007D2AA7">
      <w:pPr>
        <w:pStyle w:val="BodyText"/>
      </w:pPr>
      <w:r>
        <w:t>This will be subject to the following considerations in addition to the general considerations set out above and</w:t>
      </w:r>
      <w:r w:rsidR="007D2AA7">
        <w:t>:</w:t>
      </w:r>
    </w:p>
    <w:p w14:paraId="009AED74" w14:textId="77777777" w:rsidR="007D2AA7" w:rsidRDefault="007D2AA7" w:rsidP="007D2AA7">
      <w:pPr>
        <w:pStyle w:val="List"/>
      </w:pPr>
      <w:r>
        <w:t>The results of any employer risk analysis provided by the Fund Actuary or a covenant specialist</w:t>
      </w:r>
    </w:p>
    <w:p w14:paraId="529436C8" w14:textId="5C551AA3" w:rsidR="007D2AA7" w:rsidRDefault="007D2AA7" w:rsidP="007D2AA7">
      <w:pPr>
        <w:pStyle w:val="List"/>
      </w:pPr>
      <w:r>
        <w:t xml:space="preserve">The perceived change in the value of the indemnity to the </w:t>
      </w:r>
      <w:r w:rsidR="000D7F93">
        <w:t>Administering Authority</w:t>
      </w:r>
      <w:r>
        <w:t>, relative to the size of the Scheme employer’s liabilities</w:t>
      </w:r>
    </w:p>
    <w:p w14:paraId="1B0686FA" w14:textId="69456D0C" w:rsidR="007D2AA7" w:rsidRDefault="007D2AA7" w:rsidP="007D2AA7">
      <w:pPr>
        <w:pStyle w:val="BodyText"/>
      </w:pPr>
      <w:r>
        <w:t>Further considerations to that set out above may be relevant and will be taken into account as required.</w:t>
      </w:r>
    </w:p>
    <w:p w14:paraId="6474EE79" w14:textId="77777777" w:rsidR="007D2AA7" w:rsidRDefault="007D2AA7" w:rsidP="00D45ABD">
      <w:pPr>
        <w:pStyle w:val="Notheader1"/>
        <w:keepNext/>
        <w:keepLines/>
      </w:pPr>
      <w:bookmarkStart w:id="80" w:name="_Toc62134747"/>
      <w:bookmarkStart w:id="81" w:name="_Toc203646091"/>
      <w:bookmarkStart w:id="82" w:name="_Toc203940099"/>
      <w:r>
        <w:lastRenderedPageBreak/>
        <w:t>Method used for reviewing contribution rates</w:t>
      </w:r>
      <w:bookmarkEnd w:id="80"/>
      <w:bookmarkEnd w:id="81"/>
      <w:bookmarkEnd w:id="82"/>
    </w:p>
    <w:p w14:paraId="74ED86FF" w14:textId="27755AEC" w:rsidR="007D2AA7" w:rsidRDefault="007D2AA7" w:rsidP="00D45ABD">
      <w:pPr>
        <w:pStyle w:val="BodyText"/>
        <w:keepNext/>
        <w:keepLines/>
      </w:pPr>
      <w:r>
        <w:t xml:space="preserve">If a review of contribution rates is agreed, or if an indicative review is required to help inform the review process, </w:t>
      </w:r>
      <w:r w:rsidR="00DC5264">
        <w:t>we</w:t>
      </w:r>
      <w:r>
        <w:t xml:space="preserve"> will take advice from the Fund Actuary on the calculation of the Scheme employer’s revised contribution rates. This will take into account the events leading to the anticipated liability change and any impact of the changes in the Scheme employer’s ability to meet its obligations to the Fund.</w:t>
      </w:r>
    </w:p>
    <w:p w14:paraId="3C51912E" w14:textId="0AC79EAE" w:rsidR="007D2AA7" w:rsidRDefault="007D2AA7" w:rsidP="007D2AA7">
      <w:pPr>
        <w:pStyle w:val="BodyText"/>
      </w:pPr>
      <w:r>
        <w:t>The table below sets out the general approach that will be used when carrying out this review.</w:t>
      </w:r>
    </w:p>
    <w:tbl>
      <w:tblPr>
        <w:tblStyle w:val="TableGrid"/>
        <w:tblW w:w="0" w:type="auto"/>
        <w:tblLook w:val="04A0" w:firstRow="1" w:lastRow="0" w:firstColumn="1" w:lastColumn="0" w:noHBand="0" w:noVBand="1"/>
      </w:tblPr>
      <w:tblGrid>
        <w:gridCol w:w="2547"/>
        <w:gridCol w:w="7309"/>
      </w:tblGrid>
      <w:tr w:rsidR="007D2AA7" w14:paraId="2DC06597" w14:textId="77777777" w:rsidTr="00F2122E">
        <w:tc>
          <w:tcPr>
            <w:tcW w:w="2547" w:type="dxa"/>
          </w:tcPr>
          <w:p w14:paraId="203B5DD7" w14:textId="77777777" w:rsidR="007D2AA7" w:rsidRDefault="007D2AA7" w:rsidP="000E183E">
            <w:pPr>
              <w:pStyle w:val="BodyText"/>
            </w:pPr>
          </w:p>
        </w:tc>
        <w:tc>
          <w:tcPr>
            <w:tcW w:w="7309" w:type="dxa"/>
          </w:tcPr>
          <w:p w14:paraId="208BC990" w14:textId="77777777" w:rsidR="007D2AA7" w:rsidRDefault="007D2AA7" w:rsidP="00673B1F">
            <w:pPr>
              <w:pStyle w:val="Sub-heading"/>
            </w:pPr>
            <w:bookmarkStart w:id="83" w:name="_Toc203646092"/>
            <w:bookmarkStart w:id="84" w:name="_Toc203940100"/>
            <w:r>
              <w:t>General approach</w:t>
            </w:r>
            <w:bookmarkEnd w:id="83"/>
            <w:bookmarkEnd w:id="84"/>
          </w:p>
        </w:tc>
      </w:tr>
      <w:tr w:rsidR="007D2AA7" w14:paraId="084BE633" w14:textId="77777777" w:rsidTr="00F2122E">
        <w:tc>
          <w:tcPr>
            <w:tcW w:w="2547" w:type="dxa"/>
          </w:tcPr>
          <w:p w14:paraId="4906283F" w14:textId="77777777" w:rsidR="007D2AA7" w:rsidRDefault="007D2AA7" w:rsidP="000E183E">
            <w:pPr>
              <w:pStyle w:val="BodyText"/>
            </w:pPr>
            <w:r>
              <w:t>Member data</w:t>
            </w:r>
          </w:p>
        </w:tc>
        <w:tc>
          <w:tcPr>
            <w:tcW w:w="7309" w:type="dxa"/>
          </w:tcPr>
          <w:p w14:paraId="0C42E34A" w14:textId="271F3D3F" w:rsidR="007D2AA7" w:rsidRDefault="005D748B" w:rsidP="000E183E">
            <w:pPr>
              <w:pStyle w:val="BodyText"/>
            </w:pPr>
            <w:r>
              <w:t xml:space="preserve">The starting point for reviewing a Scheme employer’s contribution rates will in some cases be the most recent actuarial valuation. </w:t>
            </w:r>
          </w:p>
          <w:p w14:paraId="7D163EA8" w14:textId="3891A67C" w:rsidR="007D2AA7" w:rsidRDefault="007D2AA7" w:rsidP="000E183E">
            <w:pPr>
              <w:pStyle w:val="BodyText"/>
            </w:pPr>
            <w:r>
              <w:t xml:space="preserve">In most cases, given the review is due to an anticipated change in membership, the </w:t>
            </w:r>
            <w:r w:rsidR="000D7F93">
              <w:t>Administering Authority</w:t>
            </w:r>
            <w:r>
              <w:t xml:space="preserve"> and Scheme employer should work together to provide updated membership data for use in calculations. There may be instances where updated membership data is not required if it is deemed proportionate to use the most recent actuarial valuation data without adjustment. </w:t>
            </w:r>
          </w:p>
          <w:p w14:paraId="596EBCC0" w14:textId="747D7107" w:rsidR="007D2AA7" w:rsidRDefault="007D2AA7" w:rsidP="000E183E">
            <w:pPr>
              <w:pStyle w:val="BodyText"/>
            </w:pPr>
            <w:r>
              <w:t>Where the cause for a review is due to a change in a Scheme employer’s ability to meet its obligations to the Fund, updated membership data may not need to be used unless any significant membership movements since the previous valuation are known.</w:t>
            </w:r>
          </w:p>
        </w:tc>
      </w:tr>
      <w:tr w:rsidR="007D2AA7" w14:paraId="23B53EF4" w14:textId="77777777" w:rsidTr="00F2122E">
        <w:tc>
          <w:tcPr>
            <w:tcW w:w="2547" w:type="dxa"/>
          </w:tcPr>
          <w:p w14:paraId="62CADAD6" w14:textId="77777777" w:rsidR="007D2AA7" w:rsidRDefault="007D2AA7" w:rsidP="000E183E">
            <w:pPr>
              <w:pStyle w:val="BodyText"/>
            </w:pPr>
            <w:r>
              <w:t>Approach to setting assumptions</w:t>
            </w:r>
          </w:p>
        </w:tc>
        <w:tc>
          <w:tcPr>
            <w:tcW w:w="7309" w:type="dxa"/>
          </w:tcPr>
          <w:p w14:paraId="1B3A394F" w14:textId="0B65FCE7" w:rsidR="007D2AA7" w:rsidRDefault="007D2AA7" w:rsidP="000E183E">
            <w:pPr>
              <w:pStyle w:val="BodyText"/>
            </w:pPr>
            <w:r>
              <w:t xml:space="preserve">This will be in line with that adopted for the most recent actuarial valuation, </w:t>
            </w:r>
            <w:r w:rsidR="00563187">
              <w:t>as</w:t>
            </w:r>
            <w:r>
              <w:t xml:space="preserve"> set out in the Fund’s Funding Strategy Statement</w:t>
            </w:r>
            <w:r w:rsidR="00530CE4">
              <w:t xml:space="preserve"> (FSS)</w:t>
            </w:r>
            <w:r>
              <w:t>.</w:t>
            </w:r>
          </w:p>
        </w:tc>
      </w:tr>
      <w:tr w:rsidR="007D2AA7" w14:paraId="4644AF05" w14:textId="77777777" w:rsidTr="00F2122E">
        <w:tc>
          <w:tcPr>
            <w:tcW w:w="2547" w:type="dxa"/>
          </w:tcPr>
          <w:p w14:paraId="7B3CD367" w14:textId="77777777" w:rsidR="007D2AA7" w:rsidRDefault="007D2AA7" w:rsidP="000E183E">
            <w:pPr>
              <w:pStyle w:val="BodyText"/>
            </w:pPr>
            <w:r>
              <w:t>Market conditions underlying financial assumptions</w:t>
            </w:r>
          </w:p>
        </w:tc>
        <w:tc>
          <w:tcPr>
            <w:tcW w:w="7309" w:type="dxa"/>
          </w:tcPr>
          <w:p w14:paraId="67872288" w14:textId="77777777" w:rsidR="007D2AA7" w:rsidRDefault="007D2AA7" w:rsidP="000E183E">
            <w:pPr>
              <w:pStyle w:val="BodyText"/>
            </w:pPr>
            <w:r>
              <w:t>Unless an update is deemed more appropriate by the Fund Actuary, the market conditions will be in line with those at the most recent actuarial valuation.</w:t>
            </w:r>
          </w:p>
        </w:tc>
      </w:tr>
      <w:tr w:rsidR="007D2AA7" w14:paraId="2F962395" w14:textId="77777777" w:rsidTr="00F2122E">
        <w:tc>
          <w:tcPr>
            <w:tcW w:w="2547" w:type="dxa"/>
          </w:tcPr>
          <w:p w14:paraId="53FB3712" w14:textId="77777777" w:rsidR="007D2AA7" w:rsidRDefault="007D2AA7" w:rsidP="000E183E">
            <w:pPr>
              <w:pStyle w:val="BodyText"/>
            </w:pPr>
            <w:r>
              <w:t>Conditions underlying demographic assumptions</w:t>
            </w:r>
          </w:p>
        </w:tc>
        <w:tc>
          <w:tcPr>
            <w:tcW w:w="7309" w:type="dxa"/>
          </w:tcPr>
          <w:p w14:paraId="677C88BA" w14:textId="62A3D7FF" w:rsidR="007D2AA7" w:rsidRDefault="007D2AA7" w:rsidP="000E183E">
            <w:pPr>
              <w:pStyle w:val="BodyText"/>
            </w:pPr>
            <w:r>
              <w:t xml:space="preserve">Unless an update is deemed more appropriate by the Fund Actuary, the </w:t>
            </w:r>
            <w:r w:rsidR="00676CF5">
              <w:t>demographic assumptions</w:t>
            </w:r>
            <w:r w:rsidR="002C3465">
              <w:t xml:space="preserve"> </w:t>
            </w:r>
            <w:r>
              <w:t>will be in line with those at the most recent actuarial valuation.</w:t>
            </w:r>
          </w:p>
        </w:tc>
      </w:tr>
      <w:tr w:rsidR="007D2AA7" w14:paraId="63660088" w14:textId="77777777" w:rsidTr="00F2122E">
        <w:tc>
          <w:tcPr>
            <w:tcW w:w="2547" w:type="dxa"/>
          </w:tcPr>
          <w:p w14:paraId="2DDFE711" w14:textId="77777777" w:rsidR="007D2AA7" w:rsidRDefault="007D2AA7" w:rsidP="000E183E">
            <w:pPr>
              <w:pStyle w:val="BodyText"/>
            </w:pPr>
            <w:r>
              <w:t>Funding target</w:t>
            </w:r>
          </w:p>
        </w:tc>
        <w:tc>
          <w:tcPr>
            <w:tcW w:w="7309" w:type="dxa"/>
          </w:tcPr>
          <w:p w14:paraId="01B04C26" w14:textId="42A246AD" w:rsidR="007D2AA7" w:rsidRDefault="007D2AA7" w:rsidP="000E183E">
            <w:pPr>
              <w:pStyle w:val="BodyText"/>
            </w:pPr>
            <w:r>
              <w:t xml:space="preserve">The funding target adopted for a Scheme employer will be set in line with the Fund’s </w:t>
            </w:r>
            <w:r w:rsidR="00530CE4">
              <w:t>FSS</w:t>
            </w:r>
            <w:r>
              <w:t>, which may be different from the approach adopted at the most recent actuarial valuation due to a change in the Scheme employer’s circumstances.</w:t>
            </w:r>
          </w:p>
        </w:tc>
      </w:tr>
      <w:tr w:rsidR="007D2AA7" w14:paraId="48FAD847" w14:textId="77777777" w:rsidTr="00F2122E">
        <w:tc>
          <w:tcPr>
            <w:tcW w:w="2547" w:type="dxa"/>
          </w:tcPr>
          <w:p w14:paraId="5B2F3A1F" w14:textId="77777777" w:rsidR="007D2AA7" w:rsidRDefault="007D2AA7" w:rsidP="000E183E">
            <w:pPr>
              <w:pStyle w:val="BodyText"/>
            </w:pPr>
            <w:r>
              <w:t>Surplus/deficit recovery period</w:t>
            </w:r>
          </w:p>
        </w:tc>
        <w:tc>
          <w:tcPr>
            <w:tcW w:w="7309" w:type="dxa"/>
          </w:tcPr>
          <w:p w14:paraId="3DD5AA80" w14:textId="667E2A0B" w:rsidR="007D2AA7" w:rsidRDefault="007D2AA7" w:rsidP="000E183E">
            <w:pPr>
              <w:pStyle w:val="BodyText"/>
            </w:pPr>
            <w:r>
              <w:t xml:space="preserve">The surplus/deficit recovery period adopted for a Scheme employer will be set in line with the Fund’s </w:t>
            </w:r>
            <w:r w:rsidR="00530CE4">
              <w:t>FSS</w:t>
            </w:r>
            <w:r>
              <w:t>, which may be different from the approach adopted at the most recent actuarial valuation due to a change in the Scheme employer’s circumstances.</w:t>
            </w:r>
          </w:p>
        </w:tc>
      </w:tr>
    </w:tbl>
    <w:p w14:paraId="133195D9" w14:textId="5558ABFD" w:rsidR="007D2AA7" w:rsidRPr="00673B73" w:rsidRDefault="007D2AA7" w:rsidP="007D2AA7">
      <w:pPr>
        <w:pStyle w:val="BodyText"/>
      </w:pPr>
      <w:r>
        <w:t>The Fund Actuary will be consulted throughout the review process and will be responsible for providing</w:t>
      </w:r>
      <w:r w:rsidR="00DB525F">
        <w:t xml:space="preserve"> a</w:t>
      </w:r>
      <w:r>
        <w:t xml:space="preserve"> revised rates and adjustments certificate. Any deviations from the general approach set out above will be agreed by </w:t>
      </w:r>
      <w:r w:rsidR="00516586">
        <w:t>us</w:t>
      </w:r>
      <w:r>
        <w:t xml:space="preserve"> and the Fund Actuary. </w:t>
      </w:r>
    </w:p>
    <w:p w14:paraId="0BB8FB5D" w14:textId="77777777" w:rsidR="007D2AA7" w:rsidRDefault="007D2AA7" w:rsidP="0054530E">
      <w:pPr>
        <w:pStyle w:val="Heading2"/>
      </w:pPr>
      <w:bookmarkStart w:id="85" w:name="_Ref62130644"/>
      <w:bookmarkStart w:id="86" w:name="_Toc62134748"/>
      <w:bookmarkStart w:id="87" w:name="_Toc203646093"/>
      <w:bookmarkStart w:id="88" w:name="_Toc203940101"/>
      <w:bookmarkStart w:id="89" w:name="_Toc222823330"/>
      <w:r>
        <w:lastRenderedPageBreak/>
        <w:t>Appeals process</w:t>
      </w:r>
      <w:bookmarkEnd w:id="85"/>
      <w:bookmarkEnd w:id="86"/>
      <w:bookmarkEnd w:id="87"/>
      <w:bookmarkEnd w:id="88"/>
      <w:bookmarkEnd w:id="89"/>
    </w:p>
    <w:p w14:paraId="3F587FD7" w14:textId="1FC91954" w:rsidR="007D2AA7" w:rsidRPr="00B1038F" w:rsidRDefault="00651E51" w:rsidP="007D2AA7">
      <w:pPr>
        <w:spacing w:after="200" w:line="276" w:lineRule="auto"/>
        <w:rPr>
          <w:highlight w:val="cyan"/>
        </w:rPr>
      </w:pPr>
      <w:r w:rsidRPr="007F33C2">
        <w:t>Any appeals</w:t>
      </w:r>
      <w:r w:rsidRPr="00651E51">
        <w:t xml:space="preserve"> will be considered by the Strategic Director Resources on a case by case basis</w:t>
      </w:r>
      <w:r>
        <w:t>.</w:t>
      </w:r>
      <w:r w:rsidRPr="00651E51" w:rsidDel="00651E51">
        <w:rPr>
          <w:highlight w:val="yellow"/>
        </w:rPr>
        <w:t xml:space="preserve"> </w:t>
      </w:r>
    </w:p>
    <w:p w14:paraId="64D47A91" w14:textId="01C8076D" w:rsidR="009F7248" w:rsidRDefault="009F7248">
      <w:pPr>
        <w:spacing w:after="200" w:line="276" w:lineRule="auto"/>
        <w:rPr>
          <w:rFonts w:ascii="Segoe UI Semibold" w:eastAsiaTheme="majorEastAsia" w:hAnsi="Segoe UI Semibold"/>
          <w:bCs/>
          <w:color w:val="0069B4"/>
          <w:kern w:val="32"/>
          <w:sz w:val="56"/>
          <w:szCs w:val="32"/>
          <w:lang w:val="en-GB" w:bidi="ar-SA"/>
        </w:rPr>
      </w:pPr>
      <w:r>
        <w:rPr>
          <w:szCs w:val="32"/>
        </w:rPr>
        <w:br w:type="page"/>
      </w:r>
    </w:p>
    <w:p w14:paraId="759DAA08" w14:textId="603E05F0" w:rsidR="009F7248" w:rsidRDefault="009F7248" w:rsidP="004D42EA">
      <w:pPr>
        <w:pStyle w:val="Heading1"/>
      </w:pPr>
      <w:bookmarkStart w:id="90" w:name="_Ref204268010"/>
      <w:bookmarkStart w:id="91" w:name="_Ref204268063"/>
      <w:bookmarkStart w:id="92" w:name="_Toc222823331"/>
      <w:r>
        <w:lastRenderedPageBreak/>
        <w:t xml:space="preserve">Annex B: </w:t>
      </w:r>
      <w:r w:rsidR="0077455B">
        <w:t xml:space="preserve">Deferred debt </w:t>
      </w:r>
      <w:r w:rsidR="00F46CF2">
        <w:t xml:space="preserve">agreement </w:t>
      </w:r>
      <w:r w:rsidR="0077455B">
        <w:t>and debt spreading a</w:t>
      </w:r>
      <w:r w:rsidR="00F46CF2">
        <w:t>rrange</w:t>
      </w:r>
      <w:r w:rsidR="0077455B">
        <w:t>ment policies</w:t>
      </w:r>
      <w:bookmarkEnd w:id="90"/>
      <w:bookmarkEnd w:id="91"/>
      <w:bookmarkEnd w:id="92"/>
    </w:p>
    <w:p w14:paraId="3F69B158" w14:textId="77777777" w:rsidR="000F7471" w:rsidRDefault="000F7471" w:rsidP="005E7A38">
      <w:pPr>
        <w:pStyle w:val="Notheader1"/>
      </w:pPr>
      <w:bookmarkStart w:id="93" w:name="_Toc63178011"/>
      <w:bookmarkStart w:id="94" w:name="_Toc203646095"/>
      <w:bookmarkStart w:id="95" w:name="_Toc203940103"/>
      <w:r>
        <w:t>Introduction</w:t>
      </w:r>
      <w:bookmarkEnd w:id="93"/>
      <w:bookmarkEnd w:id="94"/>
      <w:bookmarkEnd w:id="95"/>
    </w:p>
    <w:p w14:paraId="762545E8" w14:textId="5B2EADB6" w:rsidR="005E1C2B" w:rsidRDefault="005E1C2B" w:rsidP="005E1C2B">
      <w:pPr>
        <w:pStyle w:val="BodyText"/>
      </w:pPr>
      <w:r>
        <w:t>This is the policy</w:t>
      </w:r>
      <w:r w:rsidR="00D40A93">
        <w:t xml:space="preserve"> on</w:t>
      </w:r>
      <w:r>
        <w:t xml:space="preserve"> </w:t>
      </w:r>
      <w:r w:rsidR="00D40A93">
        <w:t>deferred debt agreements (DDAs) and debt spreading a</w:t>
      </w:r>
      <w:r w:rsidR="00DA70C2">
        <w:t>rrangement</w:t>
      </w:r>
      <w:r w:rsidR="00D40A93">
        <w:t xml:space="preserve">s (DSAs) </w:t>
      </w:r>
      <w:r>
        <w:t>for the</w:t>
      </w:r>
      <w:r w:rsidR="000F1C1F">
        <w:t xml:space="preserve"> London Borough of Barking and Dagenham Pension Fund</w:t>
      </w:r>
      <w:r>
        <w:t xml:space="preserve"> (the Fund), part of the Local Government Pension Scheme (LGPS). It has been prepared by </w:t>
      </w:r>
      <w:r w:rsidR="000F1C1F">
        <w:t>London Borough of Barking and Dagenham</w:t>
      </w:r>
      <w:r>
        <w:t xml:space="preserve"> in our capacity as </w:t>
      </w:r>
      <w:r w:rsidR="000D7F93">
        <w:t>Administering Authority</w:t>
      </w:r>
      <w:r>
        <w:t xml:space="preserve"> of the Fund.</w:t>
      </w:r>
    </w:p>
    <w:p w14:paraId="4B7BED9C" w14:textId="0AA805B4" w:rsidR="000F7471" w:rsidRDefault="000F7471" w:rsidP="000F7471">
      <w:pPr>
        <w:pStyle w:val="BodyText"/>
      </w:pPr>
      <w:r>
        <w:t>When a Scheme employer becomes an exiting employer under Regulation 64, the Fund Actuary is</w:t>
      </w:r>
      <w:r w:rsidRPr="00585047">
        <w:t xml:space="preserve"> required to </w:t>
      </w:r>
      <w:r>
        <w:t xml:space="preserve">carry out a valuation to </w:t>
      </w:r>
      <w:r w:rsidRPr="00585047">
        <w:t>determine the exit payment due from the exiting employer to the Fund</w:t>
      </w:r>
      <w:r>
        <w:t>,</w:t>
      </w:r>
      <w:r w:rsidRPr="00585047">
        <w:t xml:space="preserve"> or the </w:t>
      </w:r>
      <w:r>
        <w:t>excess of assets in the Fund relating to that employer</w:t>
      </w:r>
      <w:r w:rsidRPr="00585047">
        <w:t xml:space="preserve">. </w:t>
      </w:r>
      <w:r>
        <w:t xml:space="preserve">Where an exit payment is due, the expectation is that the employer settles this debt immediately through a single cash payment. However, if the employer provides evidence that this is not possible, there are two alternatives available: Regulation 64(7A) enables the </w:t>
      </w:r>
      <w:r w:rsidR="000D7F93">
        <w:t>Administering Authority</w:t>
      </w:r>
      <w:r>
        <w:t xml:space="preserve"> to enter into a </w:t>
      </w:r>
      <w:r w:rsidR="00DA70C2">
        <w:t>DDA</w:t>
      </w:r>
      <w:r>
        <w:t xml:space="preserve"> with the employer while Regulation 64B enables the </w:t>
      </w:r>
      <w:r w:rsidR="000D7F93">
        <w:t>Administering Authority</w:t>
      </w:r>
      <w:r>
        <w:t xml:space="preserve"> to enter into a </w:t>
      </w:r>
      <w:r w:rsidR="00DA70C2">
        <w:t>DSA</w:t>
      </w:r>
      <w:r>
        <w:t>.</w:t>
      </w:r>
    </w:p>
    <w:p w14:paraId="6C574D5D" w14:textId="77777777" w:rsidR="000F7471" w:rsidDel="00033B06" w:rsidRDefault="000F7471" w:rsidP="000F7471">
      <w:pPr>
        <w:pStyle w:val="BodyText"/>
      </w:pPr>
      <w:r w:rsidDel="00033B06">
        <w:t xml:space="preserve">Under a DDA, the exiting employer becomes a deferred employer in the Fund (i.e. they remain as a Scheme employer but with no active members) and remains responsible for paying the secondary rate of contributions to fund their deficit. The secondary rate of contributions will be reviewed at each actuarial valuation until the termination of the agreement. </w:t>
      </w:r>
    </w:p>
    <w:p w14:paraId="6C3FE4DD" w14:textId="44491D98" w:rsidR="000F7471" w:rsidRDefault="000F7471" w:rsidP="000F7471">
      <w:pPr>
        <w:pStyle w:val="BodyText"/>
      </w:pPr>
      <w:r>
        <w:t xml:space="preserve">Under a DSA, the cessation debt is crystallised and spread, with interest, over a period deemed reasonable by the </w:t>
      </w:r>
      <w:r w:rsidR="000D7F93">
        <w:t>Administering Authority</w:t>
      </w:r>
      <w:r>
        <w:t xml:space="preserve"> having regard to the views of the Fund Actuary. </w:t>
      </w:r>
    </w:p>
    <w:p w14:paraId="6A3BEAB1" w14:textId="79810C98" w:rsidR="000F7471" w:rsidRDefault="000F7471" w:rsidP="000F7471">
      <w:pPr>
        <w:pStyle w:val="BodyText"/>
      </w:pPr>
      <w:r>
        <w:t xml:space="preserve">Whilst a DSA involves crystallising the cessation debt and the employer’s only obligation is to settle this set amount, in a DDA the employer remains in the Fund as a Scheme employer and is exposed to the same risks (unless agreed otherwise with the </w:t>
      </w:r>
      <w:r w:rsidR="000D7F93">
        <w:t>Administering Authority</w:t>
      </w:r>
      <w:r>
        <w:t>) as active employers in the Fund (e.g. investment, interest rate, inflation, longevity and regulatory risks) meaning that the deficit will change over time.</w:t>
      </w:r>
      <w:r w:rsidRPr="00E1367A">
        <w:t xml:space="preserve"> </w:t>
      </w:r>
    </w:p>
    <w:p w14:paraId="17A7849C" w14:textId="67B20DF2" w:rsidR="000F7471" w:rsidRDefault="000F7471" w:rsidP="000F7471">
      <w:pPr>
        <w:pStyle w:val="BodyText"/>
      </w:pPr>
      <w:r w:rsidRPr="00E71F06">
        <w:t xml:space="preserve">This policy document sets </w:t>
      </w:r>
      <w:r>
        <w:t xml:space="preserve">out the </w:t>
      </w:r>
      <w:r w:rsidR="000D7F93">
        <w:t>Administering Authority</w:t>
      </w:r>
      <w:r>
        <w:t>’s policy for entering into, monitoring and terminating a DDA or DSA.</w:t>
      </w:r>
    </w:p>
    <w:p w14:paraId="10971543" w14:textId="2373F2B1" w:rsidR="000F7471" w:rsidRDefault="000F7471" w:rsidP="000F7471">
      <w:pPr>
        <w:pStyle w:val="BodyText"/>
      </w:pPr>
      <w:r>
        <w:t xml:space="preserve">These policies have been prepared by the </w:t>
      </w:r>
      <w:r w:rsidR="000D7F93">
        <w:t>Administering Authority</w:t>
      </w:r>
      <w:r>
        <w:t xml:space="preserve"> following advice from the Fund Actuary, and following consultation with the Fund’s Scheme employers. In drafting this policy document, the </w:t>
      </w:r>
      <w:r w:rsidR="000D7F93">
        <w:t>Administering Authority</w:t>
      </w:r>
      <w:r>
        <w:t xml:space="preserve"> has taken into consideration the statutory guidance on preparing and maintaining policies on employer exit payments and deferred debt agreements which was issued </w:t>
      </w:r>
      <w:r w:rsidR="000E309F">
        <w:t xml:space="preserve">on 2 March 2021 </w:t>
      </w:r>
      <w:r>
        <w:t>by the Ministry of Housing, Communities and Local Government, and the Scheme Advisory Board’s guide to employer flexibilities</w:t>
      </w:r>
      <w:r w:rsidR="00823844">
        <w:t xml:space="preserve"> dated 5 March 2021</w:t>
      </w:r>
      <w:r>
        <w:t>.</w:t>
      </w:r>
    </w:p>
    <w:p w14:paraId="0F1774D9" w14:textId="77777777" w:rsidR="000F7471" w:rsidRDefault="000F7471" w:rsidP="005E7A38">
      <w:pPr>
        <w:pStyle w:val="Notheader1"/>
      </w:pPr>
      <w:bookmarkStart w:id="96" w:name="_Toc63178012"/>
      <w:bookmarkStart w:id="97" w:name="_Toc203646096"/>
      <w:bookmarkStart w:id="98" w:name="_Toc203940104"/>
      <w:r>
        <w:t>Approach for exiting employers</w:t>
      </w:r>
      <w:bookmarkEnd w:id="96"/>
      <w:bookmarkEnd w:id="97"/>
      <w:bookmarkEnd w:id="98"/>
    </w:p>
    <w:p w14:paraId="11EA6394" w14:textId="0BE79191" w:rsidR="000F7471" w:rsidRPr="00F06042" w:rsidRDefault="00F06042" w:rsidP="000F7471">
      <w:pPr>
        <w:pStyle w:val="BodyText"/>
      </w:pPr>
      <w:r>
        <w:t>If</w:t>
      </w:r>
      <w:r w:rsidR="000F7471">
        <w:t xml:space="preserve"> an employer becomes an exiting employer and an exit payment is identified, the Fund should seek to receive a </w:t>
      </w:r>
      <w:r w:rsidR="000F7471" w:rsidRPr="00F06042">
        <w:t>payment from the exiting employer equal to the exit payment in full.</w:t>
      </w:r>
    </w:p>
    <w:p w14:paraId="67FAE7D3" w14:textId="2C696C7F" w:rsidR="000F7471" w:rsidRDefault="000F7471" w:rsidP="000F7471">
      <w:pPr>
        <w:pStyle w:val="BodyText"/>
      </w:pPr>
      <w:r w:rsidRPr="00F06042">
        <w:t xml:space="preserve">The </w:t>
      </w:r>
      <w:r w:rsidR="000D7F93" w:rsidRPr="00F06042">
        <w:t>Administering Authority</w:t>
      </w:r>
      <w:r w:rsidRPr="00F06042">
        <w:t xml:space="preserve"> makes the exiting employer aware an exit payment is due by providing a revised rates and adjustments certificate in the form of a cessation valuation report produced by the Fund Actuary. Details of the Fund’s cessation policy can be found in the Fund’s Funding Strategy Statement (FSS).</w:t>
      </w:r>
    </w:p>
    <w:p w14:paraId="1F9C794C" w14:textId="28CB1282" w:rsidR="000F7471" w:rsidRDefault="000F7471" w:rsidP="000F7471">
      <w:pPr>
        <w:pStyle w:val="BodyText"/>
      </w:pPr>
      <w:r>
        <w:lastRenderedPageBreak/>
        <w:t xml:space="preserve">The default position is that the employer is required to make an exit payment in full </w:t>
      </w:r>
      <w:r w:rsidR="004F77AC" w:rsidRPr="00533EC4">
        <w:t xml:space="preserve">within </w:t>
      </w:r>
      <w:r w:rsidR="000F1C1F" w:rsidRPr="00533EC4">
        <w:t>28</w:t>
      </w:r>
      <w:r w:rsidR="004F77AC" w:rsidRPr="00533EC4">
        <w:t xml:space="preserve"> days as per the Fund’s Pension Administration Strategy.</w:t>
      </w:r>
      <w:r w:rsidRPr="00533EC4">
        <w:t xml:space="preserve"> However, if required, the exiting employer can inform the </w:t>
      </w:r>
      <w:r w:rsidR="000D7F93" w:rsidRPr="00533EC4">
        <w:t>Administering</w:t>
      </w:r>
      <w:r w:rsidR="000D7F93">
        <w:t xml:space="preserve"> Authority</w:t>
      </w:r>
      <w:r>
        <w:t xml:space="preserve">, along with evidence, that they are unable to do so and may request to enter either a DDA or DSA. If the </w:t>
      </w:r>
      <w:r w:rsidR="000D7F93">
        <w:t>Administering Authority</w:t>
      </w:r>
      <w:r>
        <w:t xml:space="preserve"> is satisfied with the evidence provided, the DDA or DSA process may proceed.</w:t>
      </w:r>
    </w:p>
    <w:p w14:paraId="50E624D0" w14:textId="48EAF86D" w:rsidR="000F7471" w:rsidRDefault="000F7471" w:rsidP="000F7471">
      <w:pPr>
        <w:pStyle w:val="BodyText"/>
      </w:pPr>
      <w:r>
        <w:t>Requests should be submitted</w:t>
      </w:r>
      <w:r w:rsidR="000521A7">
        <w:t xml:space="preserve"> to </w:t>
      </w:r>
      <w:r w:rsidR="00CF0214" w:rsidRPr="00533EC4">
        <w:t>the Fund at c</w:t>
      </w:r>
      <w:r w:rsidR="000521A7" w:rsidRPr="00533EC4">
        <w:t xml:space="preserve">ontact at </w:t>
      </w:r>
      <w:r w:rsidR="00651E51" w:rsidRPr="00533EC4">
        <w:t>pensions@lbbd.gov.uk</w:t>
      </w:r>
      <w:r w:rsidRPr="00533EC4">
        <w:t xml:space="preserve"> within 21 days of receiving confirmation of the exit payment required, or otherwise the exit payment should be paid to the Fund in full within </w:t>
      </w:r>
      <w:r w:rsidR="00651E51" w:rsidRPr="00533EC4">
        <w:t xml:space="preserve">28 </w:t>
      </w:r>
      <w:r w:rsidRPr="00533EC4">
        <w:t>days as per the Fund’s Pension Administration Strategy.</w:t>
      </w:r>
      <w:r>
        <w:t xml:space="preserve"> </w:t>
      </w:r>
    </w:p>
    <w:p w14:paraId="281F0EFD" w14:textId="1191D494" w:rsidR="000F7471" w:rsidRDefault="000F7471" w:rsidP="000F7471">
      <w:pPr>
        <w:pStyle w:val="BodyText"/>
      </w:pPr>
      <w:r>
        <w:t xml:space="preserve">Where possible, the </w:t>
      </w:r>
      <w:r w:rsidR="000D7F93">
        <w:t>Administering Authority</w:t>
      </w:r>
      <w:r>
        <w:t xml:space="preserve"> encourages employers who are approaching exit to engage with the </w:t>
      </w:r>
      <w:r w:rsidR="000D7F93">
        <w:t>Administering Authority</w:t>
      </w:r>
      <w:r>
        <w:t xml:space="preserve"> in advance </w:t>
      </w:r>
      <w:r w:rsidR="00F66AFC">
        <w:t>to</w:t>
      </w:r>
      <w:r>
        <w:t xml:space="preserve"> understand the options that may be available. An indicative cessation report can be produced to form the basis of discussions. </w:t>
      </w:r>
    </w:p>
    <w:p w14:paraId="4A8EC811" w14:textId="77777777" w:rsidR="000F7471" w:rsidRDefault="000F7471" w:rsidP="005E7A38">
      <w:pPr>
        <w:pStyle w:val="Notheader1"/>
      </w:pPr>
      <w:bookmarkStart w:id="99" w:name="_Toc63178013"/>
      <w:bookmarkStart w:id="100" w:name="_Toc203646097"/>
      <w:bookmarkStart w:id="101" w:name="_Toc203940105"/>
      <w:r>
        <w:t>Choosing a DDA or DSA</w:t>
      </w:r>
      <w:bookmarkEnd w:id="99"/>
      <w:bookmarkEnd w:id="100"/>
      <w:bookmarkEnd w:id="101"/>
    </w:p>
    <w:p w14:paraId="629E0AF1" w14:textId="77777777" w:rsidR="000F7471" w:rsidRDefault="000F7471" w:rsidP="000F7471">
      <w:pPr>
        <w:pStyle w:val="BodyText"/>
      </w:pPr>
      <w:r>
        <w:t>Consideration needs to be given as to which approach is the most appropriate in each case. A DDA may be appropriate if:</w:t>
      </w:r>
    </w:p>
    <w:p w14:paraId="6416A66D" w14:textId="7CCA3C63" w:rsidR="000F7471" w:rsidRDefault="000F7471" w:rsidP="000F7471">
      <w:pPr>
        <w:pStyle w:val="List"/>
      </w:pPr>
      <w:r>
        <w:t>the employer temporarily has no active members but expects it may return to active employer status in future. However, please note that if the plan is for active members to join within three years then a suspension notice may be more appropriate;</w:t>
      </w:r>
    </w:p>
    <w:p w14:paraId="53FB8C7F" w14:textId="617659F5" w:rsidR="000F7471" w:rsidRDefault="000F7471" w:rsidP="000F7471">
      <w:pPr>
        <w:pStyle w:val="List"/>
      </w:pPr>
      <w:r>
        <w:t xml:space="preserve">the employer wants to minimise costs by potentially benefitting from the upside of the pensions risks it would remain exposed to and therefore does not want to crystallise its debt by becoming an exiting employer. In this case the </w:t>
      </w:r>
      <w:r w:rsidR="000D7F93">
        <w:t>Administering Authority</w:t>
      </w:r>
      <w:r>
        <w:t xml:space="preserve"> may be willing to defer crystallisation of the cessation debt for an appropriately significant period of time, subject to the strength of the employer’s covenant or security provided;</w:t>
      </w:r>
    </w:p>
    <w:p w14:paraId="7449C95D" w14:textId="77777777" w:rsidR="000F7471" w:rsidRDefault="000F7471" w:rsidP="000F7471">
      <w:pPr>
        <w:pStyle w:val="List"/>
      </w:pPr>
      <w:r>
        <w:t>initial affordability of the full exit payment is low but there is a prospect of increased affordability in the future, or the payment can only be afforded over a long period and therefore a DDA enables the position to be updated over time in light of changing funding positions; and/or</w:t>
      </w:r>
    </w:p>
    <w:p w14:paraId="4DBEDDD6" w14:textId="27291EDF" w:rsidR="000F7471" w:rsidRDefault="000F7471" w:rsidP="000F7471">
      <w:pPr>
        <w:pStyle w:val="List"/>
      </w:pPr>
      <w:r>
        <w:t xml:space="preserve">the employer has a weak covenant but is not faced with imminent insolvency and must rely on future investment returns to fully or partially fund the exit payment. The </w:t>
      </w:r>
      <w:r w:rsidR="000D7F93">
        <w:t>Administering Authority</w:t>
      </w:r>
      <w:r>
        <w:t xml:space="preserve"> may agree that doing so over an appropriate long period is better for the Fund than risking immediate insolvency of the employer.</w:t>
      </w:r>
    </w:p>
    <w:p w14:paraId="2E5127B2" w14:textId="77777777" w:rsidR="000F7471" w:rsidRDefault="000F7471" w:rsidP="000F7471">
      <w:pPr>
        <w:pStyle w:val="BodyText"/>
      </w:pPr>
      <w:r>
        <w:t>On the other hand, it may be more appropriate to enter a DSA if:</w:t>
      </w:r>
    </w:p>
    <w:p w14:paraId="7A6CA00B" w14:textId="77777777" w:rsidR="000F7471" w:rsidRDefault="000F7471" w:rsidP="000F7471">
      <w:pPr>
        <w:pStyle w:val="List"/>
      </w:pPr>
      <w:r>
        <w:t>the employer does not intend to employ any more active members and therefore is not expected to resume active employer status;</w:t>
      </w:r>
    </w:p>
    <w:p w14:paraId="3444B1AB" w14:textId="77777777" w:rsidR="000F7471" w:rsidRDefault="000F7471" w:rsidP="000F7471">
      <w:pPr>
        <w:pStyle w:val="List"/>
      </w:pPr>
      <w:r>
        <w:t>the employer wishes to crystallise its debt to the Fund and therefore not be subject to any of the pensions risks that could cause the amounts payable to the Fund increasing (or decreasing) in future;</w:t>
      </w:r>
    </w:p>
    <w:p w14:paraId="4A60C7B6" w14:textId="77777777" w:rsidR="000F7471" w:rsidRDefault="000F7471" w:rsidP="000F7471">
      <w:pPr>
        <w:pStyle w:val="List"/>
      </w:pPr>
      <w:r>
        <w:t>the employer has ample resources to make the payment within the near future but not immediately; and/or</w:t>
      </w:r>
    </w:p>
    <w:p w14:paraId="7DDA5BBE" w14:textId="52C27E8D" w:rsidR="000F7471" w:rsidRDefault="000F7471" w:rsidP="000F7471">
      <w:pPr>
        <w:pStyle w:val="List"/>
      </w:pPr>
      <w:r>
        <w:t xml:space="preserve">the employer is deemed to have a very weak covenant and so the </w:t>
      </w:r>
      <w:r w:rsidR="000D7F93">
        <w:t>Administering Authority</w:t>
      </w:r>
      <w:r>
        <w:t xml:space="preserve"> will want to try to recoup as much of the exit payment as possible before the employer becomes insolvent.</w:t>
      </w:r>
    </w:p>
    <w:p w14:paraId="3CFE84EE" w14:textId="172A800E" w:rsidR="000F7471" w:rsidRDefault="000F7471" w:rsidP="000F7471">
      <w:pPr>
        <w:pStyle w:val="BodyText"/>
      </w:pPr>
      <w:r>
        <w:lastRenderedPageBreak/>
        <w:t xml:space="preserve">The </w:t>
      </w:r>
      <w:r w:rsidR="000D7F93">
        <w:t>Administering Authority</w:t>
      </w:r>
      <w:r>
        <w:t xml:space="preserve"> has the right to refuse a DSA or DDA request if they believe it is not in the best interests of the Fund or the other participating employers, for example if entering a DSA or DDA increases the risk of a deficit falling to the other employers.</w:t>
      </w:r>
    </w:p>
    <w:p w14:paraId="0B3E7083" w14:textId="0214C806" w:rsidR="000F7471" w:rsidRDefault="000F7471" w:rsidP="000F7471">
      <w:pPr>
        <w:pStyle w:val="BodyText"/>
      </w:pPr>
      <w:r>
        <w:t xml:space="preserve">In considering each request for a DDA or DSA from an exiting employer the </w:t>
      </w:r>
      <w:r w:rsidR="000D7F93">
        <w:t>Administering Authority</w:t>
      </w:r>
      <w:r w:rsidRPr="005B723C">
        <w:t xml:space="preserve"> will take actuarial, covenant, legal and other advice as necessary</w:t>
      </w:r>
      <w:r>
        <w:t>. Proposed DDAs/DSAs</w:t>
      </w:r>
      <w:r w:rsidRPr="00EB50B2">
        <w:t xml:space="preserve"> will always be discussed with the employer, whether </w:t>
      </w:r>
      <w:r>
        <w:t xml:space="preserve">the </w:t>
      </w:r>
      <w:r w:rsidR="009E08BF">
        <w:t>DDA or DSA</w:t>
      </w:r>
      <w:r>
        <w:t xml:space="preserve"> was </w:t>
      </w:r>
      <w:r w:rsidRPr="00EB50B2">
        <w:t>at the</w:t>
      </w:r>
      <w:r>
        <w:t xml:space="preserve"> exiting</w:t>
      </w:r>
      <w:r w:rsidRPr="00EB50B2">
        <w:t xml:space="preserve"> employer’s request or not.</w:t>
      </w:r>
    </w:p>
    <w:p w14:paraId="756F0117" w14:textId="77777777" w:rsidR="000F7471" w:rsidRDefault="000F7471" w:rsidP="000F7471">
      <w:pPr>
        <w:pStyle w:val="BodyText"/>
      </w:pPr>
      <w:r w:rsidRPr="00EF153E">
        <w:t xml:space="preserve">Employers who may be party to either a DSA or a DDA </w:t>
      </w:r>
      <w:r>
        <w:t>are</w:t>
      </w:r>
      <w:r w:rsidRPr="00EF153E">
        <w:t xml:space="preserve"> encouraged to discuss any potential impact on their accounting treatment with their auditors</w:t>
      </w:r>
      <w:r>
        <w:t>.</w:t>
      </w:r>
    </w:p>
    <w:p w14:paraId="3E89D5B4" w14:textId="07E17278" w:rsidR="000F7471" w:rsidRPr="00F2122E" w:rsidRDefault="000F7471" w:rsidP="007D24BD">
      <w:pPr>
        <w:pStyle w:val="Heading3"/>
      </w:pPr>
      <w:bookmarkStart w:id="102" w:name="_Toc63178014"/>
      <w:r w:rsidRPr="00F2122E">
        <w:t>Manag</w:t>
      </w:r>
      <w:r w:rsidR="008C2BF1">
        <w:t>ement</w:t>
      </w:r>
      <w:r w:rsidRPr="00F2122E">
        <w:t xml:space="preserve"> of costs</w:t>
      </w:r>
      <w:bookmarkEnd w:id="102"/>
    </w:p>
    <w:p w14:paraId="48D82817" w14:textId="591104AE" w:rsidR="000F7471" w:rsidRPr="007F33C2" w:rsidRDefault="000F7471" w:rsidP="000F7471">
      <w:pPr>
        <w:pStyle w:val="BodyText"/>
      </w:pPr>
      <w:r w:rsidRPr="000A1782">
        <w:t xml:space="preserve">On receiving a request the </w:t>
      </w:r>
      <w:r w:rsidR="000D7F93">
        <w:t>Administering Authority</w:t>
      </w:r>
      <w:r w:rsidRPr="000A1782">
        <w:t xml:space="preserve"> will make the employer aware that any costs associated with </w:t>
      </w:r>
      <w:r>
        <w:t xml:space="preserve">setting up </w:t>
      </w:r>
      <w:r w:rsidRPr="000A1782">
        <w:t xml:space="preserve">the </w:t>
      </w:r>
      <w:r>
        <w:t xml:space="preserve">DDA or DSA </w:t>
      </w:r>
      <w:r w:rsidRPr="000A1782">
        <w:t xml:space="preserve">will be the responsibility of the Scheme employer, regardless of whether the </w:t>
      </w:r>
      <w:r w:rsidR="000D7F93">
        <w:t>Administering Authority</w:t>
      </w:r>
      <w:r w:rsidRPr="000A1782">
        <w:t xml:space="preserve"> agrees to enter into the </w:t>
      </w:r>
      <w:r>
        <w:t>agreement</w:t>
      </w:r>
      <w:r w:rsidRPr="000A1782">
        <w:t xml:space="preserve"> or not. This </w:t>
      </w:r>
      <w:r w:rsidRPr="00533EC4">
        <w:t>may</w:t>
      </w:r>
      <w:r w:rsidRPr="000A1782">
        <w:t xml:space="preserve"> include </w:t>
      </w:r>
      <w:r>
        <w:t>the cost of actuarial advice, legal advice, administrative costs and any additional advice required in relation to a covenant assessment or any other specialist adviser costs</w:t>
      </w:r>
      <w:r w:rsidRPr="000A1782">
        <w:t xml:space="preserve">. </w:t>
      </w:r>
      <w:r w:rsidRPr="000C5429">
        <w:t xml:space="preserve">If costs deviate from those initially anticipated the </w:t>
      </w:r>
      <w:r w:rsidR="000D7F93">
        <w:t>Administering Authority</w:t>
      </w:r>
      <w:r w:rsidRPr="000C5429">
        <w:t xml:space="preserve"> will keep the exiting employer up-to-date with any increases. </w:t>
      </w:r>
      <w:r w:rsidRPr="000A1782">
        <w:t xml:space="preserve">The </w:t>
      </w:r>
      <w:r w:rsidR="000D7F93">
        <w:t>Administering Authority</w:t>
      </w:r>
      <w:r w:rsidRPr="000A1782">
        <w:t xml:space="preserve"> will provide information on how </w:t>
      </w:r>
      <w:r w:rsidRPr="007F33C2">
        <w:t>and when payments should be made.</w:t>
      </w:r>
    </w:p>
    <w:p w14:paraId="2786E20F" w14:textId="77777777" w:rsidR="000F7471" w:rsidRPr="007F33C2" w:rsidRDefault="000F7471" w:rsidP="007D24BD">
      <w:pPr>
        <w:pStyle w:val="Heading3"/>
      </w:pPr>
      <w:r w:rsidRPr="007F33C2">
        <w:t>Internal dispute resolutions</w:t>
      </w:r>
    </w:p>
    <w:p w14:paraId="7C9B1BE8" w14:textId="6DC3C64D" w:rsidR="000F7471" w:rsidRDefault="000F7471" w:rsidP="000F7471">
      <w:pPr>
        <w:pStyle w:val="BodyText"/>
      </w:pPr>
      <w:r w:rsidRPr="007F33C2">
        <w:t xml:space="preserve">Whether a DDA or DSA is agreed or not is ultimately the decision of the </w:t>
      </w:r>
      <w:r w:rsidR="000D7F93" w:rsidRPr="007F33C2">
        <w:t>Administering Authority</w:t>
      </w:r>
      <w:r w:rsidRPr="007F33C2">
        <w:t>. In the event of any dispute from the employer, please refer to the Fund’s internal dispute resolution procedures document.</w:t>
      </w:r>
    </w:p>
    <w:p w14:paraId="10F2663E" w14:textId="77777777" w:rsidR="000F7471" w:rsidRDefault="000F7471" w:rsidP="000F7471">
      <w:pPr>
        <w:pStyle w:val="Heading1"/>
      </w:pPr>
      <w:bookmarkStart w:id="103" w:name="_Toc63178015"/>
      <w:bookmarkStart w:id="104" w:name="_Toc203646098"/>
      <w:bookmarkStart w:id="105" w:name="_Toc203940106"/>
      <w:bookmarkStart w:id="106" w:name="_Toc222823332"/>
      <w:r w:rsidRPr="00172572">
        <w:t>Deferred Debt Agreements (DDAs)</w:t>
      </w:r>
      <w:bookmarkStart w:id="107" w:name="_Toc62462624"/>
      <w:bookmarkEnd w:id="103"/>
      <w:bookmarkEnd w:id="104"/>
      <w:bookmarkEnd w:id="105"/>
      <w:bookmarkEnd w:id="106"/>
    </w:p>
    <w:p w14:paraId="3E490C86" w14:textId="77777777" w:rsidR="000F7471" w:rsidRDefault="000F7471" w:rsidP="005E7A38">
      <w:pPr>
        <w:pStyle w:val="Notheader1"/>
      </w:pPr>
      <w:bookmarkStart w:id="108" w:name="_Toc63178016"/>
      <w:bookmarkStart w:id="109" w:name="_Toc203646099"/>
      <w:bookmarkStart w:id="110" w:name="_Toc203940107"/>
      <w:r w:rsidRPr="11B4A112">
        <w:rPr>
          <w:lang w:val="en-US"/>
        </w:rPr>
        <w:t xml:space="preserve">Entering into a </w:t>
      </w:r>
      <w:bookmarkEnd w:id="107"/>
      <w:r w:rsidRPr="11B4A112">
        <w:rPr>
          <w:lang w:val="en-US"/>
        </w:rPr>
        <w:t>DDA</w:t>
      </w:r>
      <w:bookmarkEnd w:id="108"/>
      <w:bookmarkEnd w:id="109"/>
      <w:bookmarkEnd w:id="110"/>
    </w:p>
    <w:p w14:paraId="13724CC5" w14:textId="77777777" w:rsidR="000F7471" w:rsidRDefault="000F7471" w:rsidP="000F7471">
      <w:pPr>
        <w:pStyle w:val="BodyText"/>
      </w:pPr>
      <w:r w:rsidRPr="00AC7F5D">
        <w:t xml:space="preserve">Under a DDA, the exiting employer becomes a deferred employer in the Fund (i.e. they remain as a Scheme employer but with no active members) and remains responsible for paying the secondary rate of contributions to fund their deficit. </w:t>
      </w:r>
    </w:p>
    <w:p w14:paraId="22F7DE1C" w14:textId="77777777" w:rsidR="000F7471" w:rsidRPr="00EC374D" w:rsidRDefault="000F7471" w:rsidP="000F7471">
      <w:pPr>
        <w:pStyle w:val="Heading3"/>
        <w:rPr>
          <w:color w:val="00B050"/>
        </w:rPr>
      </w:pPr>
      <w:bookmarkStart w:id="111" w:name="_Toc63178017"/>
      <w:r w:rsidRPr="00EC374D">
        <w:rPr>
          <w:color w:val="00B050"/>
        </w:rPr>
        <w:t>Information required from the employer</w:t>
      </w:r>
      <w:bookmarkEnd w:id="111"/>
    </w:p>
    <w:p w14:paraId="1A10A906" w14:textId="77777777" w:rsidR="000F7471" w:rsidRDefault="000F7471" w:rsidP="000F7471">
      <w:pPr>
        <w:pStyle w:val="BodyText"/>
      </w:pPr>
      <w:r w:rsidRPr="00241AE7">
        <w:t>When making a request</w:t>
      </w:r>
      <w:r>
        <w:t xml:space="preserve"> to enter a DDA</w:t>
      </w:r>
      <w:r w:rsidRPr="00241AE7">
        <w:t>, the employer should demonstrate that they are unable to settle thei</w:t>
      </w:r>
      <w:r>
        <w:t xml:space="preserve">r exit payment immediately and </w:t>
      </w:r>
      <w:r w:rsidRPr="00241AE7">
        <w:t xml:space="preserve">provide any relevant information to support their </w:t>
      </w:r>
      <w:r>
        <w:t>request e.g. in relation to their covenant/ability to continue to make payments to the Fund on a continuing basis. Examples of information the employer may provide as evidence include the exiting employer’s:</w:t>
      </w:r>
    </w:p>
    <w:p w14:paraId="0C30FE49" w14:textId="77777777" w:rsidR="000F7471" w:rsidRDefault="000F7471" w:rsidP="000F7471">
      <w:pPr>
        <w:pStyle w:val="List"/>
      </w:pPr>
      <w:r>
        <w:t>most recent annual report and accounts</w:t>
      </w:r>
    </w:p>
    <w:p w14:paraId="4E97E559" w14:textId="77777777" w:rsidR="000F7471" w:rsidRDefault="000F7471" w:rsidP="000F7471">
      <w:pPr>
        <w:pStyle w:val="List"/>
      </w:pPr>
      <w:r>
        <w:t>latest management accounts</w:t>
      </w:r>
    </w:p>
    <w:p w14:paraId="34467554" w14:textId="77777777" w:rsidR="000F7471" w:rsidRDefault="000F7471" w:rsidP="000F7471">
      <w:pPr>
        <w:pStyle w:val="List"/>
      </w:pPr>
      <w:r>
        <w:t xml:space="preserve">financial forecasts </w:t>
      </w:r>
    </w:p>
    <w:p w14:paraId="0E0FE3DF" w14:textId="77777777" w:rsidR="000F7471" w:rsidRDefault="000F7471" w:rsidP="000F7471">
      <w:pPr>
        <w:pStyle w:val="List"/>
      </w:pPr>
      <w:r>
        <w:t>details of position of other creditors</w:t>
      </w:r>
    </w:p>
    <w:p w14:paraId="12A59903" w14:textId="5D5837E6" w:rsidR="000F7471" w:rsidRDefault="000F7471" w:rsidP="000F7471">
      <w:pPr>
        <w:pStyle w:val="BodyText"/>
      </w:pPr>
      <w:r>
        <w:t xml:space="preserve">This is not an exhaustive list and the </w:t>
      </w:r>
      <w:r w:rsidR="000D7F93">
        <w:t>Administering Authority</w:t>
      </w:r>
      <w:r>
        <w:t xml:space="preserve"> may request further evidence. In particular, the </w:t>
      </w:r>
      <w:r w:rsidR="000D7F93">
        <w:t>Administering Authority</w:t>
      </w:r>
      <w:r>
        <w:t xml:space="preserve"> may commission a covenant assessment if insufficient evidence is provided. </w:t>
      </w:r>
    </w:p>
    <w:p w14:paraId="75EBC800" w14:textId="77777777" w:rsidR="000F7471" w:rsidRPr="00EC374D" w:rsidRDefault="000F7471" w:rsidP="000F7471">
      <w:pPr>
        <w:pStyle w:val="Heading3"/>
        <w:rPr>
          <w:color w:val="00B050"/>
        </w:rPr>
      </w:pPr>
      <w:bookmarkStart w:id="112" w:name="_Toc63178018"/>
      <w:r w:rsidRPr="00EC374D">
        <w:rPr>
          <w:color w:val="00B050"/>
        </w:rPr>
        <w:lastRenderedPageBreak/>
        <w:t>Assessing the proposal</w:t>
      </w:r>
      <w:bookmarkEnd w:id="112"/>
    </w:p>
    <w:p w14:paraId="7164A5E0" w14:textId="79494B2E" w:rsidR="000F7471" w:rsidRPr="007F33C2" w:rsidRDefault="000F7471" w:rsidP="000F7471">
      <w:pPr>
        <w:pStyle w:val="BodyText"/>
      </w:pPr>
      <w:r w:rsidRPr="007F33C2">
        <w:t xml:space="preserve">The </w:t>
      </w:r>
      <w:r w:rsidR="000D7F93" w:rsidRPr="007F33C2">
        <w:t>Administering Authority</w:t>
      </w:r>
      <w:r w:rsidRPr="007F33C2">
        <w:t xml:space="preserve"> will make a decision on whether to enter into a DDA within </w:t>
      </w:r>
      <w:r w:rsidR="00BA7F7C" w:rsidRPr="007F33C2">
        <w:t xml:space="preserve">28 </w:t>
      </w:r>
      <w:r w:rsidRPr="007F33C2">
        <w:t xml:space="preserve">days of receiving a request but this may vary to reflect specific circumstances, for example if the </w:t>
      </w:r>
      <w:r w:rsidR="000D7F93" w:rsidRPr="007F33C2">
        <w:t>Administering Authority</w:t>
      </w:r>
      <w:r w:rsidRPr="007F33C2">
        <w:t xml:space="preserve"> chooses to request a covenant assessment then the process may take longer. </w:t>
      </w:r>
    </w:p>
    <w:p w14:paraId="3D3C8892" w14:textId="170D40C1" w:rsidR="000F7471" w:rsidRDefault="000F7471" w:rsidP="000F7471">
      <w:pPr>
        <w:pStyle w:val="BodyText"/>
      </w:pPr>
      <w:r w:rsidRPr="007F33C2">
        <w:t>To reach a decision the</w:t>
      </w:r>
      <w:r>
        <w:t xml:space="preserve"> </w:t>
      </w:r>
      <w:r w:rsidR="000D7F93">
        <w:t>Administering Authority</w:t>
      </w:r>
      <w:r>
        <w:t xml:space="preserve"> will consider:</w:t>
      </w:r>
    </w:p>
    <w:p w14:paraId="56502F2A" w14:textId="77777777" w:rsidR="000F7471" w:rsidRDefault="000F7471" w:rsidP="000F7471">
      <w:pPr>
        <w:pStyle w:val="List"/>
      </w:pPr>
      <w:r>
        <w:t>the size of the exiting employer’s residual liabilities relative to the size of the Fund;</w:t>
      </w:r>
    </w:p>
    <w:p w14:paraId="5D2E4E33" w14:textId="77777777" w:rsidR="000F7471" w:rsidRDefault="000F7471" w:rsidP="000F7471">
      <w:pPr>
        <w:pStyle w:val="List"/>
      </w:pPr>
      <w:r>
        <w:t>the size of the exit payment relative to the costs associated with entering into a DDA;</w:t>
      </w:r>
    </w:p>
    <w:p w14:paraId="547AE29A" w14:textId="77777777" w:rsidR="000F7471" w:rsidRDefault="000F7471" w:rsidP="000F7471">
      <w:pPr>
        <w:pStyle w:val="List"/>
      </w:pPr>
      <w:r>
        <w:t>whether a debt spreading agreement or suspension notice would be more appropriate (see specific circumstances below);</w:t>
      </w:r>
    </w:p>
    <w:p w14:paraId="09541341" w14:textId="77777777" w:rsidR="000F7471" w:rsidRDefault="000F7471" w:rsidP="000F7471">
      <w:pPr>
        <w:pStyle w:val="List"/>
      </w:pPr>
      <w:r>
        <w:t>any information provided by the exiting employer to support their covenant strength, including any information on a guarantor or other form of security that the employer may be able to put forward to support their covenant;</w:t>
      </w:r>
    </w:p>
    <w:p w14:paraId="797347E7" w14:textId="77777777" w:rsidR="000F7471" w:rsidRDefault="000F7471" w:rsidP="000F7471">
      <w:pPr>
        <w:pStyle w:val="List"/>
      </w:pPr>
      <w:r>
        <w:t xml:space="preserve">the results of any covenant review carried out by the Fund Actuary or a covenant specialist; </w:t>
      </w:r>
    </w:p>
    <w:p w14:paraId="569A57F6" w14:textId="77777777" w:rsidR="000F7471" w:rsidRDefault="000F7471" w:rsidP="000F7471">
      <w:pPr>
        <w:pStyle w:val="List"/>
      </w:pPr>
      <w:r>
        <w:t xml:space="preserve">the exiting employer’s accounts; </w:t>
      </w:r>
    </w:p>
    <w:p w14:paraId="7A2D59B2" w14:textId="77777777" w:rsidR="000F7471" w:rsidRDefault="000F7471" w:rsidP="000F7471">
      <w:pPr>
        <w:pStyle w:val="List"/>
      </w:pPr>
      <w:r>
        <w:t>the potential impact on the other employers in the Fund; and</w:t>
      </w:r>
    </w:p>
    <w:p w14:paraId="38D6FFFE" w14:textId="77777777" w:rsidR="000F7471" w:rsidRDefault="000F7471" w:rsidP="000F7471">
      <w:pPr>
        <w:pStyle w:val="List"/>
      </w:pPr>
      <w:r>
        <w:t>the opinion of the Fund Actuary.</w:t>
      </w:r>
    </w:p>
    <w:p w14:paraId="2B2796B4" w14:textId="3CFC5266" w:rsidR="000F7471" w:rsidRDefault="000F7471" w:rsidP="000F7471">
      <w:pPr>
        <w:pStyle w:val="BodyText"/>
        <w:keepNext/>
      </w:pPr>
      <w:r>
        <w:t xml:space="preserve">The </w:t>
      </w:r>
      <w:r w:rsidR="000D7F93">
        <w:t>Administering Authority</w:t>
      </w:r>
      <w:r>
        <w:t xml:space="preserve"> is not obliged to accept an exiting employer’s request for a DDA. For example, in the following circumstances the </w:t>
      </w:r>
      <w:r w:rsidR="000D7F93">
        <w:t>Administering Authority</w:t>
      </w:r>
      <w:r>
        <w:t xml:space="preserve"> may consider a DDA not to be appropriate:</w:t>
      </w:r>
    </w:p>
    <w:p w14:paraId="28CD52A8" w14:textId="77777777" w:rsidR="000F7471" w:rsidRDefault="000F7471" w:rsidP="000F7471">
      <w:pPr>
        <w:pStyle w:val="List"/>
      </w:pPr>
      <w:r>
        <w:t>the exiting employer could reasonably be expected to settle their exit payment in a single amount;</w:t>
      </w:r>
    </w:p>
    <w:p w14:paraId="67E8B3A5" w14:textId="77777777" w:rsidR="000F7471" w:rsidRDefault="000F7471" w:rsidP="000F7471">
      <w:pPr>
        <w:pStyle w:val="List"/>
      </w:pPr>
      <w:r>
        <w:t>it is known or likely that another active member will come into employment in the three years following the cessation date (in these cases a suspension notice would be considered more appropriate than a DDA); or</w:t>
      </w:r>
    </w:p>
    <w:p w14:paraId="6540BF1E" w14:textId="78BB2EA3" w:rsidR="000F7471" w:rsidRDefault="000F7471" w:rsidP="000F7471">
      <w:pPr>
        <w:pStyle w:val="List"/>
      </w:pPr>
      <w:r>
        <w:t xml:space="preserve">the </w:t>
      </w:r>
      <w:r w:rsidR="000D7F93">
        <w:t>Administering Authority</w:t>
      </w:r>
      <w:r>
        <w:t xml:space="preserve"> is concerned that where a DDA is entered, that the employer could not afford the impact of any negative experience which would result in an increase in the required secondary rate of contributions and an increase in the employer’s overall deficit (in these cases a debt spreading agreement would be considered more appropriate as the payments are fixed throughout the term of the agreement).</w:t>
      </w:r>
    </w:p>
    <w:p w14:paraId="7FF0DD9A" w14:textId="1238648B" w:rsidR="000F7471" w:rsidRDefault="000F7471" w:rsidP="000F7471">
      <w:pPr>
        <w:pStyle w:val="BodyText"/>
      </w:pPr>
      <w:r>
        <w:t xml:space="preserve">Once all information has been considered the </w:t>
      </w:r>
      <w:r w:rsidR="000D7F93">
        <w:t>Administering Authority</w:t>
      </w:r>
      <w:r>
        <w:t xml:space="preserve"> will consult with the exiting employer as required under the Regulations. If the </w:t>
      </w:r>
      <w:r w:rsidR="000D7F93">
        <w:t>Administering Authority</w:t>
      </w:r>
      <w:r>
        <w:t xml:space="preserve"> does not wish to enter into a DDA they will explain to the exiting employer their reasoning and any alternatives (e.g. a debt spreading agreement, suspension notice </w:t>
      </w:r>
      <w:r w:rsidRPr="00F54FD7">
        <w:t>or indeed require the exit payment in full</w:t>
      </w:r>
      <w:r>
        <w:t xml:space="preserve">). If the </w:t>
      </w:r>
      <w:r w:rsidR="000D7F93">
        <w:t>Administering Authority</w:t>
      </w:r>
      <w:r>
        <w:t xml:space="preserve"> accepts the request to enter into a DDA, they will notify their legal advisers and Fund Actuary. If the </w:t>
      </w:r>
      <w:r w:rsidR="000D7F93">
        <w:t>Administering Authority</w:t>
      </w:r>
      <w:r>
        <w:t xml:space="preserve"> has concerns about the level of risk arising due to the DDA, the </w:t>
      </w:r>
      <w:r w:rsidR="000D7F93">
        <w:t>Administering Authority</w:t>
      </w:r>
      <w:r>
        <w:t xml:space="preserve"> may only accept the request subject to a one-off cash injection being made by the exiting employer or security being provided as an additional guarantee. </w:t>
      </w:r>
    </w:p>
    <w:p w14:paraId="567258E0" w14:textId="77777777" w:rsidR="000F7471" w:rsidRPr="00F2122E" w:rsidRDefault="000F7471" w:rsidP="00A70595">
      <w:pPr>
        <w:pStyle w:val="Heading3"/>
      </w:pPr>
      <w:bookmarkStart w:id="113" w:name="_Toc63178019"/>
      <w:r w:rsidRPr="00F2122E">
        <w:t>Setting up a DDA</w:t>
      </w:r>
      <w:bookmarkEnd w:id="113"/>
    </w:p>
    <w:p w14:paraId="7BC873FF" w14:textId="7D0BD68C" w:rsidR="000F7471" w:rsidRDefault="000F7471" w:rsidP="000F7471">
      <w:pPr>
        <w:pStyle w:val="BodyText"/>
      </w:pPr>
      <w:r>
        <w:t xml:space="preserve">Once agreed that a DDA is permitted, the terms of the DDA will be agreed between the </w:t>
      </w:r>
      <w:r w:rsidR="000D7F93">
        <w:t>Administering Authority</w:t>
      </w:r>
      <w:r>
        <w:t xml:space="preserve"> and the exiting employer and will be set out in a formal legal agreement. </w:t>
      </w:r>
    </w:p>
    <w:p w14:paraId="5416E9AF" w14:textId="479C1737" w:rsidR="000F7471" w:rsidRDefault="000F7471" w:rsidP="000F7471">
      <w:pPr>
        <w:pStyle w:val="BodyText"/>
      </w:pPr>
      <w:r>
        <w:t xml:space="preserve">The </w:t>
      </w:r>
      <w:r w:rsidR="000D7F93">
        <w:t>Administering Authority</w:t>
      </w:r>
      <w:r>
        <w:t xml:space="preserve"> and the exiting employer (with the assistance of the Fund Actuary) will negotiate an appropriate duration of the agreement which will consider the exiting employer’s affordability and anticipated strength of covenant over the agreement period. If the exiting employer has sufficient reserves, the </w:t>
      </w:r>
      <w:r w:rsidR="000D7F93">
        <w:t xml:space="preserve">Administering </w:t>
      </w:r>
      <w:r w:rsidR="000D7F93">
        <w:lastRenderedPageBreak/>
        <w:t>Authority</w:t>
      </w:r>
      <w:r>
        <w:t xml:space="preserve"> may require an immediate cash payment so that the DDA can start from an acceptably stronger funding position.</w:t>
      </w:r>
    </w:p>
    <w:p w14:paraId="0E0FB5B8" w14:textId="301F729D" w:rsidR="000F7471" w:rsidRDefault="000F7471" w:rsidP="000F7471">
      <w:pPr>
        <w:pStyle w:val="BodyText"/>
      </w:pPr>
      <w:r>
        <w:t xml:space="preserve">The Fund Actuary will calculate secondary contributions on an appropriate basis as agreed with the </w:t>
      </w:r>
      <w:r w:rsidR="000D7F93">
        <w:t>Administering Authority</w:t>
      </w:r>
      <w:r>
        <w:t xml:space="preserve"> and following consultation with the exiting employer, taking into account any cash payments made in advance. The secondary contributions will be reviewed at each actuarial valuation and certified as part of the Fund’s Rates and Adjustments Certificate until the termination of the agreement. Therefore payments throughout the agreement are not known in advance and may increase or decrease at each valuation to reflect changes in the employer’s funding position</w:t>
      </w:r>
      <w:r w:rsidR="0020790B">
        <w:t xml:space="preserve">. </w:t>
      </w:r>
    </w:p>
    <w:p w14:paraId="0BBB10D7" w14:textId="77777777" w:rsidR="000F7471" w:rsidRPr="007F33C2" w:rsidRDefault="000F7471" w:rsidP="000F7471">
      <w:pPr>
        <w:pStyle w:val="BodyText"/>
      </w:pPr>
      <w:r>
        <w:t xml:space="preserve">The timeline from consultation with the exiting employer to entering into a </w:t>
      </w:r>
      <w:r w:rsidRPr="007F33C2">
        <w:t xml:space="preserve">DDA to the signing of the agreement will vary. Where possible all parties will aim to have the agreement signed within 3 months, although there may be circumstances where timings may vary. </w:t>
      </w:r>
    </w:p>
    <w:p w14:paraId="2281B60A" w14:textId="77777777" w:rsidR="000F7471" w:rsidRPr="007F33C2" w:rsidRDefault="000F7471" w:rsidP="000F7471">
      <w:pPr>
        <w:pStyle w:val="BodyText"/>
      </w:pPr>
      <w:r w:rsidRPr="007F33C2">
        <w:t>Once finalised, the employer will become a deferred employer in the Fund and will have an obligation to pay their secondary contributions as certified by the Fund Actuary. The responsibilities of the deferred employer will be set out in the legal agreement and these will include the requirements to:</w:t>
      </w:r>
    </w:p>
    <w:p w14:paraId="65315E5E" w14:textId="2294F2F5" w:rsidR="000F7471" w:rsidRPr="007F33C2" w:rsidRDefault="000F7471" w:rsidP="000F7471">
      <w:pPr>
        <w:pStyle w:val="List"/>
      </w:pPr>
      <w:r w:rsidRPr="007F33C2">
        <w:t xml:space="preserve">comply with all the requirements on Scheme employers under the Regulations except the requirement to pay a primary rate of contributions but including any additional applicable costs, such as </w:t>
      </w:r>
      <w:r w:rsidR="002B62E2" w:rsidRPr="007F33C2">
        <w:t xml:space="preserve">those arising from an employer discretion, or </w:t>
      </w:r>
      <w:r w:rsidRPr="007F33C2">
        <w:t>strain costs as a result of ill health retirements;</w:t>
      </w:r>
    </w:p>
    <w:p w14:paraId="31FE39F4" w14:textId="685249A5" w:rsidR="000F7471" w:rsidRDefault="000F7471" w:rsidP="000F7471">
      <w:pPr>
        <w:pStyle w:val="List"/>
      </w:pPr>
      <w:r w:rsidRPr="00BE4282">
        <w:t xml:space="preserve">adopt the relevant practices and procedures relating to the operation of the Scheme and the Fund as set out in any employer’s guide produced by the </w:t>
      </w:r>
      <w:r w:rsidR="000D7F93">
        <w:t>Administering Authority</w:t>
      </w:r>
      <w:r>
        <w:t>;</w:t>
      </w:r>
    </w:p>
    <w:p w14:paraId="01021E82" w14:textId="2D5F8898" w:rsidR="000F7471" w:rsidRDefault="000F7471" w:rsidP="000F7471">
      <w:pPr>
        <w:pStyle w:val="List"/>
      </w:pPr>
      <w:r w:rsidRPr="00BE4282">
        <w:t xml:space="preserve">comply with all applicable requirements of data protection law relating to the Scheme and with the provisions of any data-sharing protocol produced by the </w:t>
      </w:r>
      <w:r w:rsidR="000D7F93">
        <w:t>Administering Authority</w:t>
      </w:r>
      <w:r w:rsidRPr="00BE4282">
        <w:t xml:space="preserve"> and provided to the </w:t>
      </w:r>
      <w:r>
        <w:t>d</w:t>
      </w:r>
      <w:r w:rsidRPr="00BE4282">
        <w:t xml:space="preserve">eferred </w:t>
      </w:r>
      <w:r>
        <w:t>e</w:t>
      </w:r>
      <w:r w:rsidRPr="00BE4282">
        <w:t>mployer</w:t>
      </w:r>
      <w:r>
        <w:t>;</w:t>
      </w:r>
    </w:p>
    <w:p w14:paraId="49592509" w14:textId="5E144FDB" w:rsidR="000F7471" w:rsidRDefault="000F7471" w:rsidP="000F7471">
      <w:pPr>
        <w:pStyle w:val="List"/>
      </w:pPr>
      <w:r>
        <w:t xml:space="preserve">promptly provide all such information that the </w:t>
      </w:r>
      <w:r w:rsidR="000D7F93">
        <w:t>Administering Authority</w:t>
      </w:r>
      <w:r>
        <w:t xml:space="preserve"> may reasonably request in order to administer and manage the agreement; and</w:t>
      </w:r>
    </w:p>
    <w:p w14:paraId="7BEEB2DE" w14:textId="1173C88C" w:rsidR="000F7471" w:rsidRDefault="000F7471" w:rsidP="000F7471">
      <w:pPr>
        <w:pStyle w:val="List"/>
      </w:pPr>
      <w:r w:rsidRPr="00BE4282">
        <w:t xml:space="preserve">give notice to the </w:t>
      </w:r>
      <w:r w:rsidR="000D7F93">
        <w:t>Administering Authority</w:t>
      </w:r>
      <w:r w:rsidRPr="00BE4282">
        <w:t>, of any actual or proposed change in its status, including take-over, change of control, reconstruction, amalgamation, insolvency, winding up, liquidation or receivership or a material change to its business or constitution.</w:t>
      </w:r>
    </w:p>
    <w:p w14:paraId="0F50E9D5" w14:textId="77777777" w:rsidR="000F7471" w:rsidRDefault="000F7471" w:rsidP="000F7471">
      <w:pPr>
        <w:pStyle w:val="BodyText"/>
      </w:pPr>
      <w:r>
        <w:t xml:space="preserve">The deferred employer should consult with their auditors about any impacts the DDA is expected to have on their accounting requirements. </w:t>
      </w:r>
    </w:p>
    <w:p w14:paraId="2E275B89" w14:textId="77777777" w:rsidR="000F7471" w:rsidRDefault="000F7471" w:rsidP="005E7A38">
      <w:pPr>
        <w:pStyle w:val="Notheader1"/>
      </w:pPr>
      <w:bookmarkStart w:id="114" w:name="_Toc62462625"/>
      <w:bookmarkStart w:id="115" w:name="_Toc63178020"/>
      <w:bookmarkStart w:id="116" w:name="_Toc203646100"/>
      <w:bookmarkStart w:id="117" w:name="_Toc203940108"/>
      <w:r>
        <w:t xml:space="preserve">Monitoring </w:t>
      </w:r>
      <w:bookmarkEnd w:id="114"/>
      <w:r>
        <w:t>a DDA</w:t>
      </w:r>
      <w:bookmarkEnd w:id="115"/>
      <w:bookmarkEnd w:id="116"/>
      <w:bookmarkEnd w:id="117"/>
    </w:p>
    <w:p w14:paraId="36EF515D" w14:textId="4E779643" w:rsidR="000F7471" w:rsidRDefault="000F7471" w:rsidP="000F7471">
      <w:pPr>
        <w:pStyle w:val="BodyText"/>
      </w:pPr>
      <w:r>
        <w:t xml:space="preserve">A deferred debt agreement is subject to the ongoing approval of the </w:t>
      </w:r>
      <w:r w:rsidR="000D7F93">
        <w:t>Administering Authority</w:t>
      </w:r>
      <w:r>
        <w:t xml:space="preserve">. The </w:t>
      </w:r>
      <w:r w:rsidR="000D7F93">
        <w:t>Administering Authority</w:t>
      </w:r>
      <w:r>
        <w:t xml:space="preserve"> reserves the right to terminate the agreement should they become concerned about a significant weakening in the deferred employer’s covenant or a significant change in funding position. Conversely, if there was an improvement in the employer’s circumstance then the </w:t>
      </w:r>
      <w:r w:rsidR="000D7F93">
        <w:t>Administering Authority</w:t>
      </w:r>
      <w:r>
        <w:t xml:space="preserve"> and employer may agree to amend the terms of the agreement. </w:t>
      </w:r>
    </w:p>
    <w:p w14:paraId="16113847" w14:textId="2B3DA996" w:rsidR="000F7471" w:rsidRDefault="000F7471" w:rsidP="000F7471">
      <w:pPr>
        <w:pStyle w:val="BodyText"/>
      </w:pPr>
      <w:r>
        <w:t xml:space="preserve">The </w:t>
      </w:r>
      <w:r w:rsidR="000D7F93">
        <w:t>Administering Authority</w:t>
      </w:r>
      <w:r>
        <w:t xml:space="preserve"> will monitor a DDA in the following ways:</w:t>
      </w:r>
    </w:p>
    <w:p w14:paraId="2DA8A6F4" w14:textId="77777777" w:rsidR="000F7471" w:rsidRPr="00131048" w:rsidRDefault="000F7471" w:rsidP="00F2122E">
      <w:pPr>
        <w:pStyle w:val="Heading3"/>
      </w:pPr>
      <w:r w:rsidRPr="00131048">
        <w:t>Changing funding position</w:t>
      </w:r>
    </w:p>
    <w:p w14:paraId="62337AF7" w14:textId="68E03F4D" w:rsidR="00D5646E" w:rsidRDefault="00F769B1" w:rsidP="000F7471">
      <w:pPr>
        <w:pStyle w:val="BodyText"/>
      </w:pPr>
      <w:r w:rsidRPr="001B792E">
        <w:rPr>
          <w:lang w:bidi="en-US"/>
        </w:rPr>
        <w:t xml:space="preserve">The deferred employer’s funding position will be reassessed at each triennial actuarial valuation in order to review the progress of the DDA. A requirement for more frequent updates may be included within the DDA where the </w:t>
      </w:r>
      <w:r w:rsidRPr="001B792E">
        <w:rPr>
          <w:lang w:bidi="en-US"/>
        </w:rPr>
        <w:lastRenderedPageBreak/>
        <w:t>administering authority considers the level of risk to the Fund merits them. The costs of such reviews will fall to the deferred employer as part of the terms for putting in place a DDA.</w:t>
      </w:r>
    </w:p>
    <w:p w14:paraId="472EC971" w14:textId="1FC70986" w:rsidR="000F7471" w:rsidRDefault="000F7471" w:rsidP="000F7471">
      <w:pPr>
        <w:pStyle w:val="BodyText"/>
      </w:pPr>
      <w:r>
        <w:t xml:space="preserve">If the funding position changes by more than </w:t>
      </w:r>
      <w:r w:rsidRPr="00533EC4">
        <w:t xml:space="preserve">10% (in absolute terms) from the previous review </w:t>
      </w:r>
      <w:r>
        <w:t xml:space="preserve">then the </w:t>
      </w:r>
      <w:r w:rsidR="000D7F93">
        <w:t>Administering Authority</w:t>
      </w:r>
      <w:r>
        <w:t xml:space="preserve"> may engage with the deferred employer to discuss a possible review of the DDA.</w:t>
      </w:r>
    </w:p>
    <w:p w14:paraId="68F2C712" w14:textId="77777777" w:rsidR="000F7471" w:rsidRPr="00CB755E" w:rsidRDefault="000F7471" w:rsidP="00F2122E">
      <w:pPr>
        <w:pStyle w:val="Heading3"/>
      </w:pPr>
      <w:r w:rsidRPr="00CB755E">
        <w:t>Changing employer covenant</w:t>
      </w:r>
    </w:p>
    <w:p w14:paraId="4A90DE9A" w14:textId="1E01D14A" w:rsidR="000F7471" w:rsidRDefault="00466107" w:rsidP="000F7471">
      <w:pPr>
        <w:pStyle w:val="BodyText"/>
      </w:pPr>
      <w:r w:rsidRPr="00466107">
        <w:t>Once an employer enters into a DDA, the Administering Authority will review the employer’s covenant on a regular basis and details of this will be agreed for each DDA on an individual basis. If a deferred employer’s covenant deteriorates, the Administering Authority may issue a notice to review and possibly terminate the agreements</w:t>
      </w:r>
      <w:r>
        <w:t xml:space="preserve">, </w:t>
      </w:r>
      <w:r w:rsidR="000F7471">
        <w:t xml:space="preserve">In addition, if a deferred employer requests an extension to the duration of the DDA the </w:t>
      </w:r>
      <w:r w:rsidR="000D7F93">
        <w:t>Administering Authority</w:t>
      </w:r>
      <w:r w:rsidR="000F7471">
        <w:t xml:space="preserve"> will consider an updated covenant review, amongst other factors, in assessing the proposal. </w:t>
      </w:r>
    </w:p>
    <w:p w14:paraId="32B89343" w14:textId="0B586EDF" w:rsidR="000F7471" w:rsidRDefault="000F7471" w:rsidP="000F7471">
      <w:pPr>
        <w:pStyle w:val="BodyText"/>
      </w:pPr>
      <w:r>
        <w:t xml:space="preserve">As a condition of entering into a DDA, the deferred employer is required to engage with the </w:t>
      </w:r>
      <w:r w:rsidR="000D7F93">
        <w:t>Administering Authority</w:t>
      </w:r>
      <w:r>
        <w:t xml:space="preserve"> to assist with monitoring the level of covenant, for example by providing information requested by the </w:t>
      </w:r>
      <w:r w:rsidR="000D7F93">
        <w:t>Administering Authority</w:t>
      </w:r>
      <w:r>
        <w:t xml:space="preserve"> in a timely manner. </w:t>
      </w:r>
    </w:p>
    <w:p w14:paraId="6DF63898" w14:textId="77777777" w:rsidR="000F7471" w:rsidRPr="00CB755E" w:rsidRDefault="000F7471" w:rsidP="00F2122E">
      <w:pPr>
        <w:pStyle w:val="Heading3"/>
      </w:pPr>
      <w:r w:rsidRPr="00CB755E">
        <w:t>Timeliness of payments</w:t>
      </w:r>
    </w:p>
    <w:p w14:paraId="19E61575" w14:textId="46C6CBE4" w:rsidR="000F7471" w:rsidRDefault="000F7471" w:rsidP="000F7471">
      <w:pPr>
        <w:pStyle w:val="BodyText"/>
      </w:pPr>
      <w:r>
        <w:t xml:space="preserve">The agreement will set out whether payments are made on a monthly or annual basis, and the </w:t>
      </w:r>
      <w:r w:rsidR="000D7F93">
        <w:t>Administering Authority</w:t>
      </w:r>
      <w:r>
        <w:t xml:space="preserve"> will monitor if contributions are paid on time. Successive late or </w:t>
      </w:r>
      <w:r w:rsidR="009B3718">
        <w:t>missing</w:t>
      </w:r>
      <w:r>
        <w:t xml:space="preserve"> payments would contribute towards a notice being issued to the deferred employer to review and possibly terminate the agreement. </w:t>
      </w:r>
    </w:p>
    <w:p w14:paraId="3C236186" w14:textId="77777777" w:rsidR="000F7471" w:rsidRPr="00CB755E" w:rsidRDefault="000F7471" w:rsidP="00F2122E">
      <w:pPr>
        <w:pStyle w:val="Heading3"/>
      </w:pPr>
      <w:r w:rsidRPr="00CB755E">
        <w:t>Notifiable events from the deferred employer</w:t>
      </w:r>
    </w:p>
    <w:p w14:paraId="34612633" w14:textId="449FD27A" w:rsidR="000F7471" w:rsidRDefault="000F7471" w:rsidP="000F7471">
      <w:pPr>
        <w:pStyle w:val="BodyText"/>
      </w:pPr>
      <w:r>
        <w:t xml:space="preserve">The deferred employer has a responsibility to make the </w:t>
      </w:r>
      <w:r w:rsidR="000D7F93">
        <w:t>Administering Authority</w:t>
      </w:r>
      <w:r>
        <w:t xml:space="preserve"> aware of any changes in their ability to make payments or of a change in circumstance (e.g. a change of the guarantee in place mentioned above). Information should be shared with the </w:t>
      </w:r>
      <w:r w:rsidR="000D7F93">
        <w:t>Administering Authority</w:t>
      </w:r>
      <w:r>
        <w:t xml:space="preserve"> at any time throughout the agreement to enable the </w:t>
      </w:r>
      <w:r w:rsidR="000D7F93">
        <w:t>Administering Authority</w:t>
      </w:r>
      <w:r>
        <w:t xml:space="preserve"> to consider whether a review of the agreement should be carried out. </w:t>
      </w:r>
    </w:p>
    <w:p w14:paraId="0E03482C" w14:textId="77777777" w:rsidR="000F7471" w:rsidRDefault="000F7471" w:rsidP="005E7A38">
      <w:pPr>
        <w:pStyle w:val="Notheader1"/>
      </w:pPr>
      <w:bookmarkStart w:id="118" w:name="_Toc62462626"/>
      <w:bookmarkStart w:id="119" w:name="_Toc63178021"/>
      <w:bookmarkStart w:id="120" w:name="_Toc203646101"/>
      <w:bookmarkStart w:id="121" w:name="_Toc203940109"/>
      <w:r>
        <w:t xml:space="preserve">Terminating a </w:t>
      </w:r>
      <w:bookmarkEnd w:id="118"/>
      <w:r>
        <w:t>DDA</w:t>
      </w:r>
      <w:bookmarkEnd w:id="119"/>
      <w:bookmarkEnd w:id="120"/>
      <w:bookmarkEnd w:id="121"/>
    </w:p>
    <w:p w14:paraId="2EF48B10" w14:textId="77777777" w:rsidR="000F7471" w:rsidRPr="00F2122E" w:rsidRDefault="000F7471" w:rsidP="00A70595">
      <w:pPr>
        <w:pStyle w:val="Heading3"/>
      </w:pPr>
      <w:bookmarkStart w:id="122" w:name="_Toc63178022"/>
      <w:r w:rsidRPr="00F2122E">
        <w:t>Events that may terminate a DDA</w:t>
      </w:r>
      <w:bookmarkEnd w:id="122"/>
    </w:p>
    <w:p w14:paraId="7687BECC" w14:textId="77777777" w:rsidR="000F7471" w:rsidRDefault="000F7471" w:rsidP="000F7471">
      <w:pPr>
        <w:pStyle w:val="BodyText"/>
      </w:pPr>
      <w:r>
        <w:t>As set out in Regulation 64(7E), the DDA terminates on the first of the following events:</w:t>
      </w:r>
    </w:p>
    <w:p w14:paraId="50AF9E15" w14:textId="77777777" w:rsidR="000F7471" w:rsidRDefault="000F7471" w:rsidP="000F7471">
      <w:pPr>
        <w:pStyle w:val="List"/>
      </w:pPr>
      <w:r>
        <w:t>the deferred employer enrols new active members;</w:t>
      </w:r>
    </w:p>
    <w:p w14:paraId="7C505CC6" w14:textId="6526DC8D" w:rsidR="000F7471" w:rsidRDefault="000F7471" w:rsidP="000F7471">
      <w:pPr>
        <w:pStyle w:val="List"/>
      </w:pPr>
      <w:r>
        <w:t>the duration of the agreement elapse</w:t>
      </w:r>
      <w:r w:rsidR="007F2224">
        <w:t>s</w:t>
      </w:r>
      <w:r>
        <w:t>;</w:t>
      </w:r>
    </w:p>
    <w:p w14:paraId="32040D45" w14:textId="77777777" w:rsidR="000F7471" w:rsidRDefault="000F7471" w:rsidP="000F7471">
      <w:pPr>
        <w:pStyle w:val="List"/>
      </w:pPr>
      <w:r>
        <w:t>the take-over, amalgamation, insolvency, winding up or liquidation of the deferred employer;</w:t>
      </w:r>
    </w:p>
    <w:p w14:paraId="607DD4ED" w14:textId="24839515" w:rsidR="000F7471" w:rsidRDefault="000F7471" w:rsidP="000F7471">
      <w:pPr>
        <w:pStyle w:val="List"/>
      </w:pPr>
      <w:r>
        <w:t xml:space="preserve">the </w:t>
      </w:r>
      <w:r w:rsidR="000D7F93">
        <w:t>Administering Authority</w:t>
      </w:r>
      <w:r>
        <w:t xml:space="preserve"> serves a notice on the deferred employer that it is reasonably satisfied that the employer’s ability to meet the contributions payable under the DDA has weakened materially (or is likely to in the next 12 months); or</w:t>
      </w:r>
    </w:p>
    <w:p w14:paraId="565E5F2A" w14:textId="77777777" w:rsidR="000F7471" w:rsidRDefault="000F7471" w:rsidP="000F7471">
      <w:pPr>
        <w:pStyle w:val="List"/>
      </w:pPr>
      <w:r>
        <w:t xml:space="preserve">a review of the funding position of the deferred employer is carried out at an updated calculation date and the Fund Actuary assesses that the deferred employer has paid sufficient secondary contributions to cover what would be due if the deferred employer terminated at the updated calculation date; in other words the review reveals no deficit remains on the relevant calculation basis. </w:t>
      </w:r>
    </w:p>
    <w:p w14:paraId="7D75AAA4" w14:textId="4833CEA2" w:rsidR="000F7471" w:rsidRDefault="000F7471" w:rsidP="000F7471">
      <w:pPr>
        <w:pStyle w:val="BodyText"/>
      </w:pPr>
      <w:r>
        <w:t xml:space="preserve">The deferred employer can also choose to terminate the DDA at any point. Notice should be given to the </w:t>
      </w:r>
      <w:r w:rsidR="000D7F93">
        <w:t>Administering Authority</w:t>
      </w:r>
      <w:r>
        <w:t xml:space="preserve"> at the earliest opportunity. </w:t>
      </w:r>
    </w:p>
    <w:p w14:paraId="2620545C" w14:textId="77777777" w:rsidR="000F7471" w:rsidRDefault="000F7471" w:rsidP="000F7471">
      <w:pPr>
        <w:pStyle w:val="BodyText"/>
      </w:pPr>
      <w:r>
        <w:lastRenderedPageBreak/>
        <w:t>Termination clauses will be included in the formal DDA legal agreement.</w:t>
      </w:r>
    </w:p>
    <w:p w14:paraId="41510DC9" w14:textId="77777777" w:rsidR="000F7471" w:rsidRPr="00A70595" w:rsidRDefault="000F7471" w:rsidP="00A70595">
      <w:pPr>
        <w:pStyle w:val="Heading3"/>
      </w:pPr>
      <w:bookmarkStart w:id="123" w:name="_Toc63178023"/>
      <w:r w:rsidRPr="00A70595">
        <w:t>Process of termination</w:t>
      </w:r>
      <w:bookmarkEnd w:id="123"/>
    </w:p>
    <w:p w14:paraId="2D0134A8" w14:textId="5388B2A8" w:rsidR="000F7471" w:rsidRDefault="000F7471" w:rsidP="000F7471">
      <w:pPr>
        <w:pStyle w:val="BodyText"/>
      </w:pPr>
      <w:r>
        <w:t xml:space="preserve">Once a termination of the DDA has been triggered, the deferred employer becomes an exiting employer under Regulation 64(1). The </w:t>
      </w:r>
      <w:r w:rsidR="000D7F93">
        <w:t>Administering Authority</w:t>
      </w:r>
      <w:r>
        <w:t xml:space="preserve"> will obtain from the Fund Actuary an exit valuation calculated at the date the DDA terminates, and a revised rates and adjustments certificate setting out the exit payment due </w:t>
      </w:r>
      <w:r w:rsidRPr="009B3718">
        <w:t>from the exiting employer or the excess of assets in the Fund relating to the exiting employer (which would then be subject to the Fund’s exit credit policy).</w:t>
      </w:r>
      <w:r w:rsidR="008A5738" w:rsidRPr="009B3718">
        <w:t xml:space="preserve"> </w:t>
      </w:r>
      <w:r w:rsidR="008A5738" w:rsidRPr="001B792E">
        <w:t>All fees associated with the termination are to be paid by the exiting employer.</w:t>
      </w:r>
      <w:r w:rsidR="009B3718">
        <w:t xml:space="preserve">  </w:t>
      </w:r>
      <w:r>
        <w:t xml:space="preserve">Once the exit payment </w:t>
      </w:r>
      <w:r w:rsidR="0059030E">
        <w:t>and any associated fees</w:t>
      </w:r>
      <w:r w:rsidR="00EB1402">
        <w:t xml:space="preserve"> </w:t>
      </w:r>
      <w:r>
        <w:t>ha</w:t>
      </w:r>
      <w:r w:rsidR="00EB1402">
        <w:t>ve</w:t>
      </w:r>
      <w:r>
        <w:t xml:space="preserve"> been made in full, the exiting employer has no further obligation to the Fund.</w:t>
      </w:r>
    </w:p>
    <w:p w14:paraId="224DD2F8" w14:textId="77777777" w:rsidR="000F7471" w:rsidRDefault="000F7471" w:rsidP="000F7471">
      <w:pPr>
        <w:pStyle w:val="BodyText"/>
      </w:pPr>
      <w:r>
        <w:t xml:space="preserve">If the termination has been triggered because the deferred employer has enrolled new active members then the deferred employer becomes an active employer in the Fund and an immediate exit payment may not be required; this may instead be incorporated in the revised rates and adjustments certificate that will be provided in respect of the active employer. The employer remains responsible for all previously accrued liabilities and the revised contributions required from the active employer will be calculated in line with the Fund’s FSS. </w:t>
      </w:r>
    </w:p>
    <w:p w14:paraId="1EA347F1" w14:textId="3231B63D" w:rsidR="000F7471" w:rsidRDefault="000F7471" w:rsidP="000F7471">
      <w:pPr>
        <w:pStyle w:val="BodyText"/>
      </w:pPr>
      <w:r w:rsidRPr="00131048">
        <w:t xml:space="preserve">If the termination has been triggered because </w:t>
      </w:r>
      <w:r w:rsidRPr="00C736A7">
        <w:t xml:space="preserve">a review of the funding position of the deferred employer reveals that </w:t>
      </w:r>
      <w:r w:rsidRPr="00131048">
        <w:t xml:space="preserve">the secondary contributions paid to date by the deferred employer are sufficient to cover what would be due if the deferred employer terminated at the updated calculation date, then the deferred employer becomes an </w:t>
      </w:r>
      <w:r w:rsidRPr="009B3718">
        <w:t xml:space="preserve">exiting employer and no further payments are required. The exiting employer has no further obligation to the Fund. </w:t>
      </w:r>
      <w:r w:rsidRPr="001B792E">
        <w:t xml:space="preserve">Where there is a surplus, an exit credit may be payable as determined by the </w:t>
      </w:r>
      <w:r w:rsidR="000D7F93" w:rsidRPr="001B792E">
        <w:t>Administering Authority</w:t>
      </w:r>
      <w:r w:rsidRPr="001B792E">
        <w:t xml:space="preserve"> and in line with the Fund’s exit credit policy. </w:t>
      </w:r>
    </w:p>
    <w:p w14:paraId="790BA5D7" w14:textId="3ED3AC89" w:rsidR="000F7471" w:rsidRDefault="000F7471" w:rsidP="000F7471">
      <w:pPr>
        <w:pStyle w:val="Heading1"/>
      </w:pPr>
      <w:bookmarkStart w:id="124" w:name="_Toc63178024"/>
      <w:bookmarkStart w:id="125" w:name="_Toc203646102"/>
      <w:bookmarkStart w:id="126" w:name="_Toc203940110"/>
      <w:bookmarkStart w:id="127" w:name="_Toc222823333"/>
      <w:r>
        <w:t>Debt Spreading A</w:t>
      </w:r>
      <w:r w:rsidR="00D54E73">
        <w:t>rrangement</w:t>
      </w:r>
      <w:r>
        <w:t>s (DSAs)</w:t>
      </w:r>
      <w:bookmarkEnd w:id="124"/>
      <w:bookmarkEnd w:id="125"/>
      <w:bookmarkEnd w:id="126"/>
      <w:bookmarkEnd w:id="127"/>
    </w:p>
    <w:p w14:paraId="4EE61946" w14:textId="77777777" w:rsidR="000F7471" w:rsidRDefault="000F7471" w:rsidP="005E7A38">
      <w:pPr>
        <w:pStyle w:val="Notheader1"/>
      </w:pPr>
      <w:bookmarkStart w:id="128" w:name="_Toc63178025"/>
      <w:bookmarkStart w:id="129" w:name="_Toc203646103"/>
      <w:bookmarkStart w:id="130" w:name="_Toc203940111"/>
      <w:r>
        <w:t>Entering a DSA</w:t>
      </w:r>
      <w:bookmarkEnd w:id="128"/>
      <w:bookmarkEnd w:id="129"/>
      <w:bookmarkEnd w:id="130"/>
    </w:p>
    <w:p w14:paraId="6C64691F" w14:textId="19C29917" w:rsidR="000F7471" w:rsidRDefault="000F7471" w:rsidP="000F7471">
      <w:pPr>
        <w:pStyle w:val="BodyText"/>
      </w:pPr>
      <w:r w:rsidRPr="000C5429">
        <w:t>Under a DSA, the cessation debt is crystallised and spread</w:t>
      </w:r>
      <w:r>
        <w:t>, with interest,</w:t>
      </w:r>
      <w:r w:rsidRPr="000C5429">
        <w:t xml:space="preserve"> over a period deemed reasonable by the </w:t>
      </w:r>
      <w:r w:rsidR="000D7F93">
        <w:t>Administering Authority</w:t>
      </w:r>
      <w:r w:rsidRPr="000C5429">
        <w:t xml:space="preserve"> having regard to the views of the Fund Actuary</w:t>
      </w:r>
      <w:r>
        <w:t xml:space="preserve"> and following discussion with the exiting employer</w:t>
      </w:r>
      <w:r w:rsidRPr="000C5429">
        <w:t>.</w:t>
      </w:r>
      <w:r>
        <w:t xml:space="preserve"> The payments are fixed and are not reviewed at each actuarial valuation.</w:t>
      </w:r>
    </w:p>
    <w:p w14:paraId="6321AA2B" w14:textId="77777777" w:rsidR="000F7471" w:rsidRPr="00F2122E" w:rsidRDefault="000F7471" w:rsidP="00A70595">
      <w:pPr>
        <w:pStyle w:val="Heading3"/>
      </w:pPr>
      <w:bookmarkStart w:id="131" w:name="_Toc63178026"/>
      <w:r w:rsidRPr="00F2122E">
        <w:t>Information required from the employer</w:t>
      </w:r>
      <w:bookmarkEnd w:id="131"/>
    </w:p>
    <w:p w14:paraId="1D8A20A5" w14:textId="24613939" w:rsidR="000F7471" w:rsidRDefault="000F7471" w:rsidP="000F7471">
      <w:pPr>
        <w:pStyle w:val="BodyText"/>
      </w:pPr>
      <w:r w:rsidRPr="00241AE7">
        <w:t>When making a request</w:t>
      </w:r>
      <w:r>
        <w:t xml:space="preserve"> to enter a DSA</w:t>
      </w:r>
      <w:r w:rsidRPr="00241AE7">
        <w:t xml:space="preserve">, the </w:t>
      </w:r>
      <w:r>
        <w:t xml:space="preserve">exiting </w:t>
      </w:r>
      <w:r w:rsidRPr="00241AE7">
        <w:t>employer should demonstrate that they are unable to settle thei</w:t>
      </w:r>
      <w:r>
        <w:t xml:space="preserve">r exit payment immediately and </w:t>
      </w:r>
      <w:r w:rsidRPr="00241AE7">
        <w:t xml:space="preserve">provide any relevant information to support their </w:t>
      </w:r>
      <w:r>
        <w:t>request e.g. in relation to their covenant/ability to continue to make payments to the Fund. Examples of information the exiting employer may provide as evidence include the employers:</w:t>
      </w:r>
    </w:p>
    <w:p w14:paraId="5713186E" w14:textId="77777777" w:rsidR="000F7471" w:rsidRDefault="000F7471" w:rsidP="000F7471">
      <w:pPr>
        <w:pStyle w:val="List"/>
      </w:pPr>
      <w:r>
        <w:t>most recent annual report and accounts</w:t>
      </w:r>
    </w:p>
    <w:p w14:paraId="129D2089" w14:textId="77777777" w:rsidR="000F7471" w:rsidRDefault="000F7471" w:rsidP="000F7471">
      <w:pPr>
        <w:pStyle w:val="List"/>
      </w:pPr>
      <w:r>
        <w:t>latest management accounts</w:t>
      </w:r>
    </w:p>
    <w:p w14:paraId="30F5E2D0" w14:textId="77777777" w:rsidR="000F7471" w:rsidRDefault="000F7471" w:rsidP="000F7471">
      <w:pPr>
        <w:pStyle w:val="List"/>
      </w:pPr>
      <w:r>
        <w:t xml:space="preserve">financial forecasts </w:t>
      </w:r>
    </w:p>
    <w:p w14:paraId="640B247F" w14:textId="77777777" w:rsidR="000F7471" w:rsidRDefault="000F7471" w:rsidP="000F7471">
      <w:pPr>
        <w:pStyle w:val="List"/>
      </w:pPr>
      <w:r>
        <w:t>details of position of other creditors</w:t>
      </w:r>
    </w:p>
    <w:p w14:paraId="1A83FB4C" w14:textId="3B6B419E" w:rsidR="000F7471" w:rsidRDefault="000F7471" w:rsidP="000F7471">
      <w:pPr>
        <w:pStyle w:val="BodyText"/>
      </w:pPr>
      <w:r>
        <w:t xml:space="preserve">This is not an exhaustive list and the </w:t>
      </w:r>
      <w:r w:rsidR="000D7F93">
        <w:t>Administering Authority</w:t>
      </w:r>
      <w:r>
        <w:t xml:space="preserve"> may request further evidence. In particular, the </w:t>
      </w:r>
      <w:r w:rsidR="000D7F93">
        <w:t>Administering Authority</w:t>
      </w:r>
      <w:r>
        <w:t xml:space="preserve"> may commission a covenant assessment if insufficient evidence is provided. </w:t>
      </w:r>
    </w:p>
    <w:p w14:paraId="544C604F" w14:textId="77777777" w:rsidR="000F7471" w:rsidRPr="00F2122E" w:rsidRDefault="000F7471" w:rsidP="00A70595">
      <w:pPr>
        <w:pStyle w:val="Heading3"/>
      </w:pPr>
      <w:bookmarkStart w:id="132" w:name="_Toc63178028"/>
      <w:r w:rsidRPr="00F2122E">
        <w:lastRenderedPageBreak/>
        <w:t>Assessing the proposal</w:t>
      </w:r>
      <w:bookmarkEnd w:id="132"/>
    </w:p>
    <w:p w14:paraId="11179E67" w14:textId="0BD62A5C" w:rsidR="000F7471" w:rsidRDefault="000F7471" w:rsidP="000F7471">
      <w:pPr>
        <w:pStyle w:val="BodyText"/>
      </w:pPr>
      <w:r>
        <w:t xml:space="preserve">The </w:t>
      </w:r>
      <w:r w:rsidR="000D7F93">
        <w:t>Administering Authority</w:t>
      </w:r>
      <w:r>
        <w:t xml:space="preserve"> will </w:t>
      </w:r>
      <w:r w:rsidR="009B3718">
        <w:t>decide</w:t>
      </w:r>
      <w:r>
        <w:t xml:space="preserve"> whether to enter into a </w:t>
      </w:r>
      <w:r w:rsidRPr="007F33C2">
        <w:t>DSA within 2</w:t>
      </w:r>
      <w:r w:rsidR="00477701" w:rsidRPr="007F33C2">
        <w:t>8</w:t>
      </w:r>
      <w:r w:rsidRPr="007F33C2">
        <w:t xml:space="preserve"> days of receiving</w:t>
      </w:r>
      <w:r>
        <w:t xml:space="preserve"> a request but this may vary to reflect specific circumstances, for example if the </w:t>
      </w:r>
      <w:r w:rsidR="000D7F93">
        <w:t>Administering Authority</w:t>
      </w:r>
      <w:r>
        <w:t xml:space="preserve"> chooses to request a covenant assessment then the process may take longer. </w:t>
      </w:r>
    </w:p>
    <w:p w14:paraId="522497E1" w14:textId="178CD1DB" w:rsidR="000F7471" w:rsidRDefault="000F7471" w:rsidP="000F7471">
      <w:pPr>
        <w:pStyle w:val="BodyText"/>
      </w:pPr>
      <w:r>
        <w:t xml:space="preserve">To reach a decision the </w:t>
      </w:r>
      <w:r w:rsidR="000D7F93">
        <w:t>Administering Authority</w:t>
      </w:r>
      <w:r>
        <w:t xml:space="preserve"> will consider:</w:t>
      </w:r>
    </w:p>
    <w:p w14:paraId="60E370FF" w14:textId="77777777" w:rsidR="000F7471" w:rsidRDefault="000F7471" w:rsidP="000F7471">
      <w:pPr>
        <w:pStyle w:val="List"/>
      </w:pPr>
      <w:r>
        <w:t>the size of the exit payment relative to the exiting employer’s business cashflow;</w:t>
      </w:r>
    </w:p>
    <w:p w14:paraId="1072D3CF" w14:textId="77777777" w:rsidR="000F7471" w:rsidRDefault="000F7471" w:rsidP="000F7471">
      <w:pPr>
        <w:pStyle w:val="List"/>
      </w:pPr>
      <w:r>
        <w:t>the size of the exit payment relative to the costs associated with entering into a DSA;</w:t>
      </w:r>
    </w:p>
    <w:p w14:paraId="203478A1" w14:textId="77777777" w:rsidR="000F7471" w:rsidRDefault="000F7471" w:rsidP="000F7471">
      <w:pPr>
        <w:pStyle w:val="List"/>
      </w:pPr>
      <w:r>
        <w:t>whether a deferred debt agreement or suspension notice would be more appropriate;</w:t>
      </w:r>
    </w:p>
    <w:p w14:paraId="18047675" w14:textId="77777777" w:rsidR="000F7471" w:rsidRDefault="000F7471" w:rsidP="000F7471">
      <w:pPr>
        <w:pStyle w:val="List"/>
      </w:pPr>
      <w:r>
        <w:t>any information provided by the employer to support their covenant strength;</w:t>
      </w:r>
    </w:p>
    <w:p w14:paraId="7E41224B" w14:textId="77777777" w:rsidR="000F7471" w:rsidRDefault="000F7471" w:rsidP="000F7471">
      <w:pPr>
        <w:pStyle w:val="List"/>
      </w:pPr>
      <w:r>
        <w:t xml:space="preserve">the results of any covenant review carried out by the Fund Actuary or a covenant specialist; </w:t>
      </w:r>
    </w:p>
    <w:p w14:paraId="23CD9581" w14:textId="77777777" w:rsidR="000F7471" w:rsidRDefault="000F7471" w:rsidP="000F7471">
      <w:pPr>
        <w:pStyle w:val="List"/>
      </w:pPr>
      <w:r>
        <w:t>the merit of any guarantees from another source and whether this is deemed sufficient to cover the outstanding payments should the exiting employer fail;</w:t>
      </w:r>
    </w:p>
    <w:p w14:paraId="20ED2BE4" w14:textId="77777777" w:rsidR="000F7471" w:rsidRDefault="000F7471" w:rsidP="000F7471">
      <w:pPr>
        <w:pStyle w:val="List"/>
      </w:pPr>
      <w:r>
        <w:t xml:space="preserve">the exiting employer’s accounts; </w:t>
      </w:r>
    </w:p>
    <w:p w14:paraId="0B31A177" w14:textId="359D1F00" w:rsidR="002C6397" w:rsidRDefault="002C6397" w:rsidP="000F7471">
      <w:pPr>
        <w:pStyle w:val="List"/>
      </w:pPr>
      <w:r>
        <w:t>any legal advice as appropriate;</w:t>
      </w:r>
    </w:p>
    <w:p w14:paraId="45B97BE1" w14:textId="77777777" w:rsidR="000F7471" w:rsidRDefault="000F7471" w:rsidP="000F7471">
      <w:pPr>
        <w:pStyle w:val="List"/>
      </w:pPr>
      <w:r>
        <w:t>the potential impact on the other employers in the Fund; and</w:t>
      </w:r>
    </w:p>
    <w:p w14:paraId="77D24D76" w14:textId="77777777" w:rsidR="000F7471" w:rsidRDefault="000F7471" w:rsidP="000F7471">
      <w:pPr>
        <w:pStyle w:val="List"/>
      </w:pPr>
      <w:r>
        <w:t>the opinion of the Fund Actuary.</w:t>
      </w:r>
    </w:p>
    <w:p w14:paraId="59F2A931" w14:textId="432E5204" w:rsidR="000F7471" w:rsidRDefault="000F7471" w:rsidP="000F7471">
      <w:pPr>
        <w:pStyle w:val="BodyText"/>
      </w:pPr>
      <w:r>
        <w:t xml:space="preserve">The </w:t>
      </w:r>
      <w:r w:rsidR="000D7F93">
        <w:t>Administering Authority</w:t>
      </w:r>
      <w:r>
        <w:t xml:space="preserve"> is not obliged to accept an exiting employer’s request for a DSA. For example, in the following circumstances the </w:t>
      </w:r>
      <w:r w:rsidR="000D7F93">
        <w:t>Administering Authority</w:t>
      </w:r>
      <w:r>
        <w:t xml:space="preserve"> may consider a DSA not to be appropriate:</w:t>
      </w:r>
    </w:p>
    <w:p w14:paraId="4D51AA6C" w14:textId="77777777" w:rsidR="000F7471" w:rsidRDefault="000F7471" w:rsidP="000F7471">
      <w:pPr>
        <w:pStyle w:val="List"/>
      </w:pPr>
      <w:r w:rsidRPr="00AB24D1">
        <w:t xml:space="preserve">the </w:t>
      </w:r>
      <w:r>
        <w:t xml:space="preserve">exiting </w:t>
      </w:r>
      <w:r w:rsidRPr="00AB24D1">
        <w:t>employer could reasonably be expected to settle their exit payment in a single amount</w:t>
      </w:r>
      <w:r>
        <w:t xml:space="preserve">; </w:t>
      </w:r>
    </w:p>
    <w:p w14:paraId="5103C11B" w14:textId="77777777" w:rsidR="000F7471" w:rsidRDefault="000F7471" w:rsidP="000F7471">
      <w:pPr>
        <w:pStyle w:val="List"/>
      </w:pPr>
      <w:r>
        <w:t>there is doubt that the exiting employer can operate as a going concern during the spreading period; or</w:t>
      </w:r>
    </w:p>
    <w:p w14:paraId="18141AC7" w14:textId="77777777" w:rsidR="000F7471" w:rsidRPr="00716740" w:rsidRDefault="000F7471" w:rsidP="000F7471">
      <w:pPr>
        <w:pStyle w:val="List"/>
      </w:pPr>
      <w:r w:rsidRPr="00716740">
        <w:t xml:space="preserve">the </w:t>
      </w:r>
      <w:r>
        <w:t>exiting e</w:t>
      </w:r>
      <w:r w:rsidRPr="0090446E">
        <w:t xml:space="preserve">mployer </w:t>
      </w:r>
      <w:r>
        <w:t xml:space="preserve">cannot afford the speeded payments over the maximum spreading period or </w:t>
      </w:r>
      <w:r w:rsidRPr="0090446E">
        <w:t xml:space="preserve">is requesting a spreading period longer than </w:t>
      </w:r>
      <w:r>
        <w:t xml:space="preserve">the </w:t>
      </w:r>
      <w:r w:rsidRPr="0090446E">
        <w:t>maximum</w:t>
      </w:r>
      <w:r>
        <w:t xml:space="preserve"> </w:t>
      </w:r>
      <w:r w:rsidRPr="0090446E">
        <w:t>(see below).</w:t>
      </w:r>
    </w:p>
    <w:p w14:paraId="56540255" w14:textId="0DBBBA82" w:rsidR="000F7471" w:rsidRPr="007F33C2" w:rsidRDefault="000F7471" w:rsidP="000F7471">
      <w:pPr>
        <w:pStyle w:val="BodyText"/>
      </w:pPr>
      <w:r>
        <w:t xml:space="preserve">The structure of the DSA is at the discretion of the </w:t>
      </w:r>
      <w:r w:rsidR="000D7F93">
        <w:t>Administering Authority</w:t>
      </w:r>
      <w:r>
        <w:t xml:space="preserve"> having taken advice from the Fund Actuary and consulted with the exiting employer. </w:t>
      </w:r>
      <w:r w:rsidRPr="009F5B34">
        <w:t xml:space="preserve">The structure should protect all other employers in the Fund whilst being achievable for the exiting employer. </w:t>
      </w:r>
      <w:r>
        <w:t xml:space="preserve">The structure of the DSA </w:t>
      </w:r>
      <w:r w:rsidRPr="007F33C2">
        <w:t>will take into consideration:</w:t>
      </w:r>
    </w:p>
    <w:p w14:paraId="6FEA6000" w14:textId="2DFC87EA" w:rsidR="000F7471" w:rsidRDefault="000F7471" w:rsidP="000F7471">
      <w:pPr>
        <w:pStyle w:val="List"/>
      </w:pPr>
      <w:r w:rsidRPr="007F33C2">
        <w:t xml:space="preserve">the period that the payments will be spread. This is expected to be no more than </w:t>
      </w:r>
      <w:r w:rsidR="009B3718" w:rsidRPr="007F33C2">
        <w:t>5</w:t>
      </w:r>
      <w:r w:rsidRPr="007F33C2">
        <w:t xml:space="preserve"> years. For</w:t>
      </w:r>
      <w:r>
        <w:t xml:space="preserve"> longer periods it may be more appropriate to consider a </w:t>
      </w:r>
      <w:r w:rsidR="006E7FE4">
        <w:t>DDA</w:t>
      </w:r>
      <w:r>
        <w:t xml:space="preserve"> but the </w:t>
      </w:r>
      <w:r w:rsidR="000D7F93">
        <w:t>Administering Authority</w:t>
      </w:r>
      <w:r>
        <w:t xml:space="preserve"> reserves the right to set whatever spreading period they deem appropriate provided they are satisfied with the exiting employer’s ability to meet the payments over that period. The length of the spreading period will be set as to be as short as possible whilst remaining affordable for the exiting employer;</w:t>
      </w:r>
    </w:p>
    <w:p w14:paraId="0D71DA23" w14:textId="77777777" w:rsidR="000F7471" w:rsidRDefault="000F7471" w:rsidP="000F7471">
      <w:pPr>
        <w:pStyle w:val="List"/>
      </w:pPr>
      <w:r>
        <w:t>the interest rate applicable to the spread payments. In general, this will be set with reference to the discount rate in the exiting employer’s cessation valuation report;</w:t>
      </w:r>
    </w:p>
    <w:p w14:paraId="63CA2730" w14:textId="77777777" w:rsidR="000F7471" w:rsidRDefault="000F7471" w:rsidP="000F7471">
      <w:pPr>
        <w:pStyle w:val="List"/>
      </w:pPr>
      <w:r>
        <w:t>the regularity of the payments and when they fall due;</w:t>
      </w:r>
    </w:p>
    <w:p w14:paraId="5D4E384C" w14:textId="77777777" w:rsidR="000F7471" w:rsidRDefault="000F7471" w:rsidP="000F7471">
      <w:pPr>
        <w:pStyle w:val="List"/>
      </w:pPr>
      <w:r>
        <w:t>other costs payable; and</w:t>
      </w:r>
    </w:p>
    <w:p w14:paraId="1CD2AFFA" w14:textId="559D8D4F" w:rsidR="000F7471" w:rsidRDefault="000F7471" w:rsidP="000F7471">
      <w:pPr>
        <w:pStyle w:val="List"/>
      </w:pPr>
      <w:r>
        <w:t xml:space="preserve">the responsibilities of the exiting employer during the spreading period (for example, to make payments on time and to notify the </w:t>
      </w:r>
      <w:r w:rsidR="000D7F93">
        <w:t>Administering Authority</w:t>
      </w:r>
      <w:r>
        <w:t xml:space="preserve"> of a change in circumstances that could affect their ability to make payments).</w:t>
      </w:r>
    </w:p>
    <w:p w14:paraId="59B5C0AB" w14:textId="04E4F788" w:rsidR="000F7471" w:rsidRDefault="000F7471" w:rsidP="000F7471">
      <w:pPr>
        <w:pStyle w:val="BodyText"/>
      </w:pPr>
      <w:r>
        <w:lastRenderedPageBreak/>
        <w:t xml:space="preserve">Once all information has been considered the </w:t>
      </w:r>
      <w:r w:rsidR="000D7F93">
        <w:t>Administering Authority</w:t>
      </w:r>
      <w:r>
        <w:t xml:space="preserve"> will consult with the exiting employer as required under the Regulations. If the </w:t>
      </w:r>
      <w:r w:rsidR="000D7F93">
        <w:t>Administering Authority</w:t>
      </w:r>
      <w:r>
        <w:t xml:space="preserve"> does not wish to accept the exiting employer’s request to enter into a DSA they will explain their reasoning and any alternatives (e.g. a DDA, suspension notice or indeed require the exit payment in full). If the </w:t>
      </w:r>
      <w:r w:rsidR="000D7F93">
        <w:t>Administering Authority</w:t>
      </w:r>
      <w:r>
        <w:t xml:space="preserve"> accepts the request to enter into a DSA, they will notify their legal advisers and Fund Actuary. If the </w:t>
      </w:r>
      <w:r w:rsidR="000D7F93">
        <w:t>Administering Authority</w:t>
      </w:r>
      <w:r>
        <w:t xml:space="preserve"> has concerns about the level of risk arising due to the DSA, the </w:t>
      </w:r>
      <w:r w:rsidR="000D7F93">
        <w:t>Administering Authority</w:t>
      </w:r>
      <w:r>
        <w:t xml:space="preserve"> may only accept the request subject to a one-off cash injection being made by the exiting employer or security being provided as an additional guarantee. </w:t>
      </w:r>
    </w:p>
    <w:p w14:paraId="2CAD3877" w14:textId="77777777" w:rsidR="000F7471" w:rsidRPr="00F2122E" w:rsidRDefault="000F7471" w:rsidP="00A70595">
      <w:pPr>
        <w:pStyle w:val="Heading3"/>
      </w:pPr>
      <w:bookmarkStart w:id="133" w:name="_Toc63178029"/>
      <w:r w:rsidRPr="00F2122E">
        <w:t>Setting up a DSA</w:t>
      </w:r>
      <w:bookmarkEnd w:id="133"/>
    </w:p>
    <w:p w14:paraId="0C5BE6A1" w14:textId="09DBC7D2" w:rsidR="000F7471" w:rsidRDefault="000F7471" w:rsidP="000F7471">
      <w:pPr>
        <w:pStyle w:val="BodyText"/>
      </w:pPr>
      <w:r>
        <w:t xml:space="preserve">The </w:t>
      </w:r>
      <w:r w:rsidR="000D7F93">
        <w:t>Administering Authority</w:t>
      </w:r>
      <w:r>
        <w:t xml:space="preserve"> and the exiting employer, with the assistance of the Fund Actuary, will then negotiate the structure of the schedule of payments which takes into consideration the exiting employer’s affordability and an appropriate period of the spreading. </w:t>
      </w:r>
    </w:p>
    <w:p w14:paraId="3CAB6736" w14:textId="393A77D9" w:rsidR="000F7471" w:rsidRDefault="000F7471" w:rsidP="000F7471">
      <w:pPr>
        <w:pStyle w:val="BodyText"/>
      </w:pPr>
      <w:r>
        <w:t xml:space="preserve">The schedule of payments will be set out in a revised rates and adjustments certificate prepared by the Fund Actuary. There may be circumstances where timings may vary, however, in general the certificate will be prepared and provided to the exiting employer within </w:t>
      </w:r>
      <w:r w:rsidRPr="00533EC4">
        <w:t xml:space="preserve">14 days </w:t>
      </w:r>
      <w:r>
        <w:t>of agreeing the structure of the schedule of payments with the exiting employer.</w:t>
      </w:r>
    </w:p>
    <w:p w14:paraId="16A3495A" w14:textId="77777777" w:rsidR="000F7471" w:rsidRDefault="000F7471" w:rsidP="005E7A38">
      <w:pPr>
        <w:pStyle w:val="Notheader1"/>
      </w:pPr>
      <w:bookmarkStart w:id="134" w:name="_Toc63178030"/>
      <w:bookmarkStart w:id="135" w:name="_Toc203646104"/>
      <w:bookmarkStart w:id="136" w:name="_Toc203940112"/>
      <w:r>
        <w:t>Monitoring a DSA</w:t>
      </w:r>
      <w:bookmarkEnd w:id="134"/>
      <w:bookmarkEnd w:id="135"/>
      <w:bookmarkEnd w:id="136"/>
    </w:p>
    <w:p w14:paraId="1141C728" w14:textId="28662FE2" w:rsidR="000F7471" w:rsidRDefault="000F7471" w:rsidP="000F7471">
      <w:pPr>
        <w:pStyle w:val="BodyText"/>
      </w:pPr>
      <w:r>
        <w:t xml:space="preserve">Over the term that the cessation debt payment is spread, the </w:t>
      </w:r>
      <w:r w:rsidR="000D7F93">
        <w:t>Administering Authority</w:t>
      </w:r>
      <w:r>
        <w:t xml:space="preserve"> will monitor the ability and willingness of the exiting employer to pay the schedule of contributions in the revised rates and adjustments certificate.</w:t>
      </w:r>
      <w:r w:rsidRPr="00035AC3">
        <w:t xml:space="preserve"> </w:t>
      </w:r>
      <w:r>
        <w:t xml:space="preserve">While it is expected the schedule of payments would be fixed for the spreading period, the </w:t>
      </w:r>
      <w:r w:rsidR="000D7F93">
        <w:t>Administering Authority</w:t>
      </w:r>
      <w:r>
        <w:t xml:space="preserve"> may alter the structure of the schedule at any time if there is a change in the exiting employer’s circumstances or indeed, if the exiting employer wanted to pay the remaining balance. This will be agreed on a case by case basis and set out in a side agreement as required.</w:t>
      </w:r>
    </w:p>
    <w:p w14:paraId="23820B9F" w14:textId="238F193E" w:rsidR="000F7471" w:rsidRDefault="000F7471" w:rsidP="000F7471">
      <w:pPr>
        <w:pStyle w:val="BodyText"/>
      </w:pPr>
      <w:r>
        <w:t xml:space="preserve">The </w:t>
      </w:r>
      <w:r w:rsidR="000D7F93">
        <w:t>Administering Authority</w:t>
      </w:r>
      <w:r>
        <w:t xml:space="preserve"> will be in regular contact with the exiting employer until their obligations to the Fund are removed when all payments set out in the schedule of payments are made.</w:t>
      </w:r>
    </w:p>
    <w:p w14:paraId="4F048E2E" w14:textId="71480DBC" w:rsidR="000F7471" w:rsidRDefault="000F7471" w:rsidP="000F7471">
      <w:pPr>
        <w:pStyle w:val="BodyText"/>
      </w:pPr>
      <w:r>
        <w:t xml:space="preserve">Examples of factors which will be monitored are set out below. Should any of these raise any concerns with the </w:t>
      </w:r>
      <w:r w:rsidR="000D7F93">
        <w:t>Administering Authority</w:t>
      </w:r>
      <w:r>
        <w:t xml:space="preserve"> then the DSA may be reviewed and/or terminated.</w:t>
      </w:r>
    </w:p>
    <w:p w14:paraId="7CCF561F" w14:textId="77777777" w:rsidR="000F7471" w:rsidRPr="00CB755E" w:rsidRDefault="000F7471" w:rsidP="00F2122E">
      <w:pPr>
        <w:pStyle w:val="Heading3"/>
      </w:pPr>
      <w:r w:rsidRPr="00CB755E">
        <w:t>Changing employer covenant</w:t>
      </w:r>
    </w:p>
    <w:p w14:paraId="3927D42E" w14:textId="67E59DFE" w:rsidR="000F7471" w:rsidRDefault="000F7471" w:rsidP="000F7471">
      <w:pPr>
        <w:pStyle w:val="BodyText"/>
      </w:pPr>
      <w:r>
        <w:t xml:space="preserve">The </w:t>
      </w:r>
      <w:r w:rsidR="000D7F93">
        <w:t>Administering Authority</w:t>
      </w:r>
      <w:r>
        <w:t xml:space="preserve"> will monitor the ability of the exiting employer to make their set payments by monitoring publicly available information such as credit ratings and/or company accounts as well as keeping in regular contact, at least annually, with the exiting employer to ensure that the payments can be met.</w:t>
      </w:r>
    </w:p>
    <w:p w14:paraId="4803B85C" w14:textId="09782674" w:rsidR="000F7471" w:rsidRPr="008D796E" w:rsidRDefault="000F7471" w:rsidP="000F7471">
      <w:pPr>
        <w:pStyle w:val="BodyText"/>
      </w:pPr>
      <w:r>
        <w:t xml:space="preserve">As a condition of entering into a DSA, the exiting employer is required to engage with the </w:t>
      </w:r>
      <w:r w:rsidR="000D7F93">
        <w:t>Administering Authority</w:t>
      </w:r>
      <w:r>
        <w:t xml:space="preserve"> to assist with monitoring the level of covenant, for example by providing information requested by the </w:t>
      </w:r>
      <w:r w:rsidR="000D7F93">
        <w:t>Administering Authority</w:t>
      </w:r>
      <w:r>
        <w:t xml:space="preserve"> in a timely manner. </w:t>
      </w:r>
    </w:p>
    <w:p w14:paraId="51C47E7B" w14:textId="77777777" w:rsidR="000F7471" w:rsidRPr="00CB755E" w:rsidRDefault="000F7471" w:rsidP="00F2122E">
      <w:pPr>
        <w:pStyle w:val="Heading3"/>
      </w:pPr>
      <w:r w:rsidRPr="00CB755E">
        <w:t>Timeliness of payments</w:t>
      </w:r>
    </w:p>
    <w:p w14:paraId="7A352573" w14:textId="4BF6E19E" w:rsidR="000F7471" w:rsidRDefault="000F7471" w:rsidP="000F7471">
      <w:pPr>
        <w:pStyle w:val="BodyText"/>
      </w:pPr>
      <w:r>
        <w:t xml:space="preserve">The DSA will set out whether payments are made on a monthly or annual basis and how long for, and the </w:t>
      </w:r>
      <w:r w:rsidR="000D7F93">
        <w:t>Administering Authority</w:t>
      </w:r>
      <w:r>
        <w:t xml:space="preserve"> will monitor if contributions are paid on time. Successive late or </w:t>
      </w:r>
      <w:r w:rsidR="009B3718">
        <w:t>missing</w:t>
      </w:r>
      <w:r>
        <w:t xml:space="preserve"> payments would contribute towards further interest charges or the spreading agreement may be reviewed and/or terminated.</w:t>
      </w:r>
    </w:p>
    <w:p w14:paraId="63EA94C7" w14:textId="77777777" w:rsidR="000F7471" w:rsidRPr="00CB755E" w:rsidRDefault="000F7471" w:rsidP="00F2122E">
      <w:pPr>
        <w:pStyle w:val="Heading3"/>
      </w:pPr>
      <w:r w:rsidRPr="00CB755E">
        <w:lastRenderedPageBreak/>
        <w:t>Strength of guarantee</w:t>
      </w:r>
      <w:r>
        <w:t xml:space="preserve"> or security</w:t>
      </w:r>
    </w:p>
    <w:p w14:paraId="395A74A1" w14:textId="05A4B33B" w:rsidR="000F7471" w:rsidRDefault="000F7471" w:rsidP="000F7471">
      <w:pPr>
        <w:pStyle w:val="BodyText"/>
      </w:pPr>
      <w:r>
        <w:t xml:space="preserve">If a particular schedule of payments has been agreed between the </w:t>
      </w:r>
      <w:r w:rsidR="000D7F93">
        <w:t>Administering Authority</w:t>
      </w:r>
      <w:r>
        <w:t xml:space="preserve"> and the exiting employer on the understanding that there is a particular security in place (e.g. another employer in the Fund willing to pay the remaining balance or a fixed charge on property that covers the remaining balance) then the </w:t>
      </w:r>
      <w:r w:rsidR="000D7F93">
        <w:t>Administering Authority</w:t>
      </w:r>
      <w:r>
        <w:t xml:space="preserve"> will check there has been no change to the security regularly. The frequency of these reviews may reduce as the level of outstanding debt reduces. The </w:t>
      </w:r>
      <w:r w:rsidR="000D7F93">
        <w:t>Administering Authority</w:t>
      </w:r>
      <w:r>
        <w:t xml:space="preserve"> with advice from the Fund Actuary may change the schedule of payments depending on the strength of the security in place. The exiting employer would be consulted prior to any changes.</w:t>
      </w:r>
    </w:p>
    <w:p w14:paraId="5E391243" w14:textId="77777777" w:rsidR="000F7471" w:rsidRPr="00CB755E" w:rsidRDefault="000F7471" w:rsidP="00F2122E">
      <w:pPr>
        <w:pStyle w:val="Heading3"/>
      </w:pPr>
      <w:r w:rsidRPr="00CB755E">
        <w:t>Notifiable events from the exiting employer</w:t>
      </w:r>
    </w:p>
    <w:p w14:paraId="4E7E8302" w14:textId="2727AB4B" w:rsidR="000F7471" w:rsidRPr="00B80194" w:rsidRDefault="000F7471" w:rsidP="000F7471">
      <w:pPr>
        <w:pStyle w:val="BodyText"/>
      </w:pPr>
      <w:r>
        <w:t xml:space="preserve">The exiting employer has a responsibility to make the </w:t>
      </w:r>
      <w:r w:rsidR="000D7F93">
        <w:t>Administering Authority</w:t>
      </w:r>
      <w:r>
        <w:t xml:space="preserve"> aware of any changes in their ability to make payments or of a change in circumstance that affects their ability to make </w:t>
      </w:r>
      <w:r w:rsidRPr="00172572">
        <w:t>payments.</w:t>
      </w:r>
      <w:r w:rsidRPr="00CB755E">
        <w:t xml:space="preserve"> </w:t>
      </w:r>
      <w:r w:rsidRPr="00172572">
        <w:t xml:space="preserve">Information </w:t>
      </w:r>
      <w:r>
        <w:t xml:space="preserve">should be shared with the </w:t>
      </w:r>
      <w:r w:rsidR="000D7F93">
        <w:t>Administering Authority</w:t>
      </w:r>
      <w:r>
        <w:t xml:space="preserve"> at any time throughout the agreement to enable the </w:t>
      </w:r>
      <w:r w:rsidR="000D7F93">
        <w:t>Administering Authority</w:t>
      </w:r>
      <w:r>
        <w:t xml:space="preserve"> to consider whether a review of the agreement should be carried out. </w:t>
      </w:r>
    </w:p>
    <w:p w14:paraId="6674C86E" w14:textId="77777777" w:rsidR="000F7471" w:rsidRDefault="000F7471" w:rsidP="005E7A38">
      <w:pPr>
        <w:pStyle w:val="Notheader1"/>
      </w:pPr>
      <w:bookmarkStart w:id="137" w:name="_Toc63178031"/>
      <w:bookmarkStart w:id="138" w:name="_Toc203646105"/>
      <w:bookmarkStart w:id="139" w:name="_Toc203940113"/>
      <w:r>
        <w:t>Terminating a DSA</w:t>
      </w:r>
      <w:bookmarkEnd w:id="137"/>
      <w:bookmarkEnd w:id="138"/>
      <w:bookmarkEnd w:id="139"/>
    </w:p>
    <w:p w14:paraId="293A0299" w14:textId="77777777" w:rsidR="000F7471" w:rsidRPr="00F2122E" w:rsidRDefault="000F7471" w:rsidP="00A70595">
      <w:pPr>
        <w:pStyle w:val="Heading3"/>
      </w:pPr>
      <w:bookmarkStart w:id="140" w:name="_Toc63178032"/>
      <w:r w:rsidRPr="00F2122E">
        <w:t>Events that may terminate a DSA</w:t>
      </w:r>
      <w:bookmarkEnd w:id="140"/>
    </w:p>
    <w:p w14:paraId="31826ADE" w14:textId="77777777" w:rsidR="000F7471" w:rsidRDefault="000F7471" w:rsidP="000F7471">
      <w:pPr>
        <w:pStyle w:val="BodyText"/>
      </w:pPr>
      <w:r>
        <w:t>On paying all the payments set out in the revised rates and adjustments certificate the exiting employer will no longer have any obligations to the Fund.</w:t>
      </w:r>
    </w:p>
    <w:p w14:paraId="734AA4D5" w14:textId="593A3A6C" w:rsidR="000F7471" w:rsidRDefault="009B3718" w:rsidP="000F7471">
      <w:pPr>
        <w:pStyle w:val="BodyText"/>
      </w:pPr>
      <w:r>
        <w:t>If</w:t>
      </w:r>
      <w:r w:rsidR="000F7471">
        <w:t xml:space="preserve"> the </w:t>
      </w:r>
      <w:r w:rsidR="000D7F93">
        <w:t>Administering Authority</w:t>
      </w:r>
      <w:r w:rsidR="000F7471">
        <w:t xml:space="preserve"> believes that the exiting employer may not be able to make any of their remaining payments, the </w:t>
      </w:r>
      <w:r w:rsidR="000D7F93">
        <w:t>Administering Authority</w:t>
      </w:r>
      <w:r w:rsidR="000F7471">
        <w:t xml:space="preserve"> reserves the right to review and/or terminate the DSA to ensure it is appropriate for the Fund and does not adversely impact the other participating employers.</w:t>
      </w:r>
    </w:p>
    <w:p w14:paraId="11A26596" w14:textId="77777777" w:rsidR="000F7471" w:rsidRDefault="000F7471" w:rsidP="000F7471">
      <w:pPr>
        <w:pStyle w:val="BodyText"/>
      </w:pPr>
      <w:r>
        <w:t>The exiting employer may also request to terminate the DSA early, in which case an immediate payment of the outstanding amounts set out in the contribution schedule should be paid.</w:t>
      </w:r>
    </w:p>
    <w:p w14:paraId="1E1FD5AE" w14:textId="77777777" w:rsidR="000F7471" w:rsidRPr="00F2122E" w:rsidRDefault="000F7471" w:rsidP="00A70595">
      <w:pPr>
        <w:pStyle w:val="Heading3"/>
      </w:pPr>
      <w:bookmarkStart w:id="141" w:name="_Toc63178033"/>
      <w:r w:rsidRPr="00F2122E">
        <w:t>Process of termination</w:t>
      </w:r>
      <w:bookmarkEnd w:id="141"/>
    </w:p>
    <w:p w14:paraId="465531CD" w14:textId="29E01AC6" w:rsidR="000F7471" w:rsidRDefault="000F7471" w:rsidP="000F7471">
      <w:pPr>
        <w:pStyle w:val="BodyText"/>
      </w:pPr>
      <w:r>
        <w:t xml:space="preserve">In the event of a DSA being amended or terminated the </w:t>
      </w:r>
      <w:r w:rsidR="000D7F93">
        <w:t>Administering Authority</w:t>
      </w:r>
      <w:r>
        <w:t xml:space="preserve"> will communicate this to the exiting employer along with reasons for the decision. Before the decision is made the </w:t>
      </w:r>
      <w:r w:rsidR="000D7F93">
        <w:t>Administering Authority</w:t>
      </w:r>
      <w:r>
        <w:t xml:space="preserve"> will consult with the exiting employer about their change in circumstances </w:t>
      </w:r>
      <w:r w:rsidR="009B3718">
        <w:t>and</w:t>
      </w:r>
      <w:r>
        <w:t xml:space="preserve"> take advice from the Fund Actuary.</w:t>
      </w:r>
    </w:p>
    <w:p w14:paraId="4D646B26" w14:textId="1A9BF801" w:rsidR="000F7471" w:rsidRDefault="000F7471" w:rsidP="000F7471">
      <w:pPr>
        <w:pStyle w:val="BodyText"/>
      </w:pPr>
      <w:r>
        <w:t xml:space="preserve">If the DSA has to be terminated prematurely the </w:t>
      </w:r>
      <w:r w:rsidR="000D7F93">
        <w:t>Administering Authority</w:t>
      </w:r>
      <w:r>
        <w:t xml:space="preserve"> will seek to obtain from the exiting employer as much of the outstanding exit payments as possible or look at alternative arrangements such as a </w:t>
      </w:r>
      <w:r w:rsidR="00C10394">
        <w:t>DDA</w:t>
      </w:r>
      <w:r>
        <w:t>.</w:t>
      </w:r>
    </w:p>
    <w:p w14:paraId="7D2E562E" w14:textId="156FFA18" w:rsidR="00F14EED" w:rsidRDefault="000F7471" w:rsidP="001B792E">
      <w:pPr>
        <w:pStyle w:val="BodyText"/>
        <w:rPr>
          <w:rFonts w:asciiTheme="majorHAnsi" w:eastAsiaTheme="majorEastAsia" w:hAnsiTheme="majorHAnsi"/>
          <w:b/>
          <w:bCs/>
          <w:color w:val="0069B4"/>
          <w:kern w:val="32"/>
          <w:sz w:val="56"/>
          <w:szCs w:val="32"/>
        </w:rPr>
      </w:pPr>
      <w:r>
        <w:t>Once the exit payment has been made in full, the exiting employer has no further obligation to the Fund.</w:t>
      </w:r>
      <w:r w:rsidR="00F14EED">
        <w:rPr>
          <w:szCs w:val="32"/>
        </w:rPr>
        <w:br w:type="page"/>
      </w:r>
    </w:p>
    <w:p w14:paraId="18B6AC0F" w14:textId="33E267C6" w:rsidR="0091382B" w:rsidRPr="00651710" w:rsidRDefault="0091382B" w:rsidP="004D42EA">
      <w:pPr>
        <w:pStyle w:val="Heading1"/>
      </w:pPr>
      <w:bookmarkStart w:id="142" w:name="_Ref204268027"/>
      <w:bookmarkStart w:id="143" w:name="_Toc222823334"/>
      <w:r>
        <w:lastRenderedPageBreak/>
        <w:t>Annex C: Exit Credit Policy</w:t>
      </w:r>
      <w:bookmarkEnd w:id="142"/>
      <w:bookmarkEnd w:id="143"/>
    </w:p>
    <w:p w14:paraId="4E7B1BB0" w14:textId="7F6298B9" w:rsidR="003522BB" w:rsidRDefault="003522BB" w:rsidP="003522BB">
      <w:pPr>
        <w:pStyle w:val="BodyText"/>
      </w:pPr>
      <w:r>
        <w:t>This is the Exit Credit</w:t>
      </w:r>
      <w:r w:rsidR="00120024">
        <w:t xml:space="preserve"> policy</w:t>
      </w:r>
      <w:r>
        <w:t xml:space="preserve"> for the </w:t>
      </w:r>
      <w:r w:rsidR="00466107">
        <w:t>London Borough of Barking and Dagenham Pension Fund</w:t>
      </w:r>
      <w:r>
        <w:t xml:space="preserve"> (the Fund), part of the Local Government Pension Scheme (LGPS). It has been prepared by </w:t>
      </w:r>
      <w:r w:rsidR="00466107">
        <w:t>London Borough of Barking and Dagenham</w:t>
      </w:r>
      <w:r>
        <w:t xml:space="preserve"> in our capacity as </w:t>
      </w:r>
      <w:r w:rsidR="000D7F93">
        <w:t>Administering Authority</w:t>
      </w:r>
      <w:r>
        <w:t xml:space="preserve"> of the Fund.</w:t>
      </w:r>
    </w:p>
    <w:p w14:paraId="4AB1EDA6" w14:textId="77777777" w:rsidR="003522BB" w:rsidRDefault="003522BB" w:rsidP="003522BB">
      <w:pPr>
        <w:pStyle w:val="NoSpacing1"/>
      </w:pPr>
      <w:r w:rsidRPr="11B4A112">
        <w:rPr>
          <w:lang w:val="en-US"/>
        </w:rPr>
        <w:t>The LGPS (Amendment) Regulations 2018 allow administering authorities to make an exit credit payment to exiting employers. This will be reviewed on a case by case basis before any payment is made. Considerations will be based on any previous agreements made and discussions between us, the exiting employer and the guaranteeing employer (if relevant).</w:t>
      </w:r>
    </w:p>
    <w:p w14:paraId="26F6C73B" w14:textId="77777777" w:rsidR="003522BB" w:rsidRDefault="003522BB" w:rsidP="003522BB">
      <w:pPr>
        <w:pStyle w:val="NoSpacing1"/>
      </w:pPr>
      <w:r w:rsidRPr="62DD8BBA">
        <w:t xml:space="preserve">Having regard to any relevant considerations, </w:t>
      </w:r>
      <w:r>
        <w:t>we</w:t>
      </w:r>
      <w:r w:rsidRPr="62DD8BBA">
        <w:t xml:space="preserve"> will take the following approach to the payment of exit credits:</w:t>
      </w:r>
    </w:p>
    <w:p w14:paraId="6445F8AD" w14:textId="23BD6224" w:rsidR="003522BB" w:rsidRDefault="003522BB" w:rsidP="003522BB">
      <w:pPr>
        <w:pStyle w:val="List"/>
      </w:pPr>
      <w:r w:rsidRPr="62DD8BBA">
        <w:t>Any employer who cannot demonstrate that they have been exposed to underfunding risk during their participation in the Fund will not be entitled to an exit credit payment. This is on the basis that these employers would not have been asked to pay an exit payment had a deficit existed at the time of exit</w:t>
      </w:r>
      <w:r w:rsidR="0020790B">
        <w:t xml:space="preserve">. </w:t>
      </w:r>
    </w:p>
    <w:p w14:paraId="6B61E14F" w14:textId="1FF77BC2" w:rsidR="003522BB" w:rsidRDefault="003522BB" w:rsidP="003522BB">
      <w:pPr>
        <w:pStyle w:val="List"/>
      </w:pPr>
      <w:r>
        <w:t>We do</w:t>
      </w:r>
      <w:r w:rsidRPr="62DD8BBA">
        <w:t xml:space="preserve"> not need to enquire into the precise risk sharing arrangement adopted by an employer but </w:t>
      </w:r>
      <w:r>
        <w:t>we</w:t>
      </w:r>
      <w:r w:rsidRPr="62DD8BBA">
        <w:t xml:space="preserve"> must be satisfied that the risk sharing arrangement has been in place before </w:t>
      </w:r>
      <w:r>
        <w:t>we</w:t>
      </w:r>
      <w:r w:rsidRPr="62DD8BBA">
        <w:t xml:space="preserve"> will pay out an exit credit. The level of risk that an employer has borne will be taken into account when determining the amount of any exit credit</w:t>
      </w:r>
      <w:r w:rsidR="0020790B">
        <w:t xml:space="preserve">. </w:t>
      </w:r>
      <w:r w:rsidRPr="62DD8BBA">
        <w:t>It is the responsibility of the exiting employer to set out why the arrangements make payment of an exit credit appropriate.</w:t>
      </w:r>
    </w:p>
    <w:p w14:paraId="250D7316" w14:textId="0489F3AA" w:rsidR="003522BB" w:rsidRPr="00533EC4" w:rsidRDefault="003522BB" w:rsidP="009B3718">
      <w:pPr>
        <w:pStyle w:val="List"/>
      </w:pPr>
      <w:r w:rsidRPr="00533EC4">
        <w:t xml:space="preserve">Any exit credit payable </w:t>
      </w:r>
      <w:r w:rsidR="009B3718" w:rsidRPr="00533EC4">
        <w:t>will be</w:t>
      </w:r>
      <w:r w:rsidRPr="00533EC4">
        <w:t xml:space="preserve"> subject to a maximum of the actual employer contributions paid into the Fund as certified in the Fund’s rates and adjustments certificates, up to any cap arrangements that may have been in place and excluding any additional payments such as strain payments.</w:t>
      </w:r>
      <w:r w:rsidR="009B3718" w:rsidRPr="00533EC4">
        <w:t xml:space="preserve"> The contributions relevant to this calculation will not include those made on behalf of members nor will they include any allowance for interest or Fund investment returns over the period of participation.</w:t>
      </w:r>
    </w:p>
    <w:p w14:paraId="2391EC02" w14:textId="77777777" w:rsidR="003522BB" w:rsidRDefault="003522BB" w:rsidP="003522BB">
      <w:pPr>
        <w:pStyle w:val="List"/>
      </w:pPr>
      <w:r>
        <w:t>We</w:t>
      </w:r>
      <w:r w:rsidRPr="62DD8BBA">
        <w:t xml:space="preserve"> will pay out any exit credits within six months of the cessation date where possible. </w:t>
      </w:r>
      <w:r>
        <w:t>We may agree to a longer time with</w:t>
      </w:r>
      <w:r w:rsidRPr="62DD8BBA">
        <w:t xml:space="preserve"> the exiting employer where necessary. For example if the employer does not provide </w:t>
      </w:r>
      <w:r>
        <w:t xml:space="preserve">us with </w:t>
      </w:r>
      <w:r w:rsidRPr="62DD8BBA">
        <w:t>all the relevant information within one month of the cessation date</w:t>
      </w:r>
      <w:r>
        <w:t>, we</w:t>
      </w:r>
      <w:r w:rsidRPr="62DD8BBA">
        <w:t xml:space="preserve"> will not be able to guarantee payment within six months of the cessation date. </w:t>
      </w:r>
    </w:p>
    <w:p w14:paraId="3017C831" w14:textId="77777777" w:rsidR="003522BB" w:rsidRDefault="003522BB" w:rsidP="003522BB">
      <w:pPr>
        <w:pStyle w:val="List"/>
      </w:pPr>
      <w:r w:rsidRPr="62DD8BBA">
        <w:t xml:space="preserve">Under the Regulations, </w:t>
      </w:r>
      <w:r>
        <w:t>we have</w:t>
      </w:r>
      <w:r w:rsidRPr="62DD8BBA">
        <w:t xml:space="preserve"> the discretion to take into account any other relevant factors in the calculation of any exit credit payable and </w:t>
      </w:r>
      <w:r>
        <w:t>we</w:t>
      </w:r>
      <w:r w:rsidRPr="62DD8BBA">
        <w:t xml:space="preserve"> will seek legal advice where appropriate.</w:t>
      </w:r>
    </w:p>
    <w:p w14:paraId="7937E434" w14:textId="77777777" w:rsidR="003522BB" w:rsidRPr="00F2122E" w:rsidRDefault="003522BB" w:rsidP="003522BB">
      <w:pPr>
        <w:pStyle w:val="Heading3"/>
      </w:pPr>
      <w:r w:rsidRPr="00F2122E">
        <w:t>Applications for adjudication and disagreements</w:t>
      </w:r>
    </w:p>
    <w:p w14:paraId="703AA90E" w14:textId="4515D422" w:rsidR="003522BB" w:rsidRDefault="003522BB" w:rsidP="003522BB">
      <w:pPr>
        <w:pStyle w:val="BodyText"/>
      </w:pPr>
      <w:r w:rsidRPr="37E70662">
        <w:t>An exiting employer, or other employers affected by the decision (such as guarantors), will be able to make representations if there is any conflict or difference of opinion regarding the amount of an exit credit paid or the process by which it was determined</w:t>
      </w:r>
      <w:r w:rsidR="0020790B">
        <w:t xml:space="preserve">. </w:t>
      </w:r>
      <w:r w:rsidRPr="37E70662">
        <w:t>In this situation, the review and adjudication provisions set out in Regulations 74-78 of the LGPS Regulations 2013 will apply.</w:t>
      </w:r>
    </w:p>
    <w:p w14:paraId="79BB60A5" w14:textId="663B9B25" w:rsidR="00B5537A" w:rsidRDefault="00C43E0F" w:rsidP="00C038F6">
      <w:pPr>
        <w:spacing w:after="200" w:line="276" w:lineRule="auto"/>
        <w:rPr>
          <w:szCs w:val="20"/>
          <w:lang w:val="en-GB" w:bidi="ar-SA"/>
        </w:rPr>
      </w:pPr>
      <w:bookmarkStart w:id="144" w:name="_Ref204265979"/>
      <w:r>
        <w:br w:type="page"/>
      </w:r>
      <w:bookmarkEnd w:id="144"/>
    </w:p>
    <w:p w14:paraId="66C28908" w14:textId="17BBC66A" w:rsidR="00B5537A" w:rsidRPr="00651710" w:rsidRDefault="00B5537A" w:rsidP="004D42EA">
      <w:pPr>
        <w:pStyle w:val="Heading1"/>
      </w:pPr>
      <w:bookmarkStart w:id="145" w:name="_Ref204202797"/>
      <w:bookmarkStart w:id="146" w:name="_Ref204266482"/>
      <w:bookmarkStart w:id="147" w:name="_Toc222823335"/>
      <w:r>
        <w:lastRenderedPageBreak/>
        <w:t xml:space="preserve">Annex </w:t>
      </w:r>
      <w:r w:rsidR="00C038F6">
        <w:t>D</w:t>
      </w:r>
      <w:r>
        <w:t>: Managing Risks</w:t>
      </w:r>
      <w:bookmarkEnd w:id="145"/>
      <w:bookmarkEnd w:id="146"/>
      <w:bookmarkEnd w:id="147"/>
    </w:p>
    <w:p w14:paraId="38078988" w14:textId="77777777" w:rsidR="00E05BB0" w:rsidRPr="00292E61" w:rsidRDefault="00E05BB0" w:rsidP="004D5C25">
      <w:pPr>
        <w:pStyle w:val="Sub-heading"/>
      </w:pPr>
      <w:r w:rsidRPr="00292E61">
        <w:t>Investment risks</w:t>
      </w:r>
    </w:p>
    <w:p w14:paraId="1433E84F" w14:textId="77777777" w:rsidR="00E05BB0" w:rsidRDefault="00E05BB0" w:rsidP="00E05BB0">
      <w:pPr>
        <w:spacing w:after="200"/>
      </w:pPr>
      <w:r w:rsidRPr="62DD8BBA">
        <w:rPr>
          <w:rFonts w:eastAsia="Segoe UI" w:cs="Segoe UI"/>
          <w:szCs w:val="20"/>
          <w:lang w:val="en-GB"/>
        </w:rPr>
        <w:t xml:space="preserve">The main financial risk is that the investment strategy fails to </w:t>
      </w:r>
      <w:r>
        <w:rPr>
          <w:rFonts w:eastAsia="Segoe UI" w:cs="Segoe UI"/>
          <w:szCs w:val="20"/>
          <w:lang w:val="en-GB"/>
        </w:rPr>
        <w:t>deliver</w:t>
      </w:r>
      <w:r w:rsidRPr="62DD8BBA">
        <w:rPr>
          <w:rFonts w:eastAsia="Segoe UI" w:cs="Segoe UI"/>
          <w:szCs w:val="20"/>
          <w:lang w:val="en-GB"/>
        </w:rPr>
        <w:t xml:space="preserve"> the </w:t>
      </w:r>
      <w:r>
        <w:rPr>
          <w:rFonts w:eastAsia="Segoe UI" w:cs="Segoe UI"/>
          <w:szCs w:val="20"/>
          <w:lang w:val="en-GB"/>
        </w:rPr>
        <w:t>discount rate, or assumed</w:t>
      </w:r>
      <w:r w:rsidRPr="62DD8BBA">
        <w:rPr>
          <w:rFonts w:eastAsia="Segoe UI" w:cs="Segoe UI"/>
          <w:szCs w:val="20"/>
          <w:lang w:val="en-GB"/>
        </w:rPr>
        <w:t xml:space="preserve"> rate of investment return (in real terms) that underlies the funding strategy. This could be due to a number of factors, including market returns being less than expected and/or the fund managers who are employed to implement the chosen investment strategy failing to achieve their performance targets. </w:t>
      </w:r>
    </w:p>
    <w:p w14:paraId="2663DBD8" w14:textId="700A5931" w:rsidR="00E05BB0" w:rsidRPr="00030FDC" w:rsidRDefault="00E05BB0" w:rsidP="00E05BB0">
      <w:pPr>
        <w:spacing w:after="200"/>
      </w:pPr>
      <w:r w:rsidRPr="001B792E">
        <w:rPr>
          <w:rFonts w:eastAsia="Segoe UI" w:cs="Segoe UI"/>
          <w:szCs w:val="20"/>
          <w:lang w:val="en-GB"/>
        </w:rPr>
        <w:t xml:space="preserve">The valuation results are most sensitive to the real discount rate (i.e. the difference between the discount rate assumption and the price inflation assumption). Broadly speaking an </w:t>
      </w:r>
      <w:r w:rsidR="00030FDC" w:rsidRPr="001B792E">
        <w:rPr>
          <w:rFonts w:eastAsia="Segoe UI" w:cs="Segoe UI"/>
          <w:szCs w:val="20"/>
          <w:lang w:val="en-GB"/>
        </w:rPr>
        <w:t>increase/</w:t>
      </w:r>
      <w:r w:rsidRPr="001B792E">
        <w:rPr>
          <w:rFonts w:eastAsia="Segoe UI" w:cs="Segoe UI"/>
          <w:szCs w:val="20"/>
          <w:lang w:val="en-GB"/>
        </w:rPr>
        <w:t>decrease of 0.</w:t>
      </w:r>
      <w:r w:rsidR="00030FDC" w:rsidRPr="001B792E">
        <w:rPr>
          <w:rFonts w:eastAsia="Segoe UI" w:cs="Segoe UI"/>
          <w:szCs w:val="20"/>
          <w:lang w:val="en-GB"/>
        </w:rPr>
        <w:t>1</w:t>
      </w:r>
      <w:r w:rsidRPr="001B792E">
        <w:rPr>
          <w:rFonts w:eastAsia="Segoe UI" w:cs="Segoe UI"/>
          <w:szCs w:val="20"/>
          <w:lang w:val="en-GB"/>
        </w:rPr>
        <w:t xml:space="preserve">% p.a. in the real discount rate will </w:t>
      </w:r>
      <w:r w:rsidR="00030FDC">
        <w:rPr>
          <w:rFonts w:eastAsia="Segoe UI" w:cs="Segoe UI"/>
          <w:szCs w:val="20"/>
          <w:lang w:val="en-GB"/>
        </w:rPr>
        <w:t>decrease/</w:t>
      </w:r>
      <w:r w:rsidRPr="001B792E">
        <w:rPr>
          <w:rFonts w:eastAsia="Segoe UI" w:cs="Segoe UI"/>
          <w:szCs w:val="20"/>
          <w:lang w:val="en-GB"/>
        </w:rPr>
        <w:t xml:space="preserve">increase the valuation of the liabilities by </w:t>
      </w:r>
      <w:r w:rsidR="00030FDC" w:rsidRPr="001B792E">
        <w:rPr>
          <w:rFonts w:eastAsia="Segoe UI" w:cs="Segoe UI"/>
          <w:szCs w:val="20"/>
          <w:lang w:val="en-GB"/>
        </w:rPr>
        <w:t>2</w:t>
      </w:r>
      <w:r w:rsidRPr="001B792E">
        <w:rPr>
          <w:rFonts w:eastAsia="Segoe UI" w:cs="Segoe UI"/>
          <w:szCs w:val="20"/>
          <w:lang w:val="en-GB"/>
        </w:rPr>
        <w:t xml:space="preserve">%, and increase the required employer contribution by around </w:t>
      </w:r>
      <w:r w:rsidR="00030FDC" w:rsidRPr="001B792E">
        <w:rPr>
          <w:rFonts w:eastAsia="Segoe UI" w:cs="Segoe UI"/>
          <w:szCs w:val="20"/>
          <w:lang w:val="en-GB"/>
        </w:rPr>
        <w:t>0.6</w:t>
      </w:r>
      <w:r w:rsidRPr="001B792E">
        <w:rPr>
          <w:rFonts w:eastAsia="Segoe UI" w:cs="Segoe UI"/>
          <w:szCs w:val="20"/>
          <w:lang w:val="en-GB"/>
        </w:rPr>
        <w:t>% of payroll p.a.</w:t>
      </w:r>
    </w:p>
    <w:p w14:paraId="5FF5A956" w14:textId="3983352B" w:rsidR="00E05BB0" w:rsidRDefault="00E05BB0" w:rsidP="00E05BB0">
      <w:pPr>
        <w:spacing w:after="200"/>
      </w:pPr>
      <w:r w:rsidRPr="00030FDC">
        <w:rPr>
          <w:rFonts w:eastAsia="Segoe UI" w:cs="Segoe UI"/>
          <w:szCs w:val="20"/>
          <w:lang w:val="en-GB"/>
        </w:rPr>
        <w:t xml:space="preserve">The </w:t>
      </w:r>
      <w:r w:rsidRPr="001B792E">
        <w:rPr>
          <w:rFonts w:eastAsia="Segoe UI" w:cs="Segoe UI"/>
          <w:szCs w:val="20"/>
          <w:lang w:val="en-GB"/>
        </w:rPr>
        <w:t xml:space="preserve">Pension Committee </w:t>
      </w:r>
      <w:r w:rsidRPr="00030FDC">
        <w:rPr>
          <w:rFonts w:eastAsia="Segoe UI" w:cs="Segoe UI"/>
          <w:szCs w:val="20"/>
          <w:lang w:val="en-GB"/>
        </w:rPr>
        <w:t xml:space="preserve">regularly monitors the investment returns achieved and receives advice from the </w:t>
      </w:r>
      <w:r w:rsidRPr="001B792E">
        <w:rPr>
          <w:rFonts w:eastAsia="Segoe UI" w:cs="Segoe UI"/>
          <w:szCs w:val="20"/>
          <w:lang w:val="en-GB"/>
        </w:rPr>
        <w:t>investment consultants</w:t>
      </w:r>
      <w:r w:rsidRPr="00030FDC">
        <w:rPr>
          <w:rFonts w:eastAsia="Segoe UI" w:cs="Segoe UI"/>
          <w:szCs w:val="20"/>
          <w:lang w:val="en-GB"/>
        </w:rPr>
        <w:t xml:space="preserve"> and officers on investment strategy.</w:t>
      </w:r>
      <w:r w:rsidRPr="62DD8BBA">
        <w:rPr>
          <w:rFonts w:eastAsia="Segoe UI" w:cs="Segoe UI"/>
          <w:szCs w:val="20"/>
          <w:lang w:val="en-GB"/>
        </w:rPr>
        <w:t xml:space="preserve"> </w:t>
      </w:r>
    </w:p>
    <w:p w14:paraId="6E6E2719" w14:textId="77777777" w:rsidR="00E05BB0" w:rsidRPr="00030FDC" w:rsidRDefault="00E05BB0" w:rsidP="00E05BB0">
      <w:pPr>
        <w:spacing w:after="200"/>
      </w:pPr>
      <w:r w:rsidRPr="00030FDC">
        <w:rPr>
          <w:rFonts w:eastAsia="Segoe UI" w:cs="Segoe UI"/>
          <w:szCs w:val="20"/>
          <w:lang w:val="en-GB"/>
        </w:rPr>
        <w:t xml:space="preserve">The Committee may also seek advice from the Fund Actuary on valuation related investment matters. </w:t>
      </w:r>
    </w:p>
    <w:p w14:paraId="12DEE8A4" w14:textId="77777777" w:rsidR="00E05BB0" w:rsidRDefault="00E05BB0" w:rsidP="00E05BB0">
      <w:pPr>
        <w:spacing w:after="200"/>
      </w:pPr>
      <w:r w:rsidRPr="001B792E">
        <w:rPr>
          <w:rFonts w:eastAsia="Segoe UI" w:cs="Segoe UI"/>
          <w:szCs w:val="20"/>
          <w:lang w:val="en-GB"/>
        </w:rPr>
        <w:t>In addition, the Fund Actuary provides funding updates between valuations to check whether the funding strategy continues to meet the funding objectives.</w:t>
      </w:r>
    </w:p>
    <w:p w14:paraId="0C8F871D" w14:textId="77777777" w:rsidR="00E05BB0" w:rsidRDefault="00E05BB0" w:rsidP="004D5C25">
      <w:pPr>
        <w:pStyle w:val="Sub-heading"/>
      </w:pPr>
      <w:r w:rsidRPr="62DD8BBA">
        <w:t>Demographic risks</w:t>
      </w:r>
    </w:p>
    <w:p w14:paraId="793F2B77" w14:textId="77777777" w:rsidR="00E05BB0" w:rsidRPr="00030FDC" w:rsidRDefault="00E05BB0" w:rsidP="00E05BB0">
      <w:pPr>
        <w:spacing w:after="200"/>
        <w:rPr>
          <w:rFonts w:eastAsia="Segoe UI" w:cs="Segoe UI"/>
          <w:szCs w:val="20"/>
          <w:lang w:val="en-GB"/>
        </w:rPr>
      </w:pPr>
      <w:r>
        <w:rPr>
          <w:rFonts w:eastAsia="Segoe UI" w:cs="Segoe UI"/>
          <w:szCs w:val="20"/>
          <w:lang w:val="en-GB"/>
        </w:rPr>
        <w:t>The Fund Actuary makes an a</w:t>
      </w:r>
      <w:r w:rsidRPr="62DD8BBA">
        <w:rPr>
          <w:rFonts w:eastAsia="Segoe UI" w:cs="Segoe UI"/>
          <w:szCs w:val="20"/>
          <w:lang w:val="en-GB"/>
        </w:rPr>
        <w:t xml:space="preserve">llowance for </w:t>
      </w:r>
      <w:r>
        <w:rPr>
          <w:rFonts w:eastAsia="Segoe UI" w:cs="Segoe UI"/>
          <w:szCs w:val="20"/>
          <w:lang w:val="en-GB"/>
        </w:rPr>
        <w:t xml:space="preserve">future </w:t>
      </w:r>
      <w:r w:rsidRPr="62DD8BBA">
        <w:rPr>
          <w:rFonts w:eastAsia="Segoe UI" w:cs="Segoe UI"/>
          <w:szCs w:val="20"/>
          <w:lang w:val="en-GB"/>
        </w:rPr>
        <w:t>improvement</w:t>
      </w:r>
      <w:r>
        <w:rPr>
          <w:rFonts w:eastAsia="Segoe UI" w:cs="Segoe UI"/>
          <w:szCs w:val="20"/>
          <w:lang w:val="en-GB"/>
        </w:rPr>
        <w:t>s</w:t>
      </w:r>
      <w:r w:rsidRPr="62DD8BBA">
        <w:rPr>
          <w:rFonts w:eastAsia="Segoe UI" w:cs="Segoe UI"/>
          <w:szCs w:val="20"/>
          <w:lang w:val="en-GB"/>
        </w:rPr>
        <w:t xml:space="preserve"> in life expectancy</w:t>
      </w:r>
      <w:r>
        <w:rPr>
          <w:rFonts w:eastAsia="Segoe UI" w:cs="Segoe UI"/>
          <w:szCs w:val="20"/>
          <w:lang w:val="en-GB"/>
        </w:rPr>
        <w:t xml:space="preserve"> when calculating the liabilities</w:t>
      </w:r>
      <w:r w:rsidRPr="62DD8BBA">
        <w:rPr>
          <w:rFonts w:eastAsia="Segoe UI" w:cs="Segoe UI"/>
          <w:szCs w:val="20"/>
          <w:lang w:val="en-GB"/>
        </w:rPr>
        <w:t xml:space="preserve">. </w:t>
      </w:r>
      <w:r>
        <w:rPr>
          <w:rFonts w:eastAsia="Segoe UI" w:cs="Segoe UI"/>
          <w:szCs w:val="20"/>
          <w:lang w:val="en-GB"/>
        </w:rPr>
        <w:t>T</w:t>
      </w:r>
      <w:r w:rsidRPr="62DD8BBA">
        <w:rPr>
          <w:rFonts w:eastAsia="Segoe UI" w:cs="Segoe UI"/>
          <w:szCs w:val="20"/>
          <w:lang w:val="en-GB"/>
        </w:rPr>
        <w:t xml:space="preserve">he </w:t>
      </w:r>
      <w:r w:rsidRPr="00030FDC">
        <w:rPr>
          <w:rFonts w:eastAsia="Segoe UI" w:cs="Segoe UI"/>
          <w:szCs w:val="20"/>
          <w:lang w:val="en-GB"/>
        </w:rPr>
        <w:t xml:space="preserve">main demographic risk is that the assumptions underestimate future longevity, noting that the Fund Actuary has advised that </w:t>
      </w:r>
      <w:r w:rsidRPr="001B792E">
        <w:rPr>
          <w:rFonts w:eastAsia="Segoe UI" w:cs="Segoe UI"/>
          <w:szCs w:val="20"/>
          <w:lang w:val="en-GB"/>
        </w:rPr>
        <w:t>an increase of one year to life expectancy of all members in the Fund will increase the liabilities by approximately 4%.</w:t>
      </w:r>
    </w:p>
    <w:p w14:paraId="07735C76" w14:textId="1734BB29" w:rsidR="00E05BB0" w:rsidRPr="00030FDC" w:rsidRDefault="00E05BB0" w:rsidP="00E05BB0">
      <w:pPr>
        <w:spacing w:after="200"/>
      </w:pPr>
      <w:r w:rsidRPr="00030FDC">
        <w:rPr>
          <w:rFonts w:eastAsia="Segoe UI" w:cs="Segoe UI"/>
          <w:szCs w:val="20"/>
          <w:lang w:val="en-GB"/>
        </w:rPr>
        <w:t xml:space="preserve">Information on pensioner deaths in the Fund is reviewed by the Fund Actuary at each actuarial valuation and the assumptions for how long members will live in retirement in future are adjusted as needed. </w:t>
      </w:r>
      <w:r w:rsidR="00121FAD" w:rsidRPr="001B792E">
        <w:rPr>
          <w:rFonts w:eastAsia="Segoe UI" w:cs="Segoe UI"/>
          <w:szCs w:val="20"/>
          <w:lang w:val="en-GB"/>
        </w:rPr>
        <w:t xml:space="preserve">As part of the 2025 valuation we </w:t>
      </w:r>
      <w:r w:rsidRPr="001B792E">
        <w:rPr>
          <w:rFonts w:eastAsia="Segoe UI" w:cs="Segoe UI"/>
          <w:szCs w:val="20"/>
          <w:lang w:val="en-GB"/>
        </w:rPr>
        <w:t xml:space="preserve">have commissioned a bespoke longevity analysis by Barnett Waddingham’s specialist longevity team </w:t>
      </w:r>
      <w:r w:rsidR="00030FDC" w:rsidRPr="00030FDC">
        <w:rPr>
          <w:rFonts w:eastAsia="Segoe UI" w:cs="Segoe UI"/>
          <w:szCs w:val="20"/>
          <w:lang w:val="en-GB"/>
        </w:rPr>
        <w:t>to</w:t>
      </w:r>
      <w:r w:rsidRPr="001B792E">
        <w:rPr>
          <w:rFonts w:eastAsia="Segoe UI" w:cs="Segoe UI"/>
          <w:szCs w:val="20"/>
          <w:lang w:val="en-GB"/>
        </w:rPr>
        <w:t xml:space="preserve"> assess the mortality experience of the Fund and help set an appropriate mortality assumption for funding purposes.</w:t>
      </w:r>
    </w:p>
    <w:p w14:paraId="6FAEC174" w14:textId="77777777" w:rsidR="00E05BB0" w:rsidRDefault="00E05BB0" w:rsidP="00E05BB0">
      <w:pPr>
        <w:spacing w:after="200"/>
        <w:rPr>
          <w:rFonts w:eastAsia="Segoe UI" w:cs="Segoe UI"/>
          <w:szCs w:val="20"/>
          <w:lang w:val="en-GB"/>
        </w:rPr>
      </w:pPr>
      <w:r w:rsidRPr="00030FDC">
        <w:rPr>
          <w:rFonts w:eastAsia="Segoe UI" w:cs="Segoe UI"/>
          <w:szCs w:val="20"/>
          <w:lang w:val="en-GB"/>
        </w:rPr>
        <w:t xml:space="preserve">The liabilities of the Fund can also increase by more than planned as a result of the additional financial costs of early retirements, including ill-health retirements. </w:t>
      </w:r>
      <w:r w:rsidRPr="001B792E">
        <w:rPr>
          <w:rFonts w:eastAsia="Segoe UI" w:cs="Segoe UI"/>
          <w:szCs w:val="20"/>
          <w:lang w:val="en-GB"/>
        </w:rPr>
        <w:t>We monitor the incidence of early retirements; and procedures are in place that require individual employers to pay additional amounts into the Fund to meet any additional costs arising from early retirements.</w:t>
      </w:r>
    </w:p>
    <w:p w14:paraId="1113E030" w14:textId="77777777" w:rsidR="00E05BB0" w:rsidRDefault="00E05BB0" w:rsidP="004D5C25">
      <w:pPr>
        <w:pStyle w:val="Sub-heading"/>
      </w:pPr>
      <w:r w:rsidRPr="62DD8BBA">
        <w:t>Climate risk</w:t>
      </w:r>
    </w:p>
    <w:p w14:paraId="428C4CDB" w14:textId="23F872C8" w:rsidR="00E05BB0" w:rsidRDefault="00E05BB0" w:rsidP="00E05BB0">
      <w:pPr>
        <w:spacing w:after="200"/>
      </w:pPr>
      <w:r w:rsidRPr="62DD8BBA">
        <w:rPr>
          <w:rFonts w:eastAsia="Segoe UI" w:cs="Segoe UI"/>
          <w:szCs w:val="20"/>
          <w:lang w:val="en-GB"/>
        </w:rPr>
        <w:t>There are a large number of interlinked systemic long-term financial risks related to climate change which could potentially have a material impact on the assets and/or the liabilities of the Fund. The most obvious of these climate change risks will be the financial risks to the value of the Fund’s assets, the potential increased volatility of markets and potential changes in life expectancy. It is possible that some of these factors will impact the assets and liabilities of the Fund in the same direction, although not necessarily by the same amount</w:t>
      </w:r>
      <w:r w:rsidR="0020790B">
        <w:rPr>
          <w:rFonts w:eastAsia="Segoe UI" w:cs="Segoe UI"/>
          <w:szCs w:val="20"/>
          <w:lang w:val="en-GB"/>
        </w:rPr>
        <w:t xml:space="preserve">. </w:t>
      </w:r>
    </w:p>
    <w:p w14:paraId="1B6D48F9" w14:textId="0A56C2EE" w:rsidR="00E05BB0" w:rsidRDefault="00E05BB0" w:rsidP="00E05BB0">
      <w:pPr>
        <w:spacing w:after="200"/>
      </w:pPr>
      <w:r>
        <w:rPr>
          <w:rFonts w:eastAsia="Segoe UI" w:cs="Segoe UI"/>
          <w:szCs w:val="20"/>
          <w:lang w:val="en-GB"/>
        </w:rPr>
        <w:t>Our policy in this area</w:t>
      </w:r>
      <w:r w:rsidRPr="62DD8BBA">
        <w:rPr>
          <w:rFonts w:eastAsia="Segoe UI" w:cs="Segoe UI"/>
          <w:szCs w:val="20"/>
          <w:lang w:val="en-GB"/>
        </w:rPr>
        <w:t xml:space="preserve"> is included in </w:t>
      </w:r>
      <w:r>
        <w:rPr>
          <w:rFonts w:eastAsia="Segoe UI" w:cs="Segoe UI"/>
          <w:szCs w:val="20"/>
          <w:lang w:val="en-GB"/>
        </w:rPr>
        <w:t>our</w:t>
      </w:r>
      <w:r w:rsidRPr="62DD8BBA">
        <w:rPr>
          <w:rFonts w:eastAsia="Segoe UI" w:cs="Segoe UI"/>
          <w:szCs w:val="20"/>
          <w:lang w:val="en-GB"/>
        </w:rPr>
        <w:t xml:space="preserve"> Investment Strategy Statement</w:t>
      </w:r>
      <w:r w:rsidR="007F33C2">
        <w:rPr>
          <w:rFonts w:eastAsia="Segoe UI" w:cs="Segoe UI"/>
          <w:szCs w:val="20"/>
          <w:lang w:val="en-GB"/>
        </w:rPr>
        <w:t>.</w:t>
      </w:r>
      <w:r w:rsidR="007F33C2">
        <w:t xml:space="preserve"> </w:t>
      </w:r>
    </w:p>
    <w:p w14:paraId="4A954303" w14:textId="77777777" w:rsidR="00E05BB0" w:rsidRDefault="00E05BB0" w:rsidP="00E05BB0">
      <w:pPr>
        <w:spacing w:after="200"/>
        <w:rPr>
          <w:rFonts w:eastAsia="Segoe UI" w:cs="Segoe UI"/>
          <w:szCs w:val="20"/>
          <w:lang w:val="en-GB"/>
        </w:rPr>
      </w:pPr>
      <w:r>
        <w:rPr>
          <w:rFonts w:eastAsia="Segoe UI" w:cs="Segoe UI"/>
          <w:szCs w:val="20"/>
          <w:lang w:val="en-GB"/>
        </w:rPr>
        <w:lastRenderedPageBreak/>
        <w:t xml:space="preserve">When considering funding issues related to climate change, we have regard to the key principles document for preparing climate scenario analysis, agreed by the actuarial firms who act as fund actuary for the LGPS funds and approved by GAD, MHCLG and SAB. The relevant information will then be provided to GAD by our Fund Actuary for the purpose of their reporting under Section 13 of the Public Service Pensions Act. </w:t>
      </w:r>
    </w:p>
    <w:p w14:paraId="5B3899AA" w14:textId="3228BB5E" w:rsidR="00E05BB0" w:rsidRPr="001B792E" w:rsidRDefault="00E05BB0" w:rsidP="00E05BB0">
      <w:pPr>
        <w:spacing w:after="200"/>
        <w:rPr>
          <w:rFonts w:eastAsia="Segoe UI" w:cs="Segoe UI"/>
          <w:szCs w:val="20"/>
          <w:lang w:val="en-GB"/>
        </w:rPr>
      </w:pPr>
      <w:r w:rsidRPr="001B792E">
        <w:rPr>
          <w:rFonts w:eastAsia="Segoe UI" w:cs="Segoe UI"/>
          <w:szCs w:val="20"/>
          <w:lang w:val="en-GB"/>
        </w:rPr>
        <w:t>As part of the 2025 valuation</w:t>
      </w:r>
      <w:r w:rsidR="00030FDC">
        <w:rPr>
          <w:rFonts w:eastAsia="Segoe UI" w:cs="Segoe UI"/>
          <w:szCs w:val="20"/>
          <w:lang w:val="en-GB"/>
        </w:rPr>
        <w:t>,</w:t>
      </w:r>
      <w:r w:rsidRPr="001B792E">
        <w:rPr>
          <w:rFonts w:eastAsia="Segoe UI" w:cs="Segoe UI"/>
          <w:szCs w:val="20"/>
          <w:lang w:val="en-GB"/>
        </w:rPr>
        <w:t xml:space="preserve"> we have commissioned scenario analysis to assess the resilience of the funding strategy against climate change risk over the agreed period. The quantitative analysis will involve at least two alternate scenarios to test if the funding strategy is sufficiently robust and any potential contribution impacts. We will also undertake a qualitative analysis to identify any potential actions the Fund is taking to improve resilience to climate change. The Fund Actuary will produce a report on the climate analysis and will also summarise the analysis/commentary in the final valuation report.</w:t>
      </w:r>
    </w:p>
    <w:p w14:paraId="256BE4DA" w14:textId="7C76D004" w:rsidR="00E05BB0" w:rsidRPr="00686547" w:rsidRDefault="00E05BB0" w:rsidP="00E05BB0">
      <w:pPr>
        <w:spacing w:after="200"/>
        <w:rPr>
          <w:rFonts w:eastAsia="Segoe UI" w:cs="Segoe UI"/>
          <w:szCs w:val="20"/>
          <w:highlight w:val="yellow"/>
        </w:rPr>
      </w:pPr>
      <w:r w:rsidRPr="001B792E">
        <w:rPr>
          <w:rFonts w:eastAsia="Segoe UI" w:cs="Segoe UI"/>
          <w:szCs w:val="20"/>
          <w:lang w:val="en-GB"/>
        </w:rPr>
        <w:t xml:space="preserve">The climate risk analysis is integrated into our funding strategy by having regard to the climate analysis when setting the prudence level to include in the discount rate assumptions. </w:t>
      </w:r>
    </w:p>
    <w:p w14:paraId="37374DB9" w14:textId="77777777" w:rsidR="00E05BB0" w:rsidRDefault="00E05BB0" w:rsidP="00E05BB0">
      <w:pPr>
        <w:spacing w:after="200"/>
        <w:rPr>
          <w:rFonts w:eastAsia="Segoe UI" w:cs="Segoe UI"/>
          <w:szCs w:val="20"/>
          <w:lang w:val="en-GB"/>
        </w:rPr>
      </w:pPr>
      <w:r>
        <w:rPr>
          <w:rFonts w:eastAsia="Segoe UI" w:cs="Segoe UI"/>
          <w:szCs w:val="20"/>
          <w:lang w:val="en-GB"/>
        </w:rPr>
        <w:t>We</w:t>
      </w:r>
      <w:r w:rsidRPr="62DD8BBA">
        <w:rPr>
          <w:rFonts w:eastAsia="Segoe UI" w:cs="Segoe UI"/>
          <w:szCs w:val="20"/>
          <w:lang w:val="en-GB"/>
        </w:rPr>
        <w:t xml:space="preserve"> will assess </w:t>
      </w:r>
      <w:r>
        <w:rPr>
          <w:rFonts w:eastAsia="Segoe UI" w:cs="Segoe UI"/>
          <w:szCs w:val="20"/>
          <w:lang w:val="en-GB"/>
        </w:rPr>
        <w:t>the implications of climate</w:t>
      </w:r>
      <w:r w:rsidRPr="62DD8BBA">
        <w:rPr>
          <w:rFonts w:eastAsia="Segoe UI" w:cs="Segoe UI"/>
          <w:szCs w:val="20"/>
          <w:lang w:val="en-GB"/>
        </w:rPr>
        <w:t xml:space="preserve"> risk on </w:t>
      </w:r>
      <w:r>
        <w:rPr>
          <w:rFonts w:eastAsia="Segoe UI" w:cs="Segoe UI"/>
          <w:szCs w:val="20"/>
          <w:lang w:val="en-GB"/>
        </w:rPr>
        <w:t>funding strategy at least as part of each actuarial valuation</w:t>
      </w:r>
      <w:r w:rsidRPr="62DD8BBA">
        <w:rPr>
          <w:rFonts w:eastAsia="Segoe UI" w:cs="Segoe UI"/>
          <w:szCs w:val="20"/>
          <w:lang w:val="en-GB"/>
        </w:rPr>
        <w:t>.</w:t>
      </w:r>
    </w:p>
    <w:p w14:paraId="5FAD7378" w14:textId="77777777" w:rsidR="00E05BB0" w:rsidRDefault="00E05BB0" w:rsidP="004D5C25">
      <w:pPr>
        <w:pStyle w:val="Sub-heading"/>
      </w:pPr>
      <w:r w:rsidRPr="62DD8BBA">
        <w:t>Maturity risk</w:t>
      </w:r>
    </w:p>
    <w:p w14:paraId="1C33A474" w14:textId="77777777" w:rsidR="00E05BB0" w:rsidRDefault="00E05BB0" w:rsidP="00E05BB0">
      <w:pPr>
        <w:spacing w:after="200"/>
      </w:pPr>
      <w:r w:rsidRPr="62DD8BBA">
        <w:rPr>
          <w:rFonts w:eastAsia="Segoe UI" w:cs="Segoe UI"/>
          <w:szCs w:val="20"/>
          <w:lang w:val="en-GB"/>
        </w:rPr>
        <w:t xml:space="preserve">The maturity of a </w:t>
      </w:r>
      <w:r>
        <w:rPr>
          <w:rFonts w:eastAsia="Segoe UI" w:cs="Segoe UI"/>
          <w:szCs w:val="20"/>
          <w:lang w:val="en-GB"/>
        </w:rPr>
        <w:t>f</w:t>
      </w:r>
      <w:r w:rsidRPr="62DD8BBA">
        <w:rPr>
          <w:rFonts w:eastAsia="Segoe UI" w:cs="Segoe UI"/>
          <w:szCs w:val="20"/>
          <w:lang w:val="en-GB"/>
        </w:rPr>
        <w:t xml:space="preserve">und (or of an employer) is an assessment of </w:t>
      </w:r>
      <w:r>
        <w:rPr>
          <w:rFonts w:eastAsia="Segoe UI" w:cs="Segoe UI"/>
          <w:szCs w:val="20"/>
          <w:lang w:val="en-GB"/>
        </w:rPr>
        <w:t xml:space="preserve">the balance between active (contributing) members and pensioner members as well as </w:t>
      </w:r>
      <w:r w:rsidRPr="62DD8BBA">
        <w:rPr>
          <w:rFonts w:eastAsia="Segoe UI" w:cs="Segoe UI"/>
          <w:szCs w:val="20"/>
          <w:lang w:val="en-GB"/>
        </w:rPr>
        <w:t xml:space="preserve">how close on average the </w:t>
      </w:r>
      <w:r>
        <w:rPr>
          <w:rFonts w:eastAsia="Segoe UI" w:cs="Segoe UI"/>
          <w:szCs w:val="20"/>
          <w:lang w:val="en-GB"/>
        </w:rPr>
        <w:t xml:space="preserve">non-pensioner </w:t>
      </w:r>
      <w:r w:rsidRPr="62DD8BBA">
        <w:rPr>
          <w:rFonts w:eastAsia="Segoe UI" w:cs="Segoe UI"/>
          <w:szCs w:val="20"/>
          <w:lang w:val="en-GB"/>
        </w:rPr>
        <w:t xml:space="preserve">members are to retirement. The more mature the </w:t>
      </w:r>
      <w:r>
        <w:rPr>
          <w:rFonts w:eastAsia="Segoe UI" w:cs="Segoe UI"/>
          <w:szCs w:val="20"/>
          <w:lang w:val="en-GB"/>
        </w:rPr>
        <w:t>f</w:t>
      </w:r>
      <w:r w:rsidRPr="62DD8BBA">
        <w:rPr>
          <w:rFonts w:eastAsia="Segoe UI" w:cs="Segoe UI"/>
          <w:szCs w:val="20"/>
          <w:lang w:val="en-GB"/>
        </w:rPr>
        <w:t xml:space="preserve">und or employer, the greater proportion of its membership that is near or in retirement. For a mature </w:t>
      </w:r>
      <w:r>
        <w:rPr>
          <w:rFonts w:eastAsia="Segoe UI" w:cs="Segoe UI"/>
          <w:szCs w:val="20"/>
          <w:lang w:val="en-GB"/>
        </w:rPr>
        <w:t>f</w:t>
      </w:r>
      <w:r w:rsidRPr="62DD8BBA">
        <w:rPr>
          <w:rFonts w:eastAsia="Segoe UI" w:cs="Segoe UI"/>
          <w:szCs w:val="20"/>
          <w:lang w:val="en-GB"/>
        </w:rPr>
        <w:t>und or employer, the time available to generate investment returns is shorter and therefore the level of maturity needs to be considered as part of setting funding and investment strategies.</w:t>
      </w:r>
    </w:p>
    <w:p w14:paraId="0438B22A" w14:textId="7517332B" w:rsidR="00E05BB0" w:rsidRDefault="00E05BB0" w:rsidP="00E05BB0">
      <w:pPr>
        <w:spacing w:after="200"/>
        <w:rPr>
          <w:rFonts w:eastAsia="Segoe UI" w:cs="Segoe UI"/>
          <w:szCs w:val="20"/>
          <w:lang w:val="en-GB"/>
        </w:rPr>
      </w:pPr>
      <w:r>
        <w:rPr>
          <w:rFonts w:eastAsia="Segoe UI" w:cs="Segoe UI"/>
          <w:szCs w:val="20"/>
          <w:lang w:val="en-GB"/>
        </w:rPr>
        <w:t>We consider t</w:t>
      </w:r>
      <w:r w:rsidRPr="62DD8BBA">
        <w:rPr>
          <w:rFonts w:eastAsia="Segoe UI" w:cs="Segoe UI"/>
          <w:szCs w:val="20"/>
          <w:lang w:val="en-GB"/>
        </w:rPr>
        <w:t xml:space="preserve">he cashflow profile of the Fund alongside the level of maturity: as </w:t>
      </w:r>
      <w:r>
        <w:rPr>
          <w:rFonts w:eastAsia="Segoe UI" w:cs="Segoe UI"/>
          <w:szCs w:val="20"/>
          <w:lang w:val="en-GB"/>
        </w:rPr>
        <w:t>the</w:t>
      </w:r>
      <w:r w:rsidRPr="62DD8BBA">
        <w:rPr>
          <w:rFonts w:eastAsia="Segoe UI" w:cs="Segoe UI"/>
          <w:szCs w:val="20"/>
          <w:lang w:val="en-GB"/>
        </w:rPr>
        <w:t xml:space="preserve"> Fund matures, the</w:t>
      </w:r>
      <w:r>
        <w:rPr>
          <w:rFonts w:eastAsia="Segoe UI" w:cs="Segoe UI"/>
          <w:szCs w:val="20"/>
          <w:lang w:val="en-GB"/>
        </w:rPr>
        <w:t xml:space="preserve"> amount of pensions in payment increases compared to contributions being paid in for active </w:t>
      </w:r>
      <w:r w:rsidRPr="62DD8BBA">
        <w:rPr>
          <w:rFonts w:eastAsia="Segoe UI" w:cs="Segoe UI"/>
          <w:szCs w:val="20"/>
          <w:lang w:val="en-GB"/>
        </w:rPr>
        <w:t xml:space="preserve">members. This increases the risk of the Fund having to sell assets </w:t>
      </w:r>
      <w:r w:rsidR="00030FDC" w:rsidRPr="62DD8BBA">
        <w:rPr>
          <w:rFonts w:eastAsia="Segoe UI" w:cs="Segoe UI"/>
          <w:szCs w:val="20"/>
          <w:lang w:val="en-GB"/>
        </w:rPr>
        <w:t>to</w:t>
      </w:r>
      <w:r w:rsidRPr="62DD8BBA">
        <w:rPr>
          <w:rFonts w:eastAsia="Segoe UI" w:cs="Segoe UI"/>
          <w:szCs w:val="20"/>
          <w:lang w:val="en-GB"/>
        </w:rPr>
        <w:t xml:space="preserve"> meets its benefit payments. </w:t>
      </w:r>
    </w:p>
    <w:p w14:paraId="0E179555" w14:textId="77777777" w:rsidR="00E05BB0" w:rsidRDefault="00E05BB0" w:rsidP="00E05BB0">
      <w:pPr>
        <w:spacing w:after="200"/>
        <w:rPr>
          <w:rFonts w:eastAsia="Segoe UI" w:cs="Segoe UI"/>
          <w:szCs w:val="20"/>
          <w:lang w:val="en-GB"/>
        </w:rPr>
      </w:pPr>
      <w:r>
        <w:rPr>
          <w:rFonts w:eastAsia="Segoe UI" w:cs="Segoe UI"/>
          <w:szCs w:val="20"/>
          <w:lang w:val="en-GB"/>
        </w:rPr>
        <w:t>The Fund Actuary provides us with cashflow projections at each triennial valuation to help to inform our investment strategy and to better understand our cashflow position.</w:t>
      </w:r>
    </w:p>
    <w:p w14:paraId="39C88777" w14:textId="77777777" w:rsidR="00E05BB0" w:rsidRDefault="00E05BB0" w:rsidP="00E05BB0">
      <w:pPr>
        <w:spacing w:after="200"/>
        <w:rPr>
          <w:rFonts w:eastAsia="Segoe UI" w:cs="Segoe UI"/>
          <w:szCs w:val="20"/>
          <w:lang w:val="en-GB"/>
        </w:rPr>
      </w:pPr>
      <w:r>
        <w:rPr>
          <w:rFonts w:eastAsia="Segoe UI" w:cs="Segoe UI"/>
          <w:szCs w:val="20"/>
          <w:lang w:val="en-GB"/>
        </w:rPr>
        <w:t xml:space="preserve">As part of the employer covenant review process, we may ask individual employers about decisions that could affect the maturity profile (e.g. plans to close to new employees or redundancy exercises). This information may be used to inform the process in setting the contribution rates. </w:t>
      </w:r>
    </w:p>
    <w:p w14:paraId="5D01B2CD" w14:textId="77777777" w:rsidR="00E05BB0" w:rsidRDefault="00E05BB0" w:rsidP="004D5C25">
      <w:pPr>
        <w:pStyle w:val="Sub-heading"/>
      </w:pPr>
      <w:r w:rsidRPr="62DD8BBA">
        <w:t>Regulatory</w:t>
      </w:r>
      <w:r>
        <w:t xml:space="preserve"> and compliance</w:t>
      </w:r>
      <w:r w:rsidRPr="62DD8BBA">
        <w:t xml:space="preserve"> risks</w:t>
      </w:r>
    </w:p>
    <w:p w14:paraId="253542C2" w14:textId="77777777" w:rsidR="00E05BB0" w:rsidRDefault="00E05BB0" w:rsidP="00E05BB0">
      <w:pPr>
        <w:spacing w:after="200"/>
      </w:pPr>
      <w:r w:rsidRPr="62DD8BBA">
        <w:rPr>
          <w:rFonts w:eastAsia="Segoe UI" w:cs="Segoe UI"/>
          <w:szCs w:val="20"/>
          <w:lang w:val="en-GB"/>
        </w:rPr>
        <w:t xml:space="preserve">The benefits provided by the </w:t>
      </w:r>
      <w:r>
        <w:rPr>
          <w:rFonts w:eastAsia="Segoe UI" w:cs="Segoe UI"/>
          <w:szCs w:val="20"/>
          <w:lang w:val="en-GB"/>
        </w:rPr>
        <w:t>LGPS</w:t>
      </w:r>
      <w:r w:rsidRPr="62DD8BBA">
        <w:rPr>
          <w:rFonts w:eastAsia="Segoe UI" w:cs="Segoe UI"/>
          <w:szCs w:val="20"/>
          <w:lang w:val="en-GB"/>
        </w:rPr>
        <w:t xml:space="preserve"> and employee contribution levels are set out in Regulations determined by central government. The tax status of the invested assets is also determined by the government. </w:t>
      </w:r>
    </w:p>
    <w:p w14:paraId="074ECF9E" w14:textId="77777777" w:rsidR="00E05BB0" w:rsidRDefault="00E05BB0" w:rsidP="00E05BB0">
      <w:pPr>
        <w:spacing w:after="200"/>
      </w:pPr>
      <w:r w:rsidRPr="62DD8BBA">
        <w:rPr>
          <w:rFonts w:eastAsia="Segoe UI" w:cs="Segoe UI"/>
          <w:szCs w:val="20"/>
          <w:lang w:val="en-GB"/>
        </w:rPr>
        <w:t xml:space="preserve">The funding strategy is therefore exposed to the risks of changes in the Regulations governing the </w:t>
      </w:r>
      <w:r>
        <w:rPr>
          <w:rFonts w:eastAsia="Segoe UI" w:cs="Segoe UI"/>
          <w:szCs w:val="20"/>
          <w:lang w:val="en-GB"/>
        </w:rPr>
        <w:t>LGPS</w:t>
      </w:r>
      <w:r w:rsidRPr="62DD8BBA">
        <w:rPr>
          <w:rFonts w:eastAsia="Segoe UI" w:cs="Segoe UI"/>
          <w:szCs w:val="20"/>
          <w:lang w:val="en-GB"/>
        </w:rPr>
        <w:t xml:space="preserve"> and changes to the tax regime which may affect the cost to individual employers participating in the </w:t>
      </w:r>
      <w:r>
        <w:rPr>
          <w:rFonts w:eastAsia="Segoe UI" w:cs="Segoe UI"/>
          <w:szCs w:val="20"/>
          <w:lang w:val="en-GB"/>
        </w:rPr>
        <w:t>LGPS as well as members, whose behaviour may change if tax relief on pension contributions is reduced/removed</w:t>
      </w:r>
      <w:r w:rsidRPr="62DD8BBA">
        <w:rPr>
          <w:rFonts w:eastAsia="Segoe UI" w:cs="Segoe UI"/>
          <w:szCs w:val="20"/>
          <w:lang w:val="en-GB"/>
        </w:rPr>
        <w:t>.</w:t>
      </w:r>
    </w:p>
    <w:p w14:paraId="757F8A48" w14:textId="77777777" w:rsidR="00E05BB0" w:rsidRDefault="00E05BB0" w:rsidP="00E05BB0">
      <w:pPr>
        <w:spacing w:after="200"/>
      </w:pPr>
      <w:r>
        <w:rPr>
          <w:rFonts w:eastAsia="Segoe UI" w:cs="Segoe UI"/>
          <w:szCs w:val="20"/>
          <w:lang w:val="en-GB"/>
        </w:rPr>
        <w:t>To mitigate this risk</w:t>
      </w:r>
      <w:r w:rsidRPr="62DD8BBA">
        <w:rPr>
          <w:rFonts w:eastAsia="Segoe UI" w:cs="Segoe UI"/>
          <w:szCs w:val="20"/>
          <w:lang w:val="en-GB"/>
        </w:rPr>
        <w:t xml:space="preserve">, </w:t>
      </w:r>
      <w:r>
        <w:rPr>
          <w:rFonts w:eastAsia="Segoe UI" w:cs="Segoe UI"/>
          <w:szCs w:val="20"/>
          <w:lang w:val="en-GB"/>
        </w:rPr>
        <w:t>we</w:t>
      </w:r>
      <w:r w:rsidRPr="62DD8BBA">
        <w:rPr>
          <w:rFonts w:eastAsia="Segoe UI" w:cs="Segoe UI"/>
          <w:szCs w:val="20"/>
          <w:lang w:val="en-GB"/>
        </w:rPr>
        <w:t xml:space="preserve"> participate in any consultation process of any proposed changes in Regulations and seek advice from the Fund Actuary on the financial implications of any proposed changes.</w:t>
      </w:r>
    </w:p>
    <w:p w14:paraId="38E8DA9A" w14:textId="77777777" w:rsidR="00E05BB0" w:rsidRDefault="00E05BB0" w:rsidP="00E05BB0">
      <w:pPr>
        <w:spacing w:after="200"/>
      </w:pPr>
      <w:r w:rsidRPr="62DD8BBA">
        <w:rPr>
          <w:rFonts w:eastAsia="Segoe UI" w:cs="Segoe UI"/>
          <w:szCs w:val="20"/>
          <w:lang w:val="en-GB"/>
        </w:rPr>
        <w:t>There are a number of general risks to the Fund and the LGPS, including:</w:t>
      </w:r>
    </w:p>
    <w:p w14:paraId="581715E5" w14:textId="77777777" w:rsidR="00E05BB0" w:rsidRDefault="00E05BB0" w:rsidP="00E05BB0">
      <w:pPr>
        <w:pStyle w:val="List"/>
      </w:pPr>
      <w:r>
        <w:lastRenderedPageBreak/>
        <w:t>A</w:t>
      </w:r>
      <w:r w:rsidRPr="62DD8BBA">
        <w:t xml:space="preserve">s a statutory scheme the benefits provided by the LGPS or the structure of the scheme could be changed by the government. </w:t>
      </w:r>
    </w:p>
    <w:p w14:paraId="08AFC4C4" w14:textId="77777777" w:rsidR="00E05BB0" w:rsidRDefault="00E05BB0" w:rsidP="00E05BB0">
      <w:pPr>
        <w:pStyle w:val="List"/>
      </w:pPr>
      <w:r>
        <w:t>Changes to t</w:t>
      </w:r>
      <w:r w:rsidRPr="62DD8BBA">
        <w:t xml:space="preserve">he State Pension Age </w:t>
      </w:r>
      <w:r>
        <w:t>changing the benefits</w:t>
      </w:r>
      <w:r w:rsidRPr="62DD8BBA">
        <w:t>.</w:t>
      </w:r>
    </w:p>
    <w:p w14:paraId="5A1C4D1F" w14:textId="77777777" w:rsidR="00E05BB0" w:rsidRDefault="00E05BB0" w:rsidP="00E05BB0">
      <w:pPr>
        <w:spacing w:after="200"/>
      </w:pPr>
      <w:r w:rsidRPr="62DD8BBA">
        <w:rPr>
          <w:rFonts w:eastAsia="Segoe UI" w:cs="Segoe UI"/>
          <w:szCs w:val="20"/>
          <w:lang w:val="en-GB"/>
        </w:rPr>
        <w:t xml:space="preserve">At the time of preparing this FSS, specific regulatory risks of particular </w:t>
      </w:r>
      <w:r>
        <w:rPr>
          <w:rFonts w:eastAsia="Segoe UI" w:cs="Segoe UI"/>
          <w:szCs w:val="20"/>
          <w:lang w:val="en-GB"/>
        </w:rPr>
        <w:t xml:space="preserve">relevance </w:t>
      </w:r>
      <w:r w:rsidRPr="62DD8BBA">
        <w:rPr>
          <w:rFonts w:eastAsia="Segoe UI" w:cs="Segoe UI"/>
          <w:szCs w:val="20"/>
          <w:lang w:val="en-GB"/>
        </w:rPr>
        <w:t xml:space="preserve">to </w:t>
      </w:r>
      <w:r>
        <w:rPr>
          <w:rFonts w:eastAsia="Segoe UI" w:cs="Segoe UI"/>
          <w:szCs w:val="20"/>
          <w:lang w:val="en-GB"/>
        </w:rPr>
        <w:t xml:space="preserve">our funding strategy </w:t>
      </w:r>
      <w:r w:rsidRPr="62DD8BBA">
        <w:rPr>
          <w:rFonts w:eastAsia="Segoe UI" w:cs="Segoe UI"/>
          <w:szCs w:val="20"/>
          <w:lang w:val="en-GB"/>
        </w:rPr>
        <w:t xml:space="preserve">are in relation to the McCloud/Sargeant judgments and </w:t>
      </w:r>
      <w:r>
        <w:rPr>
          <w:rFonts w:eastAsia="Segoe UI" w:cs="Segoe UI"/>
          <w:szCs w:val="20"/>
          <w:lang w:val="en-GB"/>
        </w:rPr>
        <w:t xml:space="preserve">recent consultations </w:t>
      </w:r>
      <w:r w:rsidRPr="62DD8BBA">
        <w:rPr>
          <w:rFonts w:eastAsia="Segoe UI" w:cs="Segoe UI"/>
          <w:szCs w:val="20"/>
          <w:lang w:val="en-GB"/>
        </w:rPr>
        <w:t>a</w:t>
      </w:r>
      <w:r>
        <w:rPr>
          <w:rFonts w:eastAsia="Segoe UI" w:cs="Segoe UI"/>
          <w:szCs w:val="20"/>
          <w:lang w:val="en-GB"/>
        </w:rPr>
        <w:t>s</w:t>
      </w:r>
      <w:r w:rsidRPr="62DD8BBA">
        <w:rPr>
          <w:rFonts w:eastAsia="Segoe UI" w:cs="Segoe UI"/>
          <w:szCs w:val="20"/>
          <w:lang w:val="en-GB"/>
        </w:rPr>
        <w:t xml:space="preserve"> discussed in the sections below. </w:t>
      </w:r>
    </w:p>
    <w:p w14:paraId="0AC787C4" w14:textId="77777777" w:rsidR="00E05BB0" w:rsidRPr="00083076" w:rsidRDefault="00E05BB0" w:rsidP="00E05BB0">
      <w:pPr>
        <w:pStyle w:val="Heading3"/>
        <w:rPr>
          <w:color w:val="7BC7FF" w:themeColor="text2" w:themeTint="66"/>
          <w:sz w:val="22"/>
          <w:szCs w:val="22"/>
        </w:rPr>
      </w:pPr>
      <w:r w:rsidRPr="00083076">
        <w:rPr>
          <w:rFonts w:eastAsia="Segoe UI Semibold" w:cs="Segoe UI Semibold"/>
          <w:color w:val="7BC7FF" w:themeColor="text2" w:themeTint="66"/>
          <w:sz w:val="22"/>
          <w:szCs w:val="22"/>
        </w:rPr>
        <w:t xml:space="preserve">McCloud/Sargeant judgments </w:t>
      </w:r>
    </w:p>
    <w:p w14:paraId="23B01417" w14:textId="0BF632BF" w:rsidR="00E05BB0" w:rsidRDefault="00E05BB0" w:rsidP="00E05BB0">
      <w:pPr>
        <w:spacing w:after="200"/>
        <w:rPr>
          <w:rFonts w:eastAsia="Segoe UI" w:cs="Segoe UI"/>
          <w:szCs w:val="20"/>
          <w:lang w:val="en-GB"/>
        </w:rPr>
      </w:pPr>
      <w:r>
        <w:rPr>
          <w:rFonts w:eastAsia="Segoe UI" w:cs="Segoe UI"/>
          <w:szCs w:val="20"/>
          <w:lang w:val="en-GB"/>
        </w:rPr>
        <w:t>Following the McCloud and Sargeant cases the transitional protections implemented when the new career average schemes were introduced to public service pension schemes, were found to constitute unlawful age discrimination. In the case of the LGPS, a new underpin was introduced for qualifying members, covering benefits relating</w:t>
      </w:r>
      <w:r w:rsidR="00425C9E">
        <w:rPr>
          <w:rFonts w:eastAsia="Segoe UI" w:cs="Segoe UI"/>
          <w:szCs w:val="20"/>
          <w:lang w:val="en-GB"/>
        </w:rPr>
        <w:t xml:space="preserve"> to</w:t>
      </w:r>
      <w:r>
        <w:rPr>
          <w:rFonts w:eastAsia="Segoe UI" w:cs="Segoe UI"/>
          <w:szCs w:val="20"/>
          <w:lang w:val="en-GB"/>
        </w:rPr>
        <w:t xml:space="preserve"> the period from 1 April 2014 to 31 March 2022</w:t>
      </w:r>
      <w:r w:rsidR="0020790B">
        <w:rPr>
          <w:rFonts w:eastAsia="Segoe UI" w:cs="Segoe UI"/>
          <w:szCs w:val="20"/>
          <w:lang w:val="en-GB"/>
        </w:rPr>
        <w:t xml:space="preserve">. </w:t>
      </w:r>
      <w:r>
        <w:rPr>
          <w:rFonts w:eastAsia="Segoe UI" w:cs="Segoe UI"/>
          <w:szCs w:val="20"/>
          <w:lang w:val="en-GB"/>
        </w:rPr>
        <w:t>The McCloud remedy became law on 1 October 2023.</w:t>
      </w:r>
    </w:p>
    <w:p w14:paraId="34FF7E70" w14:textId="40DB962F" w:rsidR="00E05BB0" w:rsidRPr="001B792E" w:rsidRDefault="00E05BB0" w:rsidP="00E05BB0">
      <w:pPr>
        <w:spacing w:after="200"/>
        <w:rPr>
          <w:rFonts w:eastAsia="Segoe UI" w:cs="Segoe UI"/>
          <w:szCs w:val="20"/>
          <w:lang w:val="en-GB"/>
        </w:rPr>
      </w:pPr>
      <w:r w:rsidRPr="001B792E">
        <w:rPr>
          <w:rFonts w:eastAsia="Segoe UI" w:cs="Segoe UI"/>
          <w:szCs w:val="20"/>
          <w:lang w:val="en-GB"/>
        </w:rPr>
        <w:t xml:space="preserve">As part of the 2025 valuation, the Fund will determine an allowance for the McCloud underpin for eligible members as determined by the LGPS McCloud remedy regulations. An estimate for the McCloud ruling was included in the 2022 valuation for active members, but not for deferred or pensioner members. There is a risk that McCloud data provided for the 2025 valuation will not be good quality or be incomplete. However, the Fund </w:t>
      </w:r>
      <w:r w:rsidR="006329FC" w:rsidRPr="001B792E">
        <w:rPr>
          <w:rFonts w:eastAsia="Segoe UI" w:cs="Segoe UI"/>
          <w:szCs w:val="20"/>
          <w:lang w:val="en-GB"/>
        </w:rPr>
        <w:t>A</w:t>
      </w:r>
      <w:r w:rsidRPr="001B792E">
        <w:rPr>
          <w:rFonts w:eastAsia="Segoe UI" w:cs="Segoe UI"/>
          <w:szCs w:val="20"/>
          <w:lang w:val="en-GB"/>
        </w:rPr>
        <w:t>ctuary is able to make informed estimates if sufficient data is not provided.</w:t>
      </w:r>
    </w:p>
    <w:p w14:paraId="2B61DC86" w14:textId="77777777" w:rsidR="00E05BB0" w:rsidRPr="00083076" w:rsidRDefault="00E05BB0" w:rsidP="00E05BB0">
      <w:pPr>
        <w:pStyle w:val="Heading3"/>
        <w:rPr>
          <w:color w:val="7BC7FF" w:themeColor="text2" w:themeTint="66"/>
          <w:sz w:val="22"/>
          <w:szCs w:val="22"/>
        </w:rPr>
      </w:pPr>
      <w:r w:rsidRPr="00083076">
        <w:rPr>
          <w:rFonts w:eastAsia="Segoe UI Semibold" w:cs="Segoe UI Semibold"/>
          <w:color w:val="7BC7FF" w:themeColor="text2" w:themeTint="66"/>
          <w:sz w:val="22"/>
          <w:szCs w:val="22"/>
        </w:rPr>
        <w:t>New Fair Deal</w:t>
      </w:r>
    </w:p>
    <w:p w14:paraId="6455C310" w14:textId="660F9877" w:rsidR="00E05BB0" w:rsidRDefault="0002410F" w:rsidP="00E05BB0">
      <w:pPr>
        <w:spacing w:after="200"/>
        <w:rPr>
          <w:rFonts w:eastAsia="Segoe UI" w:cs="Segoe UI"/>
          <w:szCs w:val="20"/>
          <w:lang w:val="en-GB"/>
        </w:rPr>
      </w:pPr>
      <w:r>
        <w:rPr>
          <w:rFonts w:eastAsia="Segoe UI" w:cs="Segoe UI"/>
          <w:szCs w:val="20"/>
          <w:lang w:val="en-GB"/>
        </w:rPr>
        <w:t xml:space="preserve">On 13 October 2025 the Government issued its Access and Protections </w:t>
      </w:r>
      <w:r w:rsidR="00E05BB0">
        <w:rPr>
          <w:rFonts w:eastAsia="Segoe UI" w:cs="Segoe UI"/>
          <w:szCs w:val="20"/>
          <w:lang w:val="en-GB"/>
        </w:rPr>
        <w:t xml:space="preserve">consultation </w:t>
      </w:r>
      <w:r>
        <w:rPr>
          <w:rFonts w:eastAsia="Segoe UI" w:cs="Segoe UI"/>
          <w:szCs w:val="20"/>
          <w:lang w:val="en-GB"/>
        </w:rPr>
        <w:t xml:space="preserve">which includes proposals to implement </w:t>
      </w:r>
      <w:r w:rsidR="00E05BB0">
        <w:rPr>
          <w:rFonts w:eastAsia="Segoe UI" w:cs="Segoe UI"/>
          <w:szCs w:val="20"/>
          <w:lang w:val="en-GB"/>
        </w:rPr>
        <w:t>New Fair Deal</w:t>
      </w:r>
      <w:r>
        <w:rPr>
          <w:rFonts w:eastAsia="Segoe UI" w:cs="Segoe UI"/>
          <w:szCs w:val="20"/>
          <w:lang w:val="en-GB"/>
        </w:rPr>
        <w:t xml:space="preserve"> in the LGPS. As</w:t>
      </w:r>
      <w:r w:rsidR="00E05BB0">
        <w:rPr>
          <w:rFonts w:eastAsia="Segoe UI" w:cs="Segoe UI"/>
          <w:szCs w:val="20"/>
          <w:lang w:val="en-GB"/>
        </w:rPr>
        <w:t xml:space="preserve"> expected</w:t>
      </w:r>
      <w:r>
        <w:rPr>
          <w:rFonts w:eastAsia="Segoe UI" w:cs="Segoe UI"/>
          <w:szCs w:val="20"/>
          <w:lang w:val="en-GB"/>
        </w:rPr>
        <w:t xml:space="preserve">, the proposals will </w:t>
      </w:r>
      <w:r w:rsidR="00E05BB0">
        <w:rPr>
          <w:rFonts w:eastAsia="Segoe UI" w:cs="Segoe UI"/>
          <w:szCs w:val="20"/>
          <w:lang w:val="en-GB"/>
        </w:rPr>
        <w:t>change how pensions are protected for outsourced workers</w:t>
      </w:r>
      <w:r>
        <w:rPr>
          <w:rFonts w:eastAsia="Segoe UI" w:cs="Segoe UI"/>
          <w:szCs w:val="20"/>
          <w:lang w:val="en-GB"/>
        </w:rPr>
        <w:t xml:space="preserve">. It is proposed that admission agreements will not be needed in future, through introduction of </w:t>
      </w:r>
      <w:r w:rsidR="00E05BB0">
        <w:rPr>
          <w:rFonts w:eastAsia="Segoe UI" w:cs="Segoe UI"/>
          <w:szCs w:val="20"/>
          <w:lang w:val="en-GB"/>
        </w:rPr>
        <w:t xml:space="preserve">the concept of the letting authority being the “deemed employer” for LGPS members employed by contractors and </w:t>
      </w:r>
      <w:r>
        <w:rPr>
          <w:rFonts w:eastAsia="Segoe UI" w:cs="Segoe UI"/>
          <w:szCs w:val="20"/>
          <w:lang w:val="en-GB"/>
        </w:rPr>
        <w:t xml:space="preserve">that </w:t>
      </w:r>
      <w:r w:rsidR="00E05BB0">
        <w:rPr>
          <w:rFonts w:eastAsia="Segoe UI" w:cs="Segoe UI"/>
          <w:szCs w:val="20"/>
          <w:lang w:val="en-GB"/>
        </w:rPr>
        <w:t xml:space="preserve">the option for service providers to offer a broadly comparable scheme </w:t>
      </w:r>
      <w:r>
        <w:rPr>
          <w:rFonts w:eastAsia="Segoe UI" w:cs="Segoe UI"/>
          <w:szCs w:val="20"/>
          <w:lang w:val="en-GB"/>
        </w:rPr>
        <w:t>instead of continued LGPS membership for transferred employees will be removed other than in “exceptional circumstances”</w:t>
      </w:r>
      <w:r w:rsidR="00E05BB0">
        <w:rPr>
          <w:rFonts w:eastAsia="Segoe UI" w:cs="Segoe UI"/>
          <w:szCs w:val="20"/>
          <w:lang w:val="en-GB"/>
        </w:rPr>
        <w:t xml:space="preserve">. </w:t>
      </w:r>
      <w:r>
        <w:rPr>
          <w:rFonts w:eastAsia="Segoe UI" w:cs="Segoe UI"/>
          <w:szCs w:val="20"/>
          <w:lang w:val="en-GB"/>
        </w:rPr>
        <w:t>The consultation closes on 22 December 2025 and it is not expected that t</w:t>
      </w:r>
      <w:r w:rsidR="00E05BB0">
        <w:rPr>
          <w:rFonts w:eastAsia="Segoe UI" w:cs="Segoe UI"/>
          <w:szCs w:val="20"/>
          <w:lang w:val="en-GB"/>
        </w:rPr>
        <w:t>h</w:t>
      </w:r>
      <w:r>
        <w:rPr>
          <w:rFonts w:eastAsia="Segoe UI" w:cs="Segoe UI"/>
          <w:szCs w:val="20"/>
          <w:lang w:val="en-GB"/>
        </w:rPr>
        <w:t>e</w:t>
      </w:r>
      <w:r w:rsidR="00E05BB0">
        <w:rPr>
          <w:rFonts w:eastAsia="Segoe UI" w:cs="Segoe UI"/>
          <w:szCs w:val="20"/>
          <w:lang w:val="en-GB"/>
        </w:rPr>
        <w:t xml:space="preserve"> </w:t>
      </w:r>
      <w:r>
        <w:rPr>
          <w:rFonts w:eastAsia="Segoe UI" w:cs="Segoe UI"/>
          <w:szCs w:val="20"/>
          <w:lang w:val="en-GB"/>
        </w:rPr>
        <w:t xml:space="preserve">new arrangements will be in place before </w:t>
      </w:r>
      <w:r w:rsidR="00E05BB0">
        <w:rPr>
          <w:rFonts w:eastAsia="Segoe UI" w:cs="Segoe UI"/>
          <w:szCs w:val="20"/>
          <w:lang w:val="en-GB"/>
        </w:rPr>
        <w:t>the 2025 valuation</w:t>
      </w:r>
      <w:r>
        <w:rPr>
          <w:rFonts w:eastAsia="Segoe UI" w:cs="Segoe UI"/>
          <w:szCs w:val="20"/>
          <w:lang w:val="en-GB"/>
        </w:rPr>
        <w:t xml:space="preserve"> is signed off (which must be by 31 March 2026)</w:t>
      </w:r>
      <w:r w:rsidR="00E05BB0">
        <w:rPr>
          <w:rFonts w:eastAsia="Segoe UI" w:cs="Segoe UI"/>
          <w:szCs w:val="20"/>
          <w:lang w:val="en-GB"/>
        </w:rPr>
        <w:t>, although we will need to revisit this FSS to ensure our approach to any new arrangements is appropriate.</w:t>
      </w:r>
    </w:p>
    <w:p w14:paraId="49293A78" w14:textId="77777777" w:rsidR="00E05BB0" w:rsidRPr="00083076" w:rsidRDefault="00E05BB0" w:rsidP="00E05BB0">
      <w:pPr>
        <w:pStyle w:val="Heading3"/>
        <w:rPr>
          <w:color w:val="7BC7FF" w:themeColor="text2" w:themeTint="66"/>
          <w:sz w:val="22"/>
          <w:szCs w:val="22"/>
        </w:rPr>
      </w:pPr>
      <w:r w:rsidRPr="00083076">
        <w:rPr>
          <w:rFonts w:eastAsia="Segoe UI Semibold" w:cs="Segoe UI Semibold"/>
          <w:color w:val="7BC7FF" w:themeColor="text2" w:themeTint="66"/>
          <w:sz w:val="22"/>
          <w:szCs w:val="22"/>
        </w:rPr>
        <w:t>Consultation: Fit for the Future</w:t>
      </w:r>
    </w:p>
    <w:p w14:paraId="4DB4D886" w14:textId="4BBB2951" w:rsidR="00E05BB0" w:rsidRDefault="00E05BB0" w:rsidP="00E05BB0">
      <w:pPr>
        <w:spacing w:after="200"/>
        <w:rPr>
          <w:rFonts w:eastAsia="Segoe UI" w:cs="Segoe UI"/>
          <w:szCs w:val="20"/>
          <w:lang w:val="en-GB"/>
        </w:rPr>
      </w:pPr>
      <w:r>
        <w:rPr>
          <w:rFonts w:eastAsia="Segoe UI" w:cs="Segoe UI"/>
          <w:szCs w:val="20"/>
          <w:lang w:val="en-GB"/>
        </w:rPr>
        <w:t>On 29 May 2025, the Government issued its response to the Fit for Future consultation. One requirement will be to move all listed assets to “under the management of the pool” by 31 March 2026. There is a risk that moving assets will result in a different (lower) net investment return to that assumed by the valuation</w:t>
      </w:r>
      <w:r w:rsidR="00843E55">
        <w:rPr>
          <w:rFonts w:eastAsia="Segoe UI" w:cs="Segoe UI"/>
          <w:szCs w:val="20"/>
          <w:lang w:val="en-GB"/>
        </w:rPr>
        <w:t xml:space="preserve">. </w:t>
      </w:r>
      <w:r>
        <w:rPr>
          <w:rFonts w:eastAsia="Segoe UI" w:cs="Segoe UI"/>
          <w:szCs w:val="20"/>
          <w:lang w:val="en-GB"/>
        </w:rPr>
        <w:t>This risk is mitigated by our prudent approach to setting the discount rate, and use of various mechanisms to deliver greater stability in employer contributions if the funding position in 2028 is lower than expected due to higher investment costs/lower investment returns.</w:t>
      </w:r>
      <w:r w:rsidR="00223914" w:rsidRPr="00223914">
        <w:rPr>
          <w:rFonts w:eastAsia="Segoe UI" w:cs="Segoe UI"/>
          <w:szCs w:val="20"/>
          <w:lang w:val="en-GB"/>
        </w:rPr>
        <w:t xml:space="preserve"> </w:t>
      </w:r>
    </w:p>
    <w:p w14:paraId="2DE358BC" w14:textId="77777777" w:rsidR="00E05BB0" w:rsidRPr="00083076" w:rsidRDefault="00E05BB0" w:rsidP="00E05BB0">
      <w:pPr>
        <w:pStyle w:val="Heading3"/>
        <w:rPr>
          <w:color w:val="7BC7FF" w:themeColor="text2" w:themeTint="66"/>
          <w:sz w:val="22"/>
          <w:szCs w:val="22"/>
        </w:rPr>
      </w:pPr>
      <w:r w:rsidRPr="00083076">
        <w:rPr>
          <w:rFonts w:eastAsia="Segoe UI Semibold" w:cs="Segoe UI Semibold"/>
          <w:color w:val="7BC7FF" w:themeColor="text2" w:themeTint="66"/>
          <w:sz w:val="22"/>
          <w:szCs w:val="22"/>
        </w:rPr>
        <w:t xml:space="preserve">Consultation: Access and Fairness </w:t>
      </w:r>
    </w:p>
    <w:p w14:paraId="05CFE5CA" w14:textId="3C8C9334" w:rsidR="00E05BB0" w:rsidRDefault="00E05BB0" w:rsidP="00E05BB0">
      <w:pPr>
        <w:spacing w:after="200"/>
        <w:rPr>
          <w:rFonts w:eastAsia="Segoe UI" w:cs="Segoe UI"/>
          <w:szCs w:val="20"/>
          <w:lang w:val="en-GB"/>
        </w:rPr>
      </w:pPr>
      <w:r>
        <w:rPr>
          <w:rFonts w:eastAsia="Segoe UI" w:cs="Segoe UI"/>
          <w:szCs w:val="20"/>
          <w:lang w:val="en-GB"/>
        </w:rPr>
        <w:t>On 15 May 2025, the Government published a wide-ranging consultation. Key proposals include backdated equalisation of eligibility for survivor pensions and making some unpaid leave automatically pensionable at employers’ costs. Technical amendments are also proposed including changes to the McCloud remedy. There is a risk that outcomes from this consultation increase the cost benefits due under the LGPS which could worsen the Fund’s funding position. It is likely that back</w:t>
      </w:r>
      <w:r w:rsidR="00C038F6">
        <w:rPr>
          <w:rFonts w:eastAsia="Segoe UI" w:cs="Segoe UI"/>
          <w:szCs w:val="20"/>
          <w:lang w:val="en-GB"/>
        </w:rPr>
        <w:t xml:space="preserve"> </w:t>
      </w:r>
      <w:r>
        <w:rPr>
          <w:rFonts w:eastAsia="Segoe UI" w:cs="Segoe UI"/>
          <w:szCs w:val="20"/>
          <w:lang w:val="en-GB"/>
        </w:rPr>
        <w:t>payments will need to be made to individual members and therefore individual employers may be affected differently. Implementing the changes will also increase administration costs and put further pressure on resource</w:t>
      </w:r>
      <w:r w:rsidR="0020790B">
        <w:rPr>
          <w:rFonts w:eastAsia="Segoe UI" w:cs="Segoe UI"/>
          <w:szCs w:val="20"/>
          <w:lang w:val="en-GB"/>
        </w:rPr>
        <w:t xml:space="preserve">. </w:t>
      </w:r>
    </w:p>
    <w:p w14:paraId="13AF206C" w14:textId="77777777" w:rsidR="00E05BB0" w:rsidRDefault="00E05BB0" w:rsidP="004D5C25">
      <w:pPr>
        <w:pStyle w:val="Sub-heading"/>
      </w:pPr>
      <w:r>
        <w:lastRenderedPageBreak/>
        <w:t xml:space="preserve">Employer </w:t>
      </w:r>
      <w:r w:rsidRPr="62DD8BBA">
        <w:t>risks</w:t>
      </w:r>
    </w:p>
    <w:p w14:paraId="407B7EE4" w14:textId="77777777" w:rsidR="00E05BB0" w:rsidRDefault="00E05BB0" w:rsidP="00E05BB0">
      <w:pPr>
        <w:spacing w:after="200"/>
      </w:pPr>
      <w:r w:rsidRPr="62DD8BBA">
        <w:rPr>
          <w:rFonts w:eastAsia="Segoe UI" w:cs="Segoe UI"/>
          <w:szCs w:val="20"/>
          <w:lang w:val="en-GB"/>
        </w:rPr>
        <w:t xml:space="preserve">Many different employers participate in the Fund. Accordingly, </w:t>
      </w:r>
      <w:r>
        <w:rPr>
          <w:rFonts w:eastAsia="Segoe UI" w:cs="Segoe UI"/>
          <w:szCs w:val="20"/>
          <w:lang w:val="en-GB"/>
        </w:rPr>
        <w:t>we</w:t>
      </w:r>
      <w:r w:rsidRPr="62DD8BBA">
        <w:rPr>
          <w:rFonts w:eastAsia="Segoe UI" w:cs="Segoe UI"/>
          <w:szCs w:val="20"/>
          <w:lang w:val="en-GB"/>
        </w:rPr>
        <w:t xml:space="preserve"> recognise that a number of employer-specific events could impact on the funding strategy including:</w:t>
      </w:r>
    </w:p>
    <w:p w14:paraId="5CBFB862" w14:textId="77777777" w:rsidR="00E05BB0" w:rsidRDefault="00E05BB0" w:rsidP="00403CAA">
      <w:pPr>
        <w:pStyle w:val="List"/>
      </w:pPr>
      <w:r w:rsidRPr="62DD8BBA">
        <w:t>Structural changes in an individual employer’s membership;</w:t>
      </w:r>
    </w:p>
    <w:p w14:paraId="42117359" w14:textId="77777777" w:rsidR="00E05BB0" w:rsidRDefault="00E05BB0" w:rsidP="00403CAA">
      <w:pPr>
        <w:pStyle w:val="List"/>
      </w:pPr>
      <w:r w:rsidRPr="62DD8BBA">
        <w:t>An individual employer deciding to close the Scheme to new employees; and</w:t>
      </w:r>
    </w:p>
    <w:p w14:paraId="3282FED1" w14:textId="77777777" w:rsidR="00E05BB0" w:rsidRDefault="00E05BB0" w:rsidP="00403CAA">
      <w:pPr>
        <w:pStyle w:val="List"/>
      </w:pPr>
      <w:r w:rsidRPr="62DD8BBA">
        <w:t>An employer ceasing to exist without having fully funded their pension liabilities.</w:t>
      </w:r>
    </w:p>
    <w:p w14:paraId="65064B44" w14:textId="613C4A87" w:rsidR="00E05BB0" w:rsidRDefault="00E05BB0" w:rsidP="00E05BB0">
      <w:pPr>
        <w:spacing w:after="200"/>
      </w:pPr>
      <w:r>
        <w:rPr>
          <w:rFonts w:eastAsia="Segoe UI" w:cs="Segoe UI"/>
          <w:szCs w:val="20"/>
          <w:lang w:val="en-GB"/>
        </w:rPr>
        <w:t>The introduction of a Department for Education guarantee for further education bodies has helped reduce the overall level of employer risk. To further mitigate this risk,</w:t>
      </w:r>
      <w:r w:rsidRPr="62DD8BBA">
        <w:rPr>
          <w:rFonts w:eastAsia="Segoe UI" w:cs="Segoe UI"/>
          <w:szCs w:val="20"/>
          <w:lang w:val="en-GB"/>
        </w:rPr>
        <w:t xml:space="preserve"> </w:t>
      </w:r>
      <w:r>
        <w:rPr>
          <w:rFonts w:eastAsia="Segoe UI" w:cs="Segoe UI"/>
          <w:szCs w:val="20"/>
          <w:lang w:val="en-GB"/>
        </w:rPr>
        <w:t xml:space="preserve">we </w:t>
      </w:r>
      <w:r w:rsidRPr="62DD8BBA">
        <w:rPr>
          <w:rFonts w:eastAsia="Segoe UI" w:cs="Segoe UI"/>
          <w:szCs w:val="20"/>
          <w:lang w:val="en-GB"/>
        </w:rPr>
        <w:t xml:space="preserve">monitor the position of employers participating in the Fund, particularly those which may be susceptible to the events outlined, and take advice from the Fund Actuary when required. </w:t>
      </w:r>
    </w:p>
    <w:p w14:paraId="3D826424" w14:textId="2AB0E76B" w:rsidR="00E05BB0" w:rsidRDefault="00E05BB0" w:rsidP="00E05BB0">
      <w:pPr>
        <w:spacing w:after="200"/>
      </w:pPr>
      <w:r w:rsidRPr="62DD8BBA">
        <w:rPr>
          <w:rFonts w:eastAsia="Segoe UI" w:cs="Segoe UI"/>
          <w:szCs w:val="20"/>
          <w:lang w:val="en-GB"/>
        </w:rPr>
        <w:t xml:space="preserve">In addition, </w:t>
      </w:r>
      <w:r>
        <w:rPr>
          <w:rFonts w:eastAsia="Segoe UI" w:cs="Segoe UI"/>
          <w:szCs w:val="20"/>
          <w:lang w:val="en-GB"/>
        </w:rPr>
        <w:t>we</w:t>
      </w:r>
      <w:r w:rsidRPr="62DD8BBA">
        <w:rPr>
          <w:rFonts w:eastAsia="Segoe UI" w:cs="Segoe UI"/>
          <w:szCs w:val="20"/>
          <w:lang w:val="en-GB"/>
        </w:rPr>
        <w:t xml:space="preserve"> keep in close touch with all individual employers participating in the Fund to ensure that, as </w:t>
      </w:r>
      <w:r w:rsidR="000D7F93">
        <w:rPr>
          <w:rFonts w:eastAsia="Segoe UI" w:cs="Segoe UI"/>
          <w:szCs w:val="20"/>
          <w:lang w:val="en-GB"/>
        </w:rPr>
        <w:t>Administering Authority</w:t>
      </w:r>
      <w:r w:rsidRPr="62DD8BBA">
        <w:rPr>
          <w:rFonts w:eastAsia="Segoe UI" w:cs="Segoe UI"/>
          <w:szCs w:val="20"/>
          <w:lang w:val="en-GB"/>
        </w:rPr>
        <w:t xml:space="preserve">, </w:t>
      </w:r>
      <w:r>
        <w:rPr>
          <w:rFonts w:eastAsia="Segoe UI" w:cs="Segoe UI"/>
          <w:szCs w:val="20"/>
          <w:lang w:val="en-GB"/>
        </w:rPr>
        <w:t>we</w:t>
      </w:r>
      <w:r w:rsidRPr="62DD8BBA">
        <w:rPr>
          <w:rFonts w:eastAsia="Segoe UI" w:cs="Segoe UI"/>
          <w:szCs w:val="20"/>
          <w:lang w:val="en-GB"/>
        </w:rPr>
        <w:t xml:space="preserve"> ha</w:t>
      </w:r>
      <w:r>
        <w:rPr>
          <w:rFonts w:eastAsia="Segoe UI" w:cs="Segoe UI"/>
          <w:szCs w:val="20"/>
          <w:lang w:val="en-GB"/>
        </w:rPr>
        <w:t>ve</w:t>
      </w:r>
      <w:r w:rsidRPr="62DD8BBA">
        <w:rPr>
          <w:rFonts w:eastAsia="Segoe UI" w:cs="Segoe UI"/>
          <w:szCs w:val="20"/>
          <w:lang w:val="en-GB"/>
        </w:rPr>
        <w:t xml:space="preserve"> the most up to date information available on individual employer situations. </w:t>
      </w:r>
      <w:r>
        <w:rPr>
          <w:rFonts w:eastAsia="Segoe UI" w:cs="Segoe UI"/>
          <w:szCs w:val="20"/>
          <w:lang w:val="en-GB"/>
        </w:rPr>
        <w:t>We</w:t>
      </w:r>
      <w:r w:rsidRPr="62DD8BBA">
        <w:rPr>
          <w:rFonts w:eastAsia="Segoe UI" w:cs="Segoe UI"/>
          <w:szCs w:val="20"/>
          <w:lang w:val="en-GB"/>
        </w:rPr>
        <w:t xml:space="preserve"> also keep individual employers briefed on funding and related issues.</w:t>
      </w:r>
    </w:p>
    <w:p w14:paraId="4E489D42" w14:textId="77777777" w:rsidR="00E05BB0" w:rsidRDefault="00E05BB0" w:rsidP="004D5C25">
      <w:pPr>
        <w:pStyle w:val="Sub-heading"/>
      </w:pPr>
      <w:r>
        <w:t xml:space="preserve">Economic </w:t>
      </w:r>
      <w:r w:rsidRPr="62DD8BBA">
        <w:t>risks</w:t>
      </w:r>
    </w:p>
    <w:p w14:paraId="52C5C132" w14:textId="3867CBE3" w:rsidR="00E05BB0" w:rsidRDefault="00E05BB0" w:rsidP="00E05BB0">
      <w:pPr>
        <w:pStyle w:val="BodyText"/>
        <w:rPr>
          <w:rFonts w:eastAsia="Segoe UI" w:cs="Segoe UI"/>
        </w:rPr>
      </w:pPr>
      <w:r w:rsidRPr="004F7D69">
        <w:rPr>
          <w:rStyle w:val="BodyTextChar"/>
        </w:rPr>
        <w:t xml:space="preserve">Economic risks due to global events such as </w:t>
      </w:r>
      <w:r>
        <w:rPr>
          <w:rStyle w:val="BodyTextChar"/>
        </w:rPr>
        <w:t xml:space="preserve">the conflict in Ukraine and the Middle East </w:t>
      </w:r>
      <w:r w:rsidRPr="004F7D69">
        <w:rPr>
          <w:rStyle w:val="BodyTextChar"/>
        </w:rPr>
        <w:t>and pandemics could lead to instability in the economy and lead to high inflation which could cause unaffordable contribution increases for employers. High unemployment could lead to reduced contributions to the Fund and a change in the maturity</w:t>
      </w:r>
      <w:r>
        <w:rPr>
          <w:rFonts w:eastAsia="Segoe UI" w:cs="Segoe UI"/>
        </w:rPr>
        <w:t xml:space="preserve"> of the membership profile meaning that contribution rates were no longer appropriate. </w:t>
      </w:r>
      <w:r w:rsidR="0057299C">
        <w:rPr>
          <w:rFonts w:eastAsia="Segoe UI" w:cs="Segoe UI"/>
        </w:rPr>
        <w:t xml:space="preserve">A valuation is carried out every </w:t>
      </w:r>
      <w:r w:rsidR="0096716D">
        <w:rPr>
          <w:rFonts w:eastAsia="Segoe UI" w:cs="Segoe UI"/>
        </w:rPr>
        <w:t>three</w:t>
      </w:r>
      <w:r w:rsidR="0057299C">
        <w:rPr>
          <w:rFonts w:eastAsia="Segoe UI" w:cs="Segoe UI"/>
        </w:rPr>
        <w:t xml:space="preserve"> years using updated membership data</w:t>
      </w:r>
      <w:r w:rsidR="00681C11">
        <w:rPr>
          <w:rFonts w:eastAsia="Segoe UI" w:cs="Segoe UI"/>
        </w:rPr>
        <w:t>, and updated assumptions based on market conditions at the time of the valuation</w:t>
      </w:r>
      <w:r w:rsidR="00BF3482">
        <w:rPr>
          <w:rFonts w:eastAsia="Segoe UI" w:cs="Segoe UI"/>
        </w:rPr>
        <w:t>.</w:t>
      </w:r>
      <w:r w:rsidR="00B4092A">
        <w:rPr>
          <w:rFonts w:eastAsia="Segoe UI" w:cs="Segoe UI"/>
        </w:rPr>
        <w:t xml:space="preserve"> Using updated membership data for valuation ensures the maturity of employers is priced into the employer contributions and </w:t>
      </w:r>
      <w:r w:rsidR="00975BA1">
        <w:rPr>
          <w:rFonts w:eastAsia="Segoe UI" w:cs="Segoe UI"/>
        </w:rPr>
        <w:t xml:space="preserve">updated market conditions takes account of the </w:t>
      </w:r>
      <w:r w:rsidR="00BE2F16">
        <w:rPr>
          <w:rFonts w:eastAsia="Segoe UI" w:cs="Segoe UI"/>
        </w:rPr>
        <w:t>collective views of investors in the financial markets of the expectation of future inflation due to global events.</w:t>
      </w:r>
    </w:p>
    <w:p w14:paraId="07917B4D" w14:textId="77777777" w:rsidR="00E05BB0" w:rsidRDefault="00E05BB0" w:rsidP="004D5C25">
      <w:pPr>
        <w:pStyle w:val="Sub-heading"/>
      </w:pPr>
      <w:r>
        <w:t>Employer data quality risks</w:t>
      </w:r>
    </w:p>
    <w:p w14:paraId="7333EE2B" w14:textId="7DBE0549" w:rsidR="00E05BB0" w:rsidRPr="00C5752A" w:rsidRDefault="00E05BB0" w:rsidP="00E05BB0">
      <w:pPr>
        <w:spacing w:after="200"/>
      </w:pPr>
      <w:r w:rsidRPr="001B792E">
        <w:rPr>
          <w:rFonts w:eastAsia="Segoe UI" w:cs="Segoe UI"/>
          <w:szCs w:val="20"/>
          <w:lang w:val="en-GB"/>
        </w:rPr>
        <w:t xml:space="preserve">There is a risk that the member data provided to us is inaccurate and leads to employer contribution rates which are greater or lower than required to cover the liabilities being accrued and a longer </w:t>
      </w:r>
      <w:r w:rsidR="00EA192C" w:rsidRPr="001B792E">
        <w:rPr>
          <w:rFonts w:eastAsia="Segoe UI" w:cs="Segoe UI"/>
          <w:szCs w:val="20"/>
          <w:lang w:val="en-GB"/>
        </w:rPr>
        <w:t xml:space="preserve">or shorter </w:t>
      </w:r>
      <w:r w:rsidRPr="001B792E">
        <w:rPr>
          <w:rFonts w:eastAsia="Segoe UI" w:cs="Segoe UI"/>
          <w:szCs w:val="20"/>
          <w:lang w:val="en-GB"/>
        </w:rPr>
        <w:t>period than intended to reach a target funding level. To mitigate this risk, our Fund Actuary carries out a detailed analysis of the data provided for the valuation and we agree an appropriate course of action where gaps or (potential) errors are identified, which includes measures to reduce the risk of underestimating the liabilities.</w:t>
      </w:r>
    </w:p>
    <w:p w14:paraId="2A44E67A" w14:textId="77777777" w:rsidR="00E05BB0" w:rsidRDefault="00E05BB0" w:rsidP="004D5C25">
      <w:pPr>
        <w:pStyle w:val="Sub-heading"/>
      </w:pPr>
      <w:r w:rsidRPr="62DD8BBA">
        <w:t>Governance risks</w:t>
      </w:r>
    </w:p>
    <w:p w14:paraId="304A9DBA" w14:textId="673ACBED" w:rsidR="00E05BB0" w:rsidRDefault="00E05BB0" w:rsidP="00E05BB0">
      <w:pPr>
        <w:spacing w:after="200"/>
      </w:pPr>
      <w:r>
        <w:rPr>
          <w:rFonts w:eastAsia="Segoe UI" w:cs="Segoe UI"/>
          <w:szCs w:val="20"/>
          <w:lang w:val="en-GB"/>
        </w:rPr>
        <w:t>The Pension Regulator’s (TPR’s) General Code of Practice (the Code) merged ten of its existing codes of practice into one (including the public service pension code)</w:t>
      </w:r>
      <w:r w:rsidR="0068225F">
        <w:rPr>
          <w:rFonts w:eastAsia="Segoe UI" w:cs="Segoe UI"/>
          <w:szCs w:val="20"/>
          <w:lang w:val="en-GB"/>
        </w:rPr>
        <w:t xml:space="preserve"> and</w:t>
      </w:r>
      <w:r>
        <w:rPr>
          <w:rFonts w:eastAsia="Segoe UI" w:cs="Segoe UI"/>
          <w:szCs w:val="20"/>
          <w:lang w:val="en-GB"/>
        </w:rPr>
        <w:t xml:space="preserve"> came into force on 28 March 2024. The Code covers TPR’s expectations on governance and best practice. The Code itself does not create new legal obligations but is framed around legal obligations which funds must comply with. In not having a separate code for the public sector, there is a risk that Funds might not comply with all aspects of the Code intended to apply to the LGPS. However, Funds should already be complying with the majority of the Code which is framed around existing legal requirements. Schemes are not expected to comply with the Code from the date it came into force.</w:t>
      </w:r>
    </w:p>
    <w:p w14:paraId="3991C662" w14:textId="77777777" w:rsidR="00E05BB0" w:rsidRDefault="00E05BB0" w:rsidP="004D5C25">
      <w:pPr>
        <w:pStyle w:val="Sub-heading"/>
      </w:pPr>
      <w:r>
        <w:t>Orphan liabilities</w:t>
      </w:r>
    </w:p>
    <w:p w14:paraId="287460F7" w14:textId="7138C883" w:rsidR="00E05BB0" w:rsidRDefault="00E05BB0" w:rsidP="00E05BB0">
      <w:pPr>
        <w:rPr>
          <w:rFonts w:eastAsia="Segoe UI" w:cs="Segoe UI"/>
          <w:lang w:val="en-GB"/>
        </w:rPr>
      </w:pPr>
      <w:r w:rsidRPr="507E7BEA">
        <w:rPr>
          <w:rFonts w:eastAsia="Segoe UI" w:cs="Segoe UI"/>
          <w:lang w:val="en-GB"/>
        </w:rPr>
        <w:lastRenderedPageBreak/>
        <w:t>Orphan liabilities do not have a specific employer responsible for their liabilities in the Fund</w:t>
      </w:r>
      <w:r w:rsidR="0020790B">
        <w:rPr>
          <w:rFonts w:eastAsia="Segoe UI" w:cs="Segoe UI"/>
          <w:lang w:val="en-GB"/>
        </w:rPr>
        <w:t xml:space="preserve">. </w:t>
      </w:r>
      <w:r w:rsidRPr="507E7BEA">
        <w:rPr>
          <w:rFonts w:eastAsia="Segoe UI" w:cs="Segoe UI"/>
          <w:lang w:val="en-GB"/>
        </w:rPr>
        <w:t xml:space="preserve">New </w:t>
      </w:r>
      <w:r w:rsidRPr="35EE02A6">
        <w:rPr>
          <w:rFonts w:eastAsia="Segoe UI" w:cs="Segoe UI"/>
          <w:lang w:val="en-GB"/>
        </w:rPr>
        <w:t>orphaned</w:t>
      </w:r>
      <w:r w:rsidRPr="507E7BEA">
        <w:rPr>
          <w:rFonts w:eastAsia="Segoe UI" w:cs="Segoe UI"/>
          <w:lang w:val="en-GB"/>
        </w:rPr>
        <w:t xml:space="preserve"> liabilities can arise from existing employers in the Fund </w:t>
      </w:r>
      <w:r w:rsidRPr="5D42C81C">
        <w:rPr>
          <w:rFonts w:eastAsia="Segoe UI" w:cs="Segoe UI"/>
          <w:lang w:val="en-GB"/>
        </w:rPr>
        <w:t>ceasing their participation,</w:t>
      </w:r>
      <w:r w:rsidRPr="507E7BEA">
        <w:rPr>
          <w:rFonts w:eastAsia="Segoe UI" w:cs="Segoe UI"/>
          <w:lang w:val="en-GB"/>
        </w:rPr>
        <w:t xml:space="preserve"> </w:t>
      </w:r>
      <w:r w:rsidRPr="7963D48F">
        <w:rPr>
          <w:rFonts w:eastAsia="Segoe UI" w:cs="Segoe UI"/>
          <w:lang w:val="en-GB"/>
        </w:rPr>
        <w:t xml:space="preserve">where </w:t>
      </w:r>
      <w:r w:rsidRPr="3B7E06D0">
        <w:rPr>
          <w:rFonts w:eastAsia="Segoe UI" w:cs="Segoe UI"/>
          <w:lang w:val="en-GB"/>
        </w:rPr>
        <w:t>the</w:t>
      </w:r>
      <w:r w:rsidRPr="7963D48F">
        <w:rPr>
          <w:rFonts w:eastAsia="Segoe UI" w:cs="Segoe UI"/>
          <w:lang w:val="en-GB"/>
        </w:rPr>
        <w:t xml:space="preserve"> </w:t>
      </w:r>
      <w:r w:rsidRPr="680598A6">
        <w:rPr>
          <w:rFonts w:eastAsia="Segoe UI" w:cs="Segoe UI"/>
          <w:lang w:val="en-GB"/>
        </w:rPr>
        <w:t xml:space="preserve">residual liabilities are not subsumed by another </w:t>
      </w:r>
      <w:r w:rsidRPr="098480C6">
        <w:rPr>
          <w:rFonts w:eastAsia="Segoe UI" w:cs="Segoe UI"/>
          <w:lang w:val="en-GB"/>
        </w:rPr>
        <w:t xml:space="preserve">employer in the </w:t>
      </w:r>
      <w:r w:rsidRPr="44A0B31F">
        <w:rPr>
          <w:rFonts w:eastAsia="Segoe UI" w:cs="Segoe UI"/>
          <w:lang w:val="en-GB"/>
        </w:rPr>
        <w:t>Fund.</w:t>
      </w:r>
      <w:r w:rsidRPr="7963D48F">
        <w:rPr>
          <w:rFonts w:eastAsia="Segoe UI" w:cs="Segoe UI"/>
          <w:lang w:val="en-GB"/>
        </w:rPr>
        <w:t xml:space="preserve"> </w:t>
      </w:r>
      <w:r w:rsidRPr="507E7BEA">
        <w:rPr>
          <w:rFonts w:eastAsia="Segoe UI" w:cs="Segoe UI"/>
          <w:lang w:val="en-GB"/>
        </w:rPr>
        <w:t xml:space="preserve">There is a risk that orphan liabilities cause a significant increase in the costs for the remaining </w:t>
      </w:r>
      <w:r>
        <w:rPr>
          <w:rFonts w:eastAsia="Segoe UI" w:cs="Segoe UI"/>
          <w:lang w:val="en-GB"/>
        </w:rPr>
        <w:t xml:space="preserve">employers </w:t>
      </w:r>
      <w:r w:rsidRPr="507E7BEA">
        <w:rPr>
          <w:rFonts w:eastAsia="Segoe UI" w:cs="Segoe UI"/>
          <w:lang w:val="en-GB"/>
        </w:rPr>
        <w:t xml:space="preserve">in the Fund. </w:t>
      </w:r>
      <w:r>
        <w:rPr>
          <w:rFonts w:eastAsia="Segoe UI" w:cs="Segoe UI"/>
          <w:lang w:val="en-GB"/>
        </w:rPr>
        <w:t xml:space="preserve">To mitigate this risk, </w:t>
      </w:r>
      <w:r w:rsidRPr="507E7BEA">
        <w:rPr>
          <w:rFonts w:eastAsia="Segoe UI" w:cs="Segoe UI"/>
          <w:lang w:val="en-GB"/>
        </w:rPr>
        <w:t>when an employer ceases to participate in the Fund</w:t>
      </w:r>
      <w:r w:rsidRPr="7D3589B3">
        <w:rPr>
          <w:rFonts w:eastAsia="Segoe UI" w:cs="Segoe UI"/>
          <w:lang w:val="en-GB"/>
        </w:rPr>
        <w:t xml:space="preserve"> </w:t>
      </w:r>
      <w:r w:rsidRPr="489CB94A">
        <w:rPr>
          <w:rFonts w:eastAsia="Segoe UI" w:cs="Segoe UI"/>
          <w:lang w:val="en-GB"/>
        </w:rPr>
        <w:t>and the liabilities become orphaned</w:t>
      </w:r>
      <w:r w:rsidRPr="507E7BEA">
        <w:rPr>
          <w:rFonts w:eastAsia="Segoe UI" w:cs="Segoe UI"/>
          <w:lang w:val="en-GB"/>
        </w:rPr>
        <w:t xml:space="preserve">, a cessation valuation is </w:t>
      </w:r>
      <w:r w:rsidRPr="2ECC0645">
        <w:rPr>
          <w:rFonts w:eastAsia="Segoe UI" w:cs="Segoe UI"/>
          <w:lang w:val="en-GB"/>
        </w:rPr>
        <w:t xml:space="preserve">likely to be </w:t>
      </w:r>
      <w:r w:rsidRPr="507E7BEA">
        <w:rPr>
          <w:rFonts w:eastAsia="Segoe UI" w:cs="Segoe UI"/>
          <w:lang w:val="en-GB"/>
        </w:rPr>
        <w:t xml:space="preserve">carried out on a more prudent basis than the ongoing basis and the ceasing employer is liable to pay an exit payment if in deficit. </w:t>
      </w:r>
      <w:r>
        <w:rPr>
          <w:rFonts w:eastAsia="Segoe UI" w:cs="Segoe UI"/>
          <w:lang w:val="en-GB"/>
        </w:rPr>
        <w:t xml:space="preserve">In addition, our Fund Actuary reviews all orphan liabilities as part of the valuation and the assets notionally allocated to employers are adjusted to ensure that these are </w:t>
      </w:r>
      <w:r w:rsidRPr="009A49F2">
        <w:rPr>
          <w:rFonts w:eastAsia="Segoe UI" w:cs="Segoe UI"/>
          <w:lang w:val="en-GB"/>
        </w:rPr>
        <w:t xml:space="preserve">fully funded on an </w:t>
      </w:r>
      <w:r w:rsidRPr="001B792E">
        <w:rPr>
          <w:rFonts w:eastAsia="Segoe UI" w:cs="Segoe UI"/>
          <w:lang w:val="en-GB"/>
        </w:rPr>
        <w:t>ongoing</w:t>
      </w:r>
      <w:r w:rsidRPr="009A49F2">
        <w:rPr>
          <w:rFonts w:eastAsia="Segoe UI" w:cs="Segoe UI"/>
          <w:lang w:val="en-GB"/>
        </w:rPr>
        <w:t xml:space="preserve"> basis. </w:t>
      </w:r>
    </w:p>
    <w:p w14:paraId="7F507DE9" w14:textId="77777777" w:rsidR="00111367" w:rsidRPr="00C911B9" w:rsidRDefault="00111367" w:rsidP="00E05BB0">
      <w:pPr>
        <w:rPr>
          <w:rFonts w:eastAsia="Segoe UI" w:cs="Segoe UI"/>
          <w:lang w:val="en-GB"/>
        </w:rPr>
      </w:pPr>
    </w:p>
    <w:p w14:paraId="13B8A286" w14:textId="77777777" w:rsidR="00E05BB0" w:rsidRDefault="00E05BB0" w:rsidP="004D5C25">
      <w:pPr>
        <w:pStyle w:val="Sub-heading"/>
      </w:pPr>
      <w:r>
        <w:t>Long-term employer covenant alongside shorter-term affordability</w:t>
      </w:r>
    </w:p>
    <w:p w14:paraId="2D3FAA66" w14:textId="53F86738" w:rsidR="00E05BB0" w:rsidRDefault="00E05BB0" w:rsidP="00E05BB0">
      <w:pPr>
        <w:rPr>
          <w:lang w:val="en-GB" w:bidi="ar-SA"/>
        </w:rPr>
      </w:pPr>
      <w:r>
        <w:rPr>
          <w:rFonts w:eastAsia="Segoe UI" w:cs="Segoe UI"/>
          <w:szCs w:val="20"/>
          <w:lang w:val="en-GB"/>
        </w:rPr>
        <w:t xml:space="preserve">When considering deficit payments or exit payments, there is a risk that the initial affordability is low but there is the prospect of increased affordability in future. In extreme cases the payments due to the Fund may cause the immediate insolvency of an </w:t>
      </w:r>
      <w:r w:rsidRPr="009A49F2">
        <w:rPr>
          <w:rFonts w:eastAsia="Segoe UI" w:cs="Segoe UI"/>
          <w:szCs w:val="20"/>
          <w:lang w:val="en-GB"/>
        </w:rPr>
        <w:t xml:space="preserve">employer. The Fund makes use of the employer flexibilities which came into force on 23 September 2020 as set out in its </w:t>
      </w:r>
      <w:r w:rsidRPr="001B792E">
        <w:rPr>
          <w:rFonts w:eastAsia="Segoe UI" w:cs="Segoe UI"/>
          <w:szCs w:val="20"/>
          <w:lang w:val="en-GB"/>
        </w:rPr>
        <w:t>DSA and DDA policy</w:t>
      </w:r>
      <w:r w:rsidRPr="009A49F2">
        <w:rPr>
          <w:rFonts w:eastAsia="Segoe UI" w:cs="Segoe UI"/>
          <w:szCs w:val="20"/>
          <w:lang w:val="en-GB"/>
        </w:rPr>
        <w:t>, to work with</w:t>
      </w:r>
      <w:r>
        <w:rPr>
          <w:rFonts w:eastAsia="Segoe UI" w:cs="Segoe UI"/>
          <w:szCs w:val="20"/>
          <w:lang w:val="en-GB"/>
        </w:rPr>
        <w:t xml:space="preserve"> employers exiting the Fund</w:t>
      </w:r>
      <w:r w:rsidR="0020790B">
        <w:rPr>
          <w:rFonts w:eastAsia="Segoe UI" w:cs="Segoe UI"/>
          <w:szCs w:val="20"/>
          <w:lang w:val="en-GB"/>
        </w:rPr>
        <w:t xml:space="preserve">. </w:t>
      </w:r>
    </w:p>
    <w:p w14:paraId="29E233FE" w14:textId="04091C06" w:rsidR="00D95EEF" w:rsidRDefault="00D95EEF">
      <w:pPr>
        <w:spacing w:after="200" w:line="276" w:lineRule="auto"/>
        <w:rPr>
          <w:szCs w:val="20"/>
          <w:lang w:val="en-GB" w:bidi="ar-SA"/>
        </w:rPr>
      </w:pPr>
      <w:r>
        <w:br w:type="page"/>
      </w:r>
    </w:p>
    <w:p w14:paraId="20489B6E" w14:textId="777C8858" w:rsidR="00D95EEF" w:rsidRDefault="00D95EEF" w:rsidP="00403CAA">
      <w:pPr>
        <w:pStyle w:val="Heading1"/>
      </w:pPr>
      <w:bookmarkStart w:id="148" w:name="_Ref204460712"/>
      <w:bookmarkStart w:id="149" w:name="_Toc222823336"/>
      <w:r>
        <w:lastRenderedPageBreak/>
        <w:t xml:space="preserve">Annex </w:t>
      </w:r>
      <w:r w:rsidR="00C038F6">
        <w:t>E</w:t>
      </w:r>
      <w:r>
        <w:t>: Glossary</w:t>
      </w:r>
      <w:bookmarkEnd w:id="148"/>
      <w:bookmarkEnd w:id="149"/>
    </w:p>
    <w:p w14:paraId="5606991D" w14:textId="7DA4B809" w:rsidR="0089708A" w:rsidRPr="0089708A" w:rsidRDefault="0089708A" w:rsidP="0089708A">
      <w:pPr>
        <w:pStyle w:val="BodyText"/>
      </w:pPr>
      <w:r>
        <w:t>This Glossary h</w:t>
      </w:r>
      <w:r w:rsidR="005B49A8">
        <w:t xml:space="preserve">as been copied from Annex D of the FSS guidance </w:t>
      </w:r>
      <w:hyperlink r:id="rId25" w:history="1">
        <w:r w:rsidR="005B49A8" w:rsidRPr="00D64E1C">
          <w:rPr>
            <w:rStyle w:val="Hyperlink"/>
          </w:rPr>
          <w:t>here</w:t>
        </w:r>
      </w:hyperlink>
      <w:r w:rsidR="00D64E1C">
        <w:t xml:space="preserve"> but supplemented with some additional terms as used in this FSS. </w:t>
      </w:r>
    </w:p>
    <w:p w14:paraId="18059F94" w14:textId="7B592536" w:rsidR="006640AF" w:rsidRPr="00EB618A" w:rsidRDefault="006640AF" w:rsidP="00EB618A">
      <w:pPr>
        <w:pStyle w:val="Sub-heading"/>
      </w:pPr>
      <w:r w:rsidRPr="00EB618A">
        <w:t xml:space="preserve">Actuarial certificates/rates and adjustments certificate </w:t>
      </w:r>
    </w:p>
    <w:p w14:paraId="2AC7B121" w14:textId="77777777" w:rsidR="006640AF" w:rsidRPr="006640AF" w:rsidRDefault="006640AF" w:rsidP="006640AF">
      <w:pPr>
        <w:pStyle w:val="BodyText"/>
      </w:pPr>
      <w:r w:rsidRPr="006640AF">
        <w:t xml:space="preserve">A statement of the contributions payable by each scheme employer. A statement of the contributions payable by the employer. Following the actuarial valuation exercise, the effective date is 12 months after the completion of the valuation. </w:t>
      </w:r>
    </w:p>
    <w:p w14:paraId="49E319F3" w14:textId="77777777" w:rsidR="006640AF" w:rsidRPr="00EB618A" w:rsidRDefault="006640AF" w:rsidP="00EB618A">
      <w:pPr>
        <w:pStyle w:val="Sub-heading"/>
      </w:pPr>
      <w:r w:rsidRPr="00EB618A">
        <w:t xml:space="preserve">Actuarial valuation </w:t>
      </w:r>
    </w:p>
    <w:p w14:paraId="28676CC0" w14:textId="3480695D" w:rsidR="006640AF" w:rsidRPr="006640AF" w:rsidRDefault="006640AF" w:rsidP="006640AF">
      <w:pPr>
        <w:pStyle w:val="BodyText"/>
      </w:pPr>
      <w:r w:rsidRPr="006640AF">
        <w:t xml:space="preserve">An investigation by an actuary, appointed by an </w:t>
      </w:r>
      <w:r w:rsidR="000D7F93">
        <w:t>Administering Authority</w:t>
      </w:r>
      <w:r w:rsidRPr="006640AF">
        <w:t xml:space="preserve"> into the costs of the scheme and the ability of the fund managed by that authority to meet its liabilities. This assesses the funding level and recommended employer contribution rates based on estimating the cost of pensions both in payment and those yet to be paid and comparing this to the value of the assets held in the fund. Valuations take place every three years (triennial). </w:t>
      </w:r>
    </w:p>
    <w:p w14:paraId="22C3C3B0" w14:textId="4797E9A1" w:rsidR="006640AF" w:rsidRPr="00EB618A" w:rsidRDefault="000D7F93" w:rsidP="00EB618A">
      <w:pPr>
        <w:pStyle w:val="Sub-heading"/>
      </w:pPr>
      <w:r>
        <w:t>Administering Authority</w:t>
      </w:r>
      <w:r w:rsidR="006640AF" w:rsidRPr="00EB618A">
        <w:t xml:space="preserve"> (referred to as ‘the fund’) </w:t>
      </w:r>
    </w:p>
    <w:p w14:paraId="4B370AC8" w14:textId="77777777" w:rsidR="006640AF" w:rsidRPr="006640AF" w:rsidRDefault="006640AF" w:rsidP="006640AF">
      <w:pPr>
        <w:pStyle w:val="BodyText"/>
      </w:pPr>
      <w:r w:rsidRPr="006640AF">
        <w:t xml:space="preserve">A body listed in Part 1 of Schedule 3 of the regulations who maintains a fund within the LGPS and a body with a statutory duty to manage and administer the LGPS and maintain a pension fund (the fund). Usually, but not restricted to being, a local authority. </w:t>
      </w:r>
    </w:p>
    <w:p w14:paraId="19A57E50" w14:textId="77777777" w:rsidR="006640AF" w:rsidRPr="00EB618A" w:rsidRDefault="006640AF" w:rsidP="00EB618A">
      <w:pPr>
        <w:pStyle w:val="Sub-heading"/>
      </w:pPr>
      <w:r w:rsidRPr="00EB618A">
        <w:t xml:space="preserve">Admission agreement </w:t>
      </w:r>
    </w:p>
    <w:p w14:paraId="7CEB8CDD" w14:textId="77777777" w:rsidR="006640AF" w:rsidRPr="006640AF" w:rsidRDefault="006640AF" w:rsidP="006640AF">
      <w:pPr>
        <w:pStyle w:val="BodyText"/>
      </w:pPr>
      <w:r w:rsidRPr="006640AF">
        <w:t xml:space="preserve">A written agreement which provides for a body to participate in the LGPS as a scheme employer. </w:t>
      </w:r>
    </w:p>
    <w:p w14:paraId="7387F743" w14:textId="77777777" w:rsidR="006640AF" w:rsidRPr="00EB618A" w:rsidRDefault="006640AF" w:rsidP="00EB618A">
      <w:pPr>
        <w:pStyle w:val="Sub-heading"/>
      </w:pPr>
      <w:r w:rsidRPr="00EB618A">
        <w:t xml:space="preserve">Assumptions </w:t>
      </w:r>
    </w:p>
    <w:p w14:paraId="4225C4A5" w14:textId="77777777" w:rsidR="006640AF" w:rsidRPr="006640AF" w:rsidRDefault="006640AF" w:rsidP="006640AF">
      <w:pPr>
        <w:pStyle w:val="BodyText"/>
      </w:pPr>
      <w:r w:rsidRPr="006640AF">
        <w:t xml:space="preserve">Forecasts of future experience which impact the costs of the scheme. For example, pay growth, longevity of pensioners, inflation, and investment returns. </w:t>
      </w:r>
    </w:p>
    <w:p w14:paraId="3DF5B8CC" w14:textId="77777777" w:rsidR="006640AF" w:rsidRPr="00EB618A" w:rsidRDefault="006640AF" w:rsidP="00EB618A">
      <w:pPr>
        <w:pStyle w:val="Sub-heading"/>
      </w:pPr>
      <w:r w:rsidRPr="00EB618A">
        <w:t xml:space="preserve">Code of Practice </w:t>
      </w:r>
    </w:p>
    <w:p w14:paraId="16BF2F32" w14:textId="77777777" w:rsidR="006640AF" w:rsidRPr="006640AF" w:rsidRDefault="006640AF" w:rsidP="006640AF">
      <w:pPr>
        <w:pStyle w:val="BodyText"/>
      </w:pPr>
      <w:r w:rsidRPr="006640AF">
        <w:t xml:space="preserve">The Pensions Regulator’s General Code of Practice. </w:t>
      </w:r>
    </w:p>
    <w:p w14:paraId="3F8256C6" w14:textId="77777777" w:rsidR="006640AF" w:rsidRPr="00EB618A" w:rsidRDefault="006640AF" w:rsidP="00EB618A">
      <w:pPr>
        <w:pStyle w:val="Sub-heading"/>
      </w:pPr>
      <w:r w:rsidRPr="00EB618A">
        <w:t xml:space="preserve">Data </w:t>
      </w:r>
    </w:p>
    <w:p w14:paraId="0647B9F5" w14:textId="77777777" w:rsidR="006640AF" w:rsidRPr="006640AF" w:rsidRDefault="006640AF" w:rsidP="006640AF">
      <w:pPr>
        <w:pStyle w:val="BodyText"/>
      </w:pPr>
      <w:r w:rsidRPr="006640AF">
        <w:t xml:space="preserve">For GAD to carry out its function under Section 13 of the Public Service Pensions Act 2013, GAD will request data to be provided by the local administering authorities/local fund actuaries, and it is assumed that this data will be provided promptly and accurately. </w:t>
      </w:r>
    </w:p>
    <w:p w14:paraId="08B59F2F" w14:textId="77777777" w:rsidR="006640AF" w:rsidRPr="00EB618A" w:rsidRDefault="006640AF" w:rsidP="00EB618A">
      <w:pPr>
        <w:pStyle w:val="Sub-heading"/>
      </w:pPr>
      <w:r w:rsidRPr="00EB618A">
        <w:t xml:space="preserve">Debt spreading arrangement </w:t>
      </w:r>
    </w:p>
    <w:p w14:paraId="5F1D1187" w14:textId="3AA883E0" w:rsidR="000236BD" w:rsidRDefault="006640AF" w:rsidP="006640AF">
      <w:pPr>
        <w:pStyle w:val="BodyText"/>
        <w:rPr>
          <w:lang w:bidi="en-US"/>
        </w:rPr>
      </w:pPr>
      <w:r w:rsidRPr="006640AF">
        <w:rPr>
          <w:lang w:bidi="en-US"/>
        </w:rPr>
        <w:t>The ability to spread an exit payment over a period of time.</w:t>
      </w:r>
    </w:p>
    <w:p w14:paraId="565371DF" w14:textId="77777777" w:rsidR="00353606" w:rsidRPr="00EB618A" w:rsidRDefault="00353606" w:rsidP="00EB618A">
      <w:pPr>
        <w:pStyle w:val="Sub-heading"/>
      </w:pPr>
      <w:r w:rsidRPr="00EB618A">
        <w:t xml:space="preserve">Deferred debt agreement </w:t>
      </w:r>
    </w:p>
    <w:p w14:paraId="5A446735" w14:textId="77777777" w:rsidR="00353606" w:rsidRDefault="00353606" w:rsidP="00353606">
      <w:pPr>
        <w:pStyle w:val="BodyText"/>
      </w:pPr>
      <w:r w:rsidRPr="00353606">
        <w:lastRenderedPageBreak/>
        <w:t xml:space="preserve">An agreement for an employer to continue to participate in the LGPS without any contributing scheme members. </w:t>
      </w:r>
    </w:p>
    <w:p w14:paraId="63B808C2" w14:textId="77777777" w:rsidR="006B6614" w:rsidRPr="00EB618A" w:rsidRDefault="006B6614" w:rsidP="00EB618A">
      <w:pPr>
        <w:pStyle w:val="Sub-heading"/>
      </w:pPr>
      <w:r w:rsidRPr="00EB618A">
        <w:t xml:space="preserve">Discount rate </w:t>
      </w:r>
    </w:p>
    <w:p w14:paraId="57B3FB40" w14:textId="34F36976" w:rsidR="006B6614" w:rsidRPr="00C2434C" w:rsidRDefault="006B6614" w:rsidP="00353606">
      <w:pPr>
        <w:pStyle w:val="BodyText"/>
      </w:pPr>
      <w:r w:rsidRPr="00403CAA">
        <w:t xml:space="preserve">A </w:t>
      </w:r>
      <w:r w:rsidRPr="00403CAA">
        <w:rPr>
          <w:rFonts w:eastAsia="Segoe UI" w:cs="Segoe UI"/>
        </w:rPr>
        <w:t>prudent estimate of the rate of investment return that is expected to be earned from the Fund’s long-term investment strategy.</w:t>
      </w:r>
    </w:p>
    <w:p w14:paraId="0D38307A" w14:textId="77777777" w:rsidR="00353606" w:rsidRPr="00EB618A" w:rsidRDefault="00353606" w:rsidP="00EB618A">
      <w:pPr>
        <w:pStyle w:val="Sub-heading"/>
      </w:pPr>
      <w:r w:rsidRPr="00EB618A">
        <w:t xml:space="preserve">Employer covenant </w:t>
      </w:r>
    </w:p>
    <w:p w14:paraId="3FA87217" w14:textId="77777777" w:rsidR="00353606" w:rsidRPr="00C2434C" w:rsidRDefault="00353606" w:rsidP="00353606">
      <w:pPr>
        <w:pStyle w:val="BodyText"/>
      </w:pPr>
      <w:r w:rsidRPr="00C2434C">
        <w:t xml:space="preserve">The extent of the employer’s legal obligation and financial ability to support its pension scheme now and in the future. </w:t>
      </w:r>
    </w:p>
    <w:p w14:paraId="3C2DB7EB" w14:textId="77777777" w:rsidR="00353606" w:rsidRPr="00EB618A" w:rsidRDefault="00353606" w:rsidP="00EB618A">
      <w:pPr>
        <w:pStyle w:val="Sub-heading"/>
      </w:pPr>
      <w:r w:rsidRPr="00EB618A">
        <w:t xml:space="preserve">Funding level </w:t>
      </w:r>
    </w:p>
    <w:p w14:paraId="40F58ADD" w14:textId="77777777" w:rsidR="00353606" w:rsidRPr="00C2434C" w:rsidRDefault="00353606" w:rsidP="00353606">
      <w:pPr>
        <w:pStyle w:val="BodyText"/>
      </w:pPr>
      <w:r w:rsidRPr="00C2434C">
        <w:t xml:space="preserve">The funding level is the value of assets compared with the liabilities. </w:t>
      </w:r>
    </w:p>
    <w:p w14:paraId="07E07650" w14:textId="0450511F" w:rsidR="00A006F0" w:rsidRPr="00EB618A" w:rsidRDefault="00AA5A42" w:rsidP="00EB618A">
      <w:pPr>
        <w:pStyle w:val="Sub-heading"/>
      </w:pPr>
      <w:r w:rsidRPr="00EB618A">
        <w:t>F</w:t>
      </w:r>
      <w:r w:rsidR="00A006F0" w:rsidRPr="00EB618A">
        <w:t xml:space="preserve">unding </w:t>
      </w:r>
      <w:r w:rsidRPr="00EB618A">
        <w:t>P</w:t>
      </w:r>
      <w:r w:rsidR="00A006F0" w:rsidRPr="00EB618A">
        <w:t>ool</w:t>
      </w:r>
    </w:p>
    <w:p w14:paraId="2FDF037D" w14:textId="5938734B" w:rsidR="00A006F0" w:rsidRPr="00C2434C" w:rsidRDefault="008072C9" w:rsidP="00353606">
      <w:pPr>
        <w:pStyle w:val="BodyText"/>
      </w:pPr>
      <w:r w:rsidRPr="00C2434C">
        <w:t xml:space="preserve">Where the Fund identifies a group of employers with similar characteristics, it is possible to form a pool for these employers. </w:t>
      </w:r>
      <w:r w:rsidR="003273ED" w:rsidRPr="00C2434C">
        <w:rPr>
          <w:rFonts w:asciiTheme="minorHAnsi" w:hAnsiTheme="minorHAnsi" w:cstheme="minorBidi"/>
        </w:rPr>
        <w:t>Employers within a pool will pay the same contribution rates</w:t>
      </w:r>
      <w:r w:rsidR="00473026" w:rsidRPr="00C2434C">
        <w:rPr>
          <w:rFonts w:asciiTheme="minorHAnsi" w:hAnsiTheme="minorHAnsi" w:cstheme="minorBidi"/>
        </w:rPr>
        <w:t xml:space="preserve"> and share risks</w:t>
      </w:r>
      <w:r w:rsidR="00670A83" w:rsidRPr="00C2434C">
        <w:rPr>
          <w:rFonts w:asciiTheme="minorHAnsi" w:hAnsiTheme="minorHAnsi" w:cstheme="minorBidi"/>
        </w:rPr>
        <w:t>.</w:t>
      </w:r>
    </w:p>
    <w:p w14:paraId="26DD079E" w14:textId="77777777" w:rsidR="00353606" w:rsidRPr="00EB618A" w:rsidRDefault="00353606" w:rsidP="00EB618A">
      <w:pPr>
        <w:pStyle w:val="Sub-heading"/>
      </w:pPr>
      <w:r w:rsidRPr="00EB618A">
        <w:t xml:space="preserve">Fund valuation date </w:t>
      </w:r>
    </w:p>
    <w:p w14:paraId="087A0F3E" w14:textId="77777777" w:rsidR="00353606" w:rsidRPr="00C2434C" w:rsidRDefault="00353606" w:rsidP="00353606">
      <w:pPr>
        <w:pStyle w:val="BodyText"/>
      </w:pPr>
      <w:r w:rsidRPr="00C2434C">
        <w:t xml:space="preserve">The effective date of the triennial fund valuation. </w:t>
      </w:r>
    </w:p>
    <w:p w14:paraId="0CFCEA34" w14:textId="77777777" w:rsidR="004035D6" w:rsidRPr="00EB618A" w:rsidRDefault="004035D6" w:rsidP="00EB618A">
      <w:pPr>
        <w:pStyle w:val="Sub-heading"/>
      </w:pPr>
      <w:r w:rsidRPr="00EB618A">
        <w:t>GAD</w:t>
      </w:r>
    </w:p>
    <w:p w14:paraId="723E2562" w14:textId="458F35C3" w:rsidR="004035D6" w:rsidRPr="00C2434C" w:rsidRDefault="004035D6" w:rsidP="00353606">
      <w:pPr>
        <w:pStyle w:val="BodyText"/>
      </w:pPr>
      <w:r w:rsidRPr="00C00F8E">
        <w:t>Government Actuary</w:t>
      </w:r>
      <w:r w:rsidR="005274E5" w:rsidRPr="00C00F8E">
        <w:t>’s</w:t>
      </w:r>
      <w:r w:rsidRPr="00C00F8E">
        <w:t xml:space="preserve"> Department</w:t>
      </w:r>
    </w:p>
    <w:p w14:paraId="4DA78501" w14:textId="32654613" w:rsidR="00353606" w:rsidRPr="00EB618A" w:rsidRDefault="00353606" w:rsidP="00EB618A">
      <w:pPr>
        <w:pStyle w:val="Sub-heading"/>
      </w:pPr>
      <w:r w:rsidRPr="00EB618A">
        <w:t xml:space="preserve">Guarantee / guarantor </w:t>
      </w:r>
    </w:p>
    <w:p w14:paraId="2EA65C25" w14:textId="77777777" w:rsidR="00353606" w:rsidRPr="00C2434C" w:rsidRDefault="00353606" w:rsidP="00353606">
      <w:pPr>
        <w:pStyle w:val="BodyText"/>
      </w:pPr>
      <w:r w:rsidRPr="00C2434C">
        <w:t xml:space="preserve">A formal promise by a third party (the guarantor) that it will meet any pension obligations not met by a specified employer. The presence of a guarantor will mean, for instance, that the fund can consider the employer’s covenant to be as strong as its guarantor’s. </w:t>
      </w:r>
    </w:p>
    <w:p w14:paraId="7426D62D" w14:textId="11970676" w:rsidR="006B6614" w:rsidRPr="00EB618A" w:rsidRDefault="006B6614" w:rsidP="00EB618A">
      <w:pPr>
        <w:pStyle w:val="Sub-heading"/>
      </w:pPr>
      <w:r w:rsidRPr="00EB618A">
        <w:t xml:space="preserve">Inflation Risk Premium </w:t>
      </w:r>
    </w:p>
    <w:p w14:paraId="08D5EEB0" w14:textId="71194924" w:rsidR="006B6614" w:rsidRPr="00C2434C" w:rsidRDefault="006B6614" w:rsidP="00353606">
      <w:pPr>
        <w:pStyle w:val="BodyText"/>
      </w:pPr>
      <w:r w:rsidRPr="00C00F8E">
        <w:t>An adjustment to RPI inflation</w:t>
      </w:r>
      <w:r w:rsidRPr="00C00F8E">
        <w:rPr>
          <w:rFonts w:eastAsia="Segoe UI" w:cs="Segoe UI"/>
        </w:rPr>
        <w:t xml:space="preserve"> to reflect the view that investors are willing to pay a premium for inflation-linked products in return for protection against unexpected inflation.</w:t>
      </w:r>
    </w:p>
    <w:p w14:paraId="3F29B6AE" w14:textId="77777777" w:rsidR="00353606" w:rsidRPr="00EB618A" w:rsidRDefault="00353606" w:rsidP="00EB618A">
      <w:pPr>
        <w:pStyle w:val="Sub-heading"/>
      </w:pPr>
      <w:r w:rsidRPr="00EB618A">
        <w:t xml:space="preserve">Local Pension Board </w:t>
      </w:r>
    </w:p>
    <w:p w14:paraId="3E5216BD" w14:textId="295C6646" w:rsidR="00353606" w:rsidRPr="00C2434C" w:rsidRDefault="00353606" w:rsidP="00353606">
      <w:pPr>
        <w:pStyle w:val="BodyText"/>
      </w:pPr>
      <w:r w:rsidRPr="00C2434C">
        <w:t xml:space="preserve">The board established to assist the </w:t>
      </w:r>
      <w:r w:rsidR="000D7F93">
        <w:t>Administering Authority</w:t>
      </w:r>
      <w:r w:rsidRPr="00C2434C">
        <w:t xml:space="preserve"> as the Scheme Manager for each fund. </w:t>
      </w:r>
    </w:p>
    <w:p w14:paraId="2A9D7F31" w14:textId="77777777" w:rsidR="00AA5A42" w:rsidRPr="00EB618A" w:rsidRDefault="00AA5A42" w:rsidP="00EB618A">
      <w:pPr>
        <w:pStyle w:val="Sub-heading"/>
      </w:pPr>
      <w:r w:rsidRPr="00EB618A">
        <w:t>MHCLG</w:t>
      </w:r>
    </w:p>
    <w:p w14:paraId="4FA828BB" w14:textId="084AFA2D" w:rsidR="00AA5A42" w:rsidRPr="00C2434C" w:rsidRDefault="008804CB" w:rsidP="008804CB">
      <w:pPr>
        <w:pStyle w:val="BodyText"/>
      </w:pPr>
      <w:r w:rsidRPr="002F3C22">
        <w:t>Ministry of Housing, Communities and Local Government</w:t>
      </w:r>
    </w:p>
    <w:p w14:paraId="6E3F2F38" w14:textId="77777777" w:rsidR="00353606" w:rsidRPr="00EB618A" w:rsidRDefault="00353606" w:rsidP="00EB618A">
      <w:pPr>
        <w:pStyle w:val="Sub-heading"/>
      </w:pPr>
      <w:r w:rsidRPr="00EB618A">
        <w:t xml:space="preserve">Non-statutory guidance </w:t>
      </w:r>
    </w:p>
    <w:p w14:paraId="09035A07" w14:textId="77777777" w:rsidR="00353606" w:rsidRPr="00353606" w:rsidRDefault="00353606" w:rsidP="00942900">
      <w:pPr>
        <w:pStyle w:val="BodyText"/>
        <w:keepNext/>
        <w:keepLines/>
      </w:pPr>
      <w:r w:rsidRPr="00C2434C">
        <w:lastRenderedPageBreak/>
        <w:t>Guidance which although</w:t>
      </w:r>
      <w:r w:rsidRPr="00353606">
        <w:t xml:space="preserve"> it confers no statutory obligation on the parties named, they should nevertheless have regard to its contents. </w:t>
      </w:r>
    </w:p>
    <w:p w14:paraId="60A17A8F" w14:textId="77777777" w:rsidR="00353606" w:rsidRPr="00EB618A" w:rsidRDefault="00353606" w:rsidP="00EB618A">
      <w:pPr>
        <w:pStyle w:val="Sub-heading"/>
      </w:pPr>
      <w:r w:rsidRPr="00EB618A">
        <w:t xml:space="preserve">Notifiable events </w:t>
      </w:r>
    </w:p>
    <w:p w14:paraId="2DE7ACBF" w14:textId="33CBDFF2" w:rsidR="00353606" w:rsidRPr="00353606" w:rsidRDefault="00353606" w:rsidP="00353606">
      <w:pPr>
        <w:pStyle w:val="BodyText"/>
      </w:pPr>
      <w:r w:rsidRPr="00353606">
        <w:t xml:space="preserve">Events which the employer should make the </w:t>
      </w:r>
      <w:r w:rsidR="000D7F93">
        <w:t>Administering Authority</w:t>
      </w:r>
      <w:r w:rsidRPr="00353606">
        <w:t xml:space="preserve"> aware of. </w:t>
      </w:r>
    </w:p>
    <w:p w14:paraId="2BDAEB56" w14:textId="77777777" w:rsidR="00353606" w:rsidRPr="00EB618A" w:rsidRDefault="00353606" w:rsidP="00EB618A">
      <w:pPr>
        <w:pStyle w:val="Sub-heading"/>
      </w:pPr>
      <w:r w:rsidRPr="00EB618A">
        <w:t xml:space="preserve">Past service liabilities </w:t>
      </w:r>
    </w:p>
    <w:p w14:paraId="088314D1" w14:textId="77777777" w:rsidR="00353606" w:rsidRPr="00353606" w:rsidRDefault="00353606" w:rsidP="00353606">
      <w:pPr>
        <w:pStyle w:val="BodyText"/>
      </w:pPr>
      <w:r w:rsidRPr="00353606">
        <w:t xml:space="preserve">The cost of pensions already built up or in payment. </w:t>
      </w:r>
    </w:p>
    <w:p w14:paraId="27C24FD9" w14:textId="77777777" w:rsidR="00353606" w:rsidRPr="00EB618A" w:rsidRDefault="00353606" w:rsidP="00EB618A">
      <w:pPr>
        <w:pStyle w:val="Sub-heading"/>
      </w:pPr>
      <w:r w:rsidRPr="00EB618A">
        <w:t xml:space="preserve">Pension Committee </w:t>
      </w:r>
    </w:p>
    <w:p w14:paraId="4D546BFA" w14:textId="56D91437" w:rsidR="00353606" w:rsidRDefault="00353606" w:rsidP="00353606">
      <w:pPr>
        <w:pStyle w:val="BodyText"/>
        <w:rPr>
          <w:lang w:bidi="en-US"/>
        </w:rPr>
      </w:pPr>
      <w:r w:rsidRPr="00353606">
        <w:rPr>
          <w:lang w:bidi="en-US"/>
        </w:rPr>
        <w:t xml:space="preserve">A committee or sub-committee to which an </w:t>
      </w:r>
      <w:r w:rsidR="000D7F93">
        <w:rPr>
          <w:lang w:bidi="en-US"/>
        </w:rPr>
        <w:t>Administering Authority</w:t>
      </w:r>
      <w:r w:rsidRPr="00353606">
        <w:rPr>
          <w:lang w:bidi="en-US"/>
        </w:rPr>
        <w:t xml:space="preserve"> has delegated its pension function.</w:t>
      </w:r>
    </w:p>
    <w:p w14:paraId="358BDF1C" w14:textId="77777777" w:rsidR="00353606" w:rsidRPr="00EB618A" w:rsidRDefault="00353606" w:rsidP="00EB618A">
      <w:pPr>
        <w:pStyle w:val="Sub-heading"/>
      </w:pPr>
      <w:r w:rsidRPr="00EB618A">
        <w:t xml:space="preserve">Pensions Administration Strategy </w:t>
      </w:r>
    </w:p>
    <w:p w14:paraId="51FAF5FC" w14:textId="77777777" w:rsidR="00353606" w:rsidRPr="00353606" w:rsidRDefault="00353606" w:rsidP="00353606">
      <w:pPr>
        <w:pStyle w:val="BodyText"/>
      </w:pPr>
      <w:r w:rsidRPr="00353606">
        <w:t xml:space="preserve">A statement of the duties and responsibilities of scheme employers and administering authorities to ensure the effective management of the scheme. </w:t>
      </w:r>
    </w:p>
    <w:p w14:paraId="23BBA2F5" w14:textId="77777777" w:rsidR="00353606" w:rsidRPr="00EB618A" w:rsidRDefault="00353606" w:rsidP="00EB618A">
      <w:pPr>
        <w:pStyle w:val="Sub-heading"/>
      </w:pPr>
      <w:r w:rsidRPr="00EB618A">
        <w:t xml:space="preserve">Primary rate of the employers’ contribution </w:t>
      </w:r>
    </w:p>
    <w:p w14:paraId="706765BF" w14:textId="73ADD65F" w:rsidR="00353606" w:rsidRPr="00C2434C" w:rsidRDefault="00353606" w:rsidP="00353606">
      <w:pPr>
        <w:pStyle w:val="BodyText"/>
      </w:pPr>
      <w:r w:rsidRPr="00353606">
        <w:t>The primary rate for each employer is that employer’s future service contribution rate, which is the contribution rate required to meet the cost of the future accrual of benefits, expressed as a percentage of pensionable pay, ignoring any past service surplus or deficit but allowing for any employer-specific circumstances, such as the membership profile of that employer, the funding strategy adopted for that employer (including any risk</w:t>
      </w:r>
      <w:r w:rsidR="00D0014C">
        <w:t xml:space="preserve"> </w:t>
      </w:r>
      <w:r w:rsidRPr="00353606">
        <w:t xml:space="preserve">sharing arrangements operated by the </w:t>
      </w:r>
      <w:r w:rsidR="000D7F93">
        <w:t>Administering Authority</w:t>
      </w:r>
      <w:r w:rsidRPr="00353606">
        <w:t xml:space="preserve">), the actuarial method chosen and/or the employer’s covenant. The primary rate for the whole fund is the weighted average (by payroll) of the individual employers’ </w:t>
      </w:r>
      <w:r w:rsidRPr="00C2434C">
        <w:t>primary rates</w:t>
      </w:r>
      <w:r w:rsidRPr="00C2434C">
        <w:rPr>
          <w:b/>
          <w:bCs/>
        </w:rPr>
        <w:t xml:space="preserve">. </w:t>
      </w:r>
    </w:p>
    <w:p w14:paraId="444FF1D8" w14:textId="77777777" w:rsidR="004035D6" w:rsidRPr="00EB618A" w:rsidRDefault="004035D6" w:rsidP="00EB618A">
      <w:pPr>
        <w:pStyle w:val="Sub-heading"/>
      </w:pPr>
      <w:r w:rsidRPr="00EB618A">
        <w:t>SAB</w:t>
      </w:r>
    </w:p>
    <w:p w14:paraId="1BF3F342" w14:textId="205E2F64" w:rsidR="004035D6" w:rsidRPr="00C2434C" w:rsidRDefault="004035D6" w:rsidP="004035D6">
      <w:pPr>
        <w:pStyle w:val="BodyText"/>
      </w:pPr>
      <w:r w:rsidRPr="002F3C22">
        <w:t>Scheme Advisory Board</w:t>
      </w:r>
    </w:p>
    <w:p w14:paraId="49B73AEF" w14:textId="77777777" w:rsidR="00353606" w:rsidRPr="00EB618A" w:rsidRDefault="00353606" w:rsidP="00EB618A">
      <w:pPr>
        <w:pStyle w:val="Sub-heading"/>
      </w:pPr>
      <w:r w:rsidRPr="00EB618A">
        <w:t xml:space="preserve">Secondary rate of the employers’ contribution </w:t>
      </w:r>
    </w:p>
    <w:p w14:paraId="155CC80E" w14:textId="77777777" w:rsidR="00353606" w:rsidRPr="00353606" w:rsidRDefault="00353606" w:rsidP="00353606">
      <w:pPr>
        <w:pStyle w:val="BodyText"/>
      </w:pPr>
      <w:r w:rsidRPr="00353606">
        <w:t xml:space="preserve">The secondary rate is an adjustment to the primary rate to arrive at the rate each employer is required to pay. It may be expressed as a percentage adjustment to the primary rate, and/or a cash adjustment in each of the three years beginning with 1 April in the year following that in which the valuation date falls. The secondary rate is specified in the rates and adjustments certificate. For any employer, the rate they are required to pay is the sum of the primary and secondary rates. The actuary should also disclose the secondary rates for the whole scheme in each of the three years beginning with 1 April in the year following that in which the valuation date falls. These should be calculated as a weighted average based on the whole scheme payroll in respect of percentage rates and as a total amount in respect of cash adjustments. The purpose of this is to facilitate a single net rate of contributions expected to be received over each of the three years that can be readily compared with other rates and reconciled with actual receipts. </w:t>
      </w:r>
    </w:p>
    <w:p w14:paraId="237383C6" w14:textId="77777777" w:rsidR="00353606" w:rsidRPr="00EB618A" w:rsidRDefault="00353606" w:rsidP="00EB618A">
      <w:pPr>
        <w:pStyle w:val="Sub-heading"/>
      </w:pPr>
      <w:r w:rsidRPr="00EB618A">
        <w:t xml:space="preserve">Scheme Manager </w:t>
      </w:r>
    </w:p>
    <w:p w14:paraId="21930FBC" w14:textId="52845AD5" w:rsidR="00353606" w:rsidRPr="00353606" w:rsidRDefault="00353606" w:rsidP="00942900">
      <w:pPr>
        <w:pStyle w:val="BodyText"/>
        <w:keepNext/>
        <w:keepLines/>
      </w:pPr>
      <w:r w:rsidRPr="00353606">
        <w:lastRenderedPageBreak/>
        <w:t xml:space="preserve">A person or body responsible for managing or administering a pension scheme established under section 1 of the 2013 Act. In the case of the LGPS, each fund has a Scheme Manager which is the </w:t>
      </w:r>
      <w:r w:rsidR="000D7F93">
        <w:t>Administering Authority</w:t>
      </w:r>
      <w:r w:rsidRPr="00353606">
        <w:t xml:space="preserve">. </w:t>
      </w:r>
    </w:p>
    <w:p w14:paraId="21CF59BE" w14:textId="77777777" w:rsidR="00353606" w:rsidRPr="00EB618A" w:rsidRDefault="00353606" w:rsidP="00EB618A">
      <w:pPr>
        <w:pStyle w:val="Sub-heading"/>
      </w:pPr>
      <w:r w:rsidRPr="00EB618A">
        <w:t xml:space="preserve">Solvency </w:t>
      </w:r>
    </w:p>
    <w:p w14:paraId="29AE4A9C" w14:textId="2AB29B93" w:rsidR="00353606" w:rsidRDefault="00353606" w:rsidP="00942900">
      <w:pPr>
        <w:pStyle w:val="BodyText"/>
        <w:keepNext/>
        <w:keepLines/>
        <w:rPr>
          <w:lang w:bidi="en-US"/>
        </w:rPr>
      </w:pPr>
      <w:r w:rsidRPr="00353606">
        <w:rPr>
          <w:lang w:bidi="en-US"/>
        </w:rPr>
        <w:t>The notes to the Public Service Pensions Act 2013 state that solvency means that the rate of employer contributions should be set at “such level as to ensure that the scheme’s liabilities can be met as they arise”. It is not regarded that this means that the pension fund should be 100% funded at all times. Rather, and for the purposes of Section 13 of the Public Service.</w:t>
      </w:r>
    </w:p>
    <w:p w14:paraId="2092C74E" w14:textId="77777777" w:rsidR="00BF199E" w:rsidRDefault="00BF199E" w:rsidP="00942900">
      <w:pPr>
        <w:pStyle w:val="BodyText"/>
        <w:keepNext/>
        <w:keepLines/>
      </w:pPr>
      <w:r w:rsidRPr="00BF199E">
        <w:t xml:space="preserve">Pensions Act 2013, the rate of employer contributions shall be deemed to have been set at an appropriate level to ensure solvency if: </w:t>
      </w:r>
    </w:p>
    <w:p w14:paraId="76269DD5" w14:textId="77777777" w:rsidR="00BF199E" w:rsidRDefault="00BF199E" w:rsidP="00942900">
      <w:pPr>
        <w:pStyle w:val="List"/>
        <w:keepNext/>
        <w:keepLines/>
      </w:pPr>
      <w:r w:rsidRPr="00BF199E">
        <w:t xml:space="preserve">the rate of employer contributions is set to target a funding level for the whole fund (assets divided by liabilities) of 100% over an appropriate time period and using appropriate actuarial assumptions; and either </w:t>
      </w:r>
    </w:p>
    <w:p w14:paraId="287352DB" w14:textId="77777777" w:rsidR="00BF199E" w:rsidRDefault="00BF199E" w:rsidP="00942900">
      <w:pPr>
        <w:pStyle w:val="List"/>
        <w:keepNext/>
        <w:keepLines/>
      </w:pPr>
      <w:r w:rsidRPr="00BF199E">
        <w:t xml:space="preserve">employers collectively have the financial capacity to increase employer contributions, and/or the fund is able to realise contingent assets should future circumstances require, in order to continue to target a funding level of 100%; or </w:t>
      </w:r>
    </w:p>
    <w:p w14:paraId="6A3E1B87" w14:textId="033BCEA5" w:rsidR="00BF199E" w:rsidRPr="00BF199E" w:rsidRDefault="00BF199E" w:rsidP="00942900">
      <w:pPr>
        <w:pStyle w:val="List"/>
        <w:keepNext/>
        <w:keepLines/>
      </w:pPr>
      <w:r w:rsidRPr="00BF199E">
        <w:t xml:space="preserve">there is an appropriate plan in place should there be, or if there is expected in future to be, no or a limited number of fund employers, or a material reduction in the capacity of fund employers to increase contributions as might be needed. </w:t>
      </w:r>
    </w:p>
    <w:p w14:paraId="05930067" w14:textId="4A2A97C5" w:rsidR="00353606" w:rsidRDefault="00BF199E" w:rsidP="00942900">
      <w:pPr>
        <w:pStyle w:val="BodyText"/>
        <w:keepNext/>
        <w:keepLines/>
        <w:rPr>
          <w:lang w:bidi="en-US"/>
        </w:rPr>
      </w:pPr>
      <w:r w:rsidRPr="00BF199E">
        <w:rPr>
          <w:lang w:bidi="en-US"/>
        </w:rPr>
        <w:t>If the conditions above are met, then it is expected that the fund will be able to pay scheme benefits as they fall due.</w:t>
      </w:r>
    </w:p>
    <w:p w14:paraId="6C53469C" w14:textId="77777777" w:rsidR="00FA5C76" w:rsidRPr="00EB618A" w:rsidRDefault="00FA5C76" w:rsidP="00EB618A">
      <w:pPr>
        <w:pStyle w:val="Sub-heading"/>
      </w:pPr>
      <w:r w:rsidRPr="00EB618A">
        <w:t xml:space="preserve">Long-term cost efficiency </w:t>
      </w:r>
    </w:p>
    <w:p w14:paraId="51C8CB47" w14:textId="77777777" w:rsidR="00FA5C76" w:rsidRPr="00FA5C76" w:rsidRDefault="00FA5C76" w:rsidP="00FA5C76">
      <w:pPr>
        <w:pStyle w:val="BodyText"/>
      </w:pPr>
      <w:r w:rsidRPr="00FA5C76">
        <w:t xml:space="preserve">The notes to the Public Service Pensions Act 2013 state that Long-term cost-efficiency implies that the rate must not be set at a level that gives rise to additional costs. For example, deferring costs to the future would be likely to result in those costs being greater overall than if they were provided for at the time. </w:t>
      </w:r>
    </w:p>
    <w:p w14:paraId="1F2B3F55" w14:textId="77777777" w:rsidR="00FA5C76" w:rsidRPr="00FA5C76" w:rsidRDefault="00FA5C76" w:rsidP="00FA5C76">
      <w:pPr>
        <w:pStyle w:val="BodyText"/>
      </w:pPr>
      <w:r w:rsidRPr="00FA5C76">
        <w:t xml:space="preserve">The rate of employer contributions shall be deemed to have been set at an appropriate level to ensure long-term cost efficiency if the rate of employer contributions is sufficient to make provision for the cost of current benefit accrual, with an appropriate adjustment to that rate for any surplus or deficit in the fund. </w:t>
      </w:r>
    </w:p>
    <w:p w14:paraId="1C8A6FFD" w14:textId="77777777" w:rsidR="00FA5C76" w:rsidRDefault="00FA5C76" w:rsidP="00FA5C76">
      <w:pPr>
        <w:pStyle w:val="BodyText"/>
      </w:pPr>
      <w:r w:rsidRPr="00FA5C76">
        <w:t xml:space="preserve">In assessing whether the above condition is met, GAD may have regard to the following considerations: </w:t>
      </w:r>
    </w:p>
    <w:p w14:paraId="4C400744" w14:textId="77777777" w:rsidR="00FA5C76" w:rsidRDefault="00FA5C76" w:rsidP="00F317B3">
      <w:pPr>
        <w:pStyle w:val="List"/>
      </w:pPr>
      <w:r w:rsidRPr="00FA5C76">
        <w:t xml:space="preserve">the implied average deficit recovery period </w:t>
      </w:r>
    </w:p>
    <w:p w14:paraId="32DEC490" w14:textId="77777777" w:rsidR="00FA5C76" w:rsidRDefault="00FA5C76" w:rsidP="00F317B3">
      <w:pPr>
        <w:pStyle w:val="List"/>
      </w:pPr>
      <w:r w:rsidRPr="00FA5C76">
        <w:t xml:space="preserve">the investment return required to achieve full funding over different periods, e.g. the recovery period </w:t>
      </w:r>
    </w:p>
    <w:p w14:paraId="0B740EA9" w14:textId="77777777" w:rsidR="00FA5C76" w:rsidRDefault="00FA5C76" w:rsidP="00F317B3">
      <w:pPr>
        <w:pStyle w:val="List"/>
      </w:pPr>
      <w:r w:rsidRPr="00FA5C76">
        <w:t xml:space="preserve">if there is no deficit, the extent to which contributions payable are likely to lead to a deficit arising in the future </w:t>
      </w:r>
    </w:p>
    <w:p w14:paraId="45A6EA7B" w14:textId="45D6B24F" w:rsidR="00FA5C76" w:rsidRPr="00483F3D" w:rsidRDefault="00FA5C76" w:rsidP="00AD7B83">
      <w:pPr>
        <w:pStyle w:val="List"/>
      </w:pPr>
      <w:r w:rsidRPr="00FA5C76">
        <w:t xml:space="preserve">the extent to which the required investment return above is less than the </w:t>
      </w:r>
      <w:r w:rsidR="000D7F93">
        <w:t>Administering Authority</w:t>
      </w:r>
      <w:r w:rsidRPr="00FA5C76">
        <w:t xml:space="preserve">’s view of the expected future return being targeted by a fund’s investment strategy, taking into account changes in maturity/strategy as appropriate. </w:t>
      </w:r>
    </w:p>
    <w:sectPr w:rsidR="00FA5C76" w:rsidRPr="00483F3D" w:rsidSect="00965216">
      <w:pgSz w:w="11906" w:h="16838"/>
      <w:pgMar w:top="2268" w:right="1020" w:bottom="1440" w:left="10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66FA3" w14:textId="77777777" w:rsidR="00B64CB3" w:rsidRDefault="00B64CB3" w:rsidP="00615554">
      <w:r>
        <w:separator/>
      </w:r>
    </w:p>
  </w:endnote>
  <w:endnote w:type="continuationSeparator" w:id="0">
    <w:p w14:paraId="49BDF1A8" w14:textId="77777777" w:rsidR="00B64CB3" w:rsidRDefault="00B64CB3" w:rsidP="00615554">
      <w:r>
        <w:continuationSeparator/>
      </w:r>
    </w:p>
  </w:endnote>
  <w:endnote w:type="continuationNotice" w:id="1">
    <w:p w14:paraId="0CFA434D" w14:textId="77777777" w:rsidR="00B64CB3" w:rsidRDefault="00B64C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54799" w14:textId="77777777" w:rsidR="00AE5162" w:rsidRDefault="00AE5162" w:rsidP="00615554">
    <w:r w:rsidRPr="004F015E">
      <w:rPr>
        <w:noProof/>
        <w:color w:val="797979"/>
        <w:sz w:val="13"/>
        <w:szCs w:val="13"/>
        <w:lang w:val="en-GB" w:eastAsia="en-GB" w:bidi="ar-SA"/>
      </w:rPr>
      <mc:AlternateContent>
        <mc:Choice Requires="wps">
          <w:drawing>
            <wp:anchor distT="45720" distB="45720" distL="114300" distR="114300" simplePos="0" relativeHeight="251658241" behindDoc="0" locked="0" layoutInCell="1" allowOverlap="1" wp14:anchorId="056E7F03" wp14:editId="7B0B4D9C">
              <wp:simplePos x="0" y="0"/>
              <wp:positionH relativeFrom="margin">
                <wp:align>right</wp:align>
              </wp:positionH>
              <wp:positionV relativeFrom="paragraph">
                <wp:posOffset>5080</wp:posOffset>
              </wp:positionV>
              <wp:extent cx="3768090" cy="125095"/>
              <wp:effectExtent l="0" t="0" r="3810" b="8255"/>
              <wp:wrapSquare wrapText="bothSides"/>
              <wp:docPr id="2068486852" name="Text Box 20684868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8090" cy="125095"/>
                      </a:xfrm>
                      <a:prstGeom prst="rect">
                        <a:avLst/>
                      </a:prstGeom>
                      <a:solidFill>
                        <a:srgbClr val="FFFFFF"/>
                      </a:solidFill>
                      <a:ln w="9525">
                        <a:noFill/>
                        <a:miter lim="800000"/>
                        <a:headEnd/>
                        <a:tailEnd/>
                      </a:ln>
                    </wps:spPr>
                    <wps:txbx>
                      <w:txbxContent>
                        <w:p w14:paraId="3533DE2D" w14:textId="74C83687" w:rsidR="00AE5162" w:rsidRPr="00152D8D" w:rsidRDefault="00B64CB3" w:rsidP="00615554">
                          <w:pPr>
                            <w:jc w:val="right"/>
                            <w:rPr>
                              <w:rFonts w:cs="Segoe UI"/>
                              <w:sz w:val="12"/>
                              <w:szCs w:val="12"/>
                            </w:rPr>
                          </w:pPr>
                          <w:sdt>
                            <w:sdtPr>
                              <w:rPr>
                                <w:sz w:val="12"/>
                                <w:szCs w:val="12"/>
                              </w:rPr>
                              <w:alias w:val="Client Name"/>
                              <w:tag w:val="Client Name"/>
                              <w:id w:val="-945769927"/>
                              <w:text/>
                            </w:sdtPr>
                            <w:sdtEndPr/>
                            <w:sdtContent>
                              <w:r w:rsidR="004927CC" w:rsidRPr="004927CC">
                                <w:rPr>
                                  <w:sz w:val="12"/>
                                  <w:szCs w:val="12"/>
                                </w:rPr>
                                <w:t>London Borough of Barking and Dagenham Pension Fund</w:t>
                              </w:r>
                            </w:sdtContent>
                          </w:sdt>
                          <w:r w:rsidR="00AE5162" w:rsidRPr="002C1FBA">
                            <w:rPr>
                              <w:sz w:val="12"/>
                              <w:szCs w:val="12"/>
                            </w:rPr>
                            <w:t xml:space="preserve"> </w:t>
                          </w:r>
                          <w:r w:rsidR="00AE5162">
                            <w:rPr>
                              <w:sz w:val="12"/>
                              <w:szCs w:val="12"/>
                            </w:rPr>
                            <w:t xml:space="preserve"> </w:t>
                          </w:r>
                          <w:r w:rsidR="00AE5162" w:rsidRPr="002C1FBA">
                            <w:rPr>
                              <w:color w:val="009FE3"/>
                              <w:sz w:val="12"/>
                              <w:szCs w:val="12"/>
                            </w:rPr>
                            <w:t xml:space="preserve"> |   </w:t>
                          </w:r>
                          <w:sdt>
                            <w:sdtPr>
                              <w:rPr>
                                <w:sz w:val="12"/>
                                <w:szCs w:val="12"/>
                              </w:rPr>
                              <w:alias w:val="Title"/>
                              <w:tag w:val=""/>
                              <w:id w:val="-1546986087"/>
                              <w:dataBinding w:prefixMappings="xmlns:ns0='http://purl.org/dc/elements/1.1/' xmlns:ns1='http://schemas.openxmlformats.org/package/2006/metadata/core-properties' " w:xpath="/ns1:coreProperties[1]/ns0:title[1]" w:storeItemID="{6C3C8BC8-F283-45AE-878A-BAB7291924A1}"/>
                              <w:text/>
                            </w:sdtPr>
                            <w:sdtEndPr/>
                            <w:sdtContent>
                              <w:r w:rsidR="00AE5162" w:rsidRPr="00B87A52">
                                <w:rPr>
                                  <w:sz w:val="12"/>
                                  <w:szCs w:val="12"/>
                                </w:rPr>
                                <w:t xml:space="preserve">Funding </w:t>
                              </w:r>
                              <w:r w:rsidR="00E95EF8" w:rsidRPr="00B87A52">
                                <w:rPr>
                                  <w:sz w:val="12"/>
                                  <w:szCs w:val="12"/>
                                </w:rPr>
                                <w:t>Strategy</w:t>
                              </w:r>
                              <w:r w:rsidR="00AE5162" w:rsidRPr="00B87A52">
                                <w:rPr>
                                  <w:sz w:val="12"/>
                                  <w:szCs w:val="12"/>
                                </w:rPr>
                                <w:t xml:space="preserve"> Statement</w:t>
                              </w:r>
                            </w:sdtContent>
                          </w:sdt>
                          <w:r w:rsidR="00AE5162" w:rsidRPr="00B87A52">
                            <w:rPr>
                              <w:sz w:val="12"/>
                              <w:szCs w:val="12"/>
                            </w:rPr>
                            <w:t xml:space="preserve">   </w:t>
                          </w:r>
                          <w:r w:rsidR="00AE5162" w:rsidRPr="00361159">
                            <w:rPr>
                              <w:color w:val="009FE3"/>
                              <w:sz w:val="12"/>
                              <w:szCs w:val="12"/>
                            </w:rPr>
                            <w:t xml:space="preserve">| </w:t>
                          </w:r>
                          <w:r w:rsidR="00AE5162" w:rsidRPr="00361159">
                            <w:rPr>
                              <w:sz w:val="12"/>
                              <w:szCs w:val="12"/>
                            </w:rPr>
                            <w:t xml:space="preserve"> </w:t>
                          </w:r>
                          <w:r w:rsidR="00AE5162" w:rsidRPr="00361159">
                            <w:rPr>
                              <w:color w:val="797979"/>
                              <w:sz w:val="12"/>
                              <w:szCs w:val="12"/>
                            </w:rPr>
                            <w:t xml:space="preserve"> </w:t>
                          </w:r>
                          <w:sdt>
                            <w:sdtPr>
                              <w:rPr>
                                <w:sz w:val="12"/>
                                <w:szCs w:val="12"/>
                              </w:rPr>
                              <w:alias w:val="Publish Date"/>
                              <w:tag w:val=""/>
                              <w:id w:val="-1704245175"/>
                              <w:dataBinding w:prefixMappings="xmlns:ns0='http://schemas.microsoft.com/office/2006/coverPageProps' " w:xpath="/ns0:CoverPageProperties[1]/ns0:PublishDate[1]" w:storeItemID="{55AF091B-3C7A-41E3-B477-F2FDAA23CFDA}"/>
                              <w:date w:fullDate="2026-03-03T00:00:00Z">
                                <w:dateFormat w:val="d MMMM yyyy"/>
                                <w:lid w:val="en-GB"/>
                                <w:storeMappedDataAs w:val="dateTime"/>
                                <w:calendar w:val="gregorian"/>
                              </w:date>
                            </w:sdtPr>
                            <w:sdtEndPr/>
                            <w:sdtContent>
                              <w:r w:rsidR="00B6339F" w:rsidRPr="00BF7CF1">
                                <w:rPr>
                                  <w:sz w:val="12"/>
                                  <w:szCs w:val="12"/>
                                  <w:lang w:val="en-GB"/>
                                </w:rPr>
                                <w:t>3 March 2026</w:t>
                              </w:r>
                            </w:sdtContent>
                          </w:sdt>
                        </w:p>
                        <w:p w14:paraId="21DF36B2" w14:textId="77777777" w:rsidR="00AE5162" w:rsidRPr="002C1FBA" w:rsidRDefault="00AE5162" w:rsidP="00615554">
                          <w:pPr>
                            <w:jc w:val="right"/>
                            <w:rPr>
                              <w:rFonts w:cs="Segoe UI"/>
                              <w:color w:val="797979"/>
                              <w:sz w:val="12"/>
                              <w:szCs w:val="12"/>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6E7F03" id="_x0000_t202" coordsize="21600,21600" o:spt="202" path="m,l,21600r21600,l21600,xe">
              <v:stroke joinstyle="miter"/>
              <v:path gradientshapeok="t" o:connecttype="rect"/>
            </v:shapetype>
            <v:shape id="Text Box 2068486852" o:spid="_x0000_s1026" type="#_x0000_t202" style="position:absolute;margin-left:245.5pt;margin-top:.4pt;width:296.7pt;height:9.85pt;z-index:25165824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sXWAwIAAOYDAAAOAAAAZHJzL2Uyb0RvYy54bWysU9uO0zAQfUfiHyy/06RFXdqo6WrpUoS0&#10;LEgLH+A4TmPheMzYbVK+nrGTdrm8Ifxgje2ZMzNnjje3Q2fYSaHXYEs+n+WcKSuh1vZQ8q9f9q9W&#10;nPkgbC0MWFXys/L8dvvyxaZ3hVpAC6ZWyAjE+qJ3JW9DcEWWedmqTvgZOGXpsQHsRKAjHrIaRU/o&#10;nckWeX6T9YC1Q5DKe7q9Hx/5NuE3jZLhU9N4FZgpOdUW0o5pr+KebTeiOKBwrZZTGeIfquiEtpT0&#10;CnUvgmBH1H9BdVoieGjCTEKXQdNoqVIP1M08/6Obp1Y4lXohcry70uT/H6x8PD25z8jC8BYGGmBq&#10;wrsHkN88s7BrhT2oO0ToWyVqSjyPlGW988UUGqn2hY8gVf8RahqyOAZIQEODXWSF+mSETgM4X0lX&#10;Q2CSLl+/uVnla3qS9DZfLPP1MqUQxSXaoQ/vFXQsGiVHGmpCF6cHH2I1ori4xGQejK732ph0wEO1&#10;M8hOggSwT2tC/83NWNaXfL1cLBOyhRiftNHpQAI1uiv5Ko9rlExk452tk0sQ2ow2VWLsRE9kZOQm&#10;DNVAjpGmCuozEYUwCpE+Dhkt4A/OehJhyf33o0DFmflgieyo2IuBF6O6GMJKCi154Gw0dyEpO/Zt&#10;4Y6G0OjEz3PmqTYSU6JtEn5U66/n5PX8Pbc/AQAA//8DAFBLAwQUAAYACAAAACEAHt7cHdsAAAAE&#10;AQAADwAAAGRycy9kb3ducmV2LnhtbEzPwU7DMAwG4DsS7xAZiQtiKYVNUOpOsMFtHDamnb0mtBWN&#10;UzXp2r095gRH67d+f86Xk2vVyfah8YxwN0tAWS69abhC2H++3z6CCpHYUOvZIpxtgGVxeZFTZvzI&#10;W3vaxUpJCYeMEOoYu0zrUNbWUZj5zrJkX753FGXsK216GqXctTpNkoV21LBcqKmzq9qW37vBISzW&#10;/TBueXWz3r9t6KOr0sPr+YB4fTW9PIOKdop/y/DLFzoUYjr6gU1QLYI8EhFEL9n86f4B1BEhTeag&#10;i1z/xxc/AAAA//8DAFBLAQItABQABgAIAAAAIQC2gziS/gAAAOEBAAATAAAAAAAAAAAAAAAAAAAA&#10;AABbQ29udGVudF9UeXBlc10ueG1sUEsBAi0AFAAGAAgAAAAhADj9If/WAAAAlAEAAAsAAAAAAAAA&#10;AAAAAAAALwEAAF9yZWxzLy5yZWxzUEsBAi0AFAAGAAgAAAAhADGaxdYDAgAA5gMAAA4AAAAAAAAA&#10;AAAAAAAALgIAAGRycy9lMm9Eb2MueG1sUEsBAi0AFAAGAAgAAAAhAB7e3B3bAAAABAEAAA8AAAAA&#10;AAAAAAAAAAAAXQQAAGRycy9kb3ducmV2LnhtbFBLBQYAAAAABAAEAPMAAABlBQAAAAA=&#10;" stroked="f">
              <v:textbox inset="0,0,0,0">
                <w:txbxContent>
                  <w:p w14:paraId="3533DE2D" w14:textId="74C83687" w:rsidR="00AE5162" w:rsidRPr="00152D8D" w:rsidRDefault="00F15EE0" w:rsidP="00615554">
                    <w:pPr>
                      <w:jc w:val="right"/>
                      <w:rPr>
                        <w:rFonts w:cs="Segoe UI"/>
                        <w:sz w:val="12"/>
                        <w:szCs w:val="12"/>
                      </w:rPr>
                    </w:pPr>
                    <w:sdt>
                      <w:sdtPr>
                        <w:rPr>
                          <w:sz w:val="12"/>
                          <w:szCs w:val="12"/>
                        </w:rPr>
                        <w:alias w:val="Client Name"/>
                        <w:tag w:val="Client Name"/>
                        <w:id w:val="-945769927"/>
                        <w:text/>
                      </w:sdtPr>
                      <w:sdtEndPr/>
                      <w:sdtContent>
                        <w:r w:rsidR="004927CC" w:rsidRPr="004927CC">
                          <w:rPr>
                            <w:sz w:val="12"/>
                            <w:szCs w:val="12"/>
                          </w:rPr>
                          <w:t>London Borough of Barking and Dagenham Pension Fund</w:t>
                        </w:r>
                      </w:sdtContent>
                    </w:sdt>
                    <w:r w:rsidR="00AE5162" w:rsidRPr="002C1FBA">
                      <w:rPr>
                        <w:sz w:val="12"/>
                        <w:szCs w:val="12"/>
                      </w:rPr>
                      <w:t xml:space="preserve"> </w:t>
                    </w:r>
                    <w:r w:rsidR="00AE5162">
                      <w:rPr>
                        <w:sz w:val="12"/>
                        <w:szCs w:val="12"/>
                      </w:rPr>
                      <w:t xml:space="preserve"> </w:t>
                    </w:r>
                    <w:r w:rsidR="00AE5162" w:rsidRPr="002C1FBA">
                      <w:rPr>
                        <w:color w:val="009FE3"/>
                        <w:sz w:val="12"/>
                        <w:szCs w:val="12"/>
                      </w:rPr>
                      <w:t xml:space="preserve"> |   </w:t>
                    </w:r>
                    <w:sdt>
                      <w:sdtPr>
                        <w:rPr>
                          <w:sz w:val="12"/>
                          <w:szCs w:val="12"/>
                        </w:rPr>
                        <w:alias w:val="Title"/>
                        <w:tag w:val=""/>
                        <w:id w:val="-1546986087"/>
                        <w:dataBinding w:prefixMappings="xmlns:ns0='http://purl.org/dc/elements/1.1/' xmlns:ns1='http://schemas.openxmlformats.org/package/2006/metadata/core-properties' " w:xpath="/ns1:coreProperties[1]/ns0:title[1]" w:storeItemID="{6C3C8BC8-F283-45AE-878A-BAB7291924A1}"/>
                        <w:text/>
                      </w:sdtPr>
                      <w:sdtEndPr/>
                      <w:sdtContent>
                        <w:r w:rsidR="00AE5162" w:rsidRPr="00B87A52">
                          <w:rPr>
                            <w:sz w:val="12"/>
                            <w:szCs w:val="12"/>
                          </w:rPr>
                          <w:t xml:space="preserve">Funding </w:t>
                        </w:r>
                        <w:r w:rsidR="00E95EF8" w:rsidRPr="00B87A52">
                          <w:rPr>
                            <w:sz w:val="12"/>
                            <w:szCs w:val="12"/>
                          </w:rPr>
                          <w:t>Strategy</w:t>
                        </w:r>
                        <w:r w:rsidR="00AE5162" w:rsidRPr="00B87A52">
                          <w:rPr>
                            <w:sz w:val="12"/>
                            <w:szCs w:val="12"/>
                          </w:rPr>
                          <w:t xml:space="preserve"> Statement</w:t>
                        </w:r>
                      </w:sdtContent>
                    </w:sdt>
                    <w:r w:rsidR="00AE5162" w:rsidRPr="00B87A52">
                      <w:rPr>
                        <w:sz w:val="12"/>
                        <w:szCs w:val="12"/>
                      </w:rPr>
                      <w:t xml:space="preserve">   </w:t>
                    </w:r>
                    <w:r w:rsidR="00AE5162" w:rsidRPr="00361159">
                      <w:rPr>
                        <w:color w:val="009FE3"/>
                        <w:sz w:val="12"/>
                        <w:szCs w:val="12"/>
                      </w:rPr>
                      <w:t xml:space="preserve">| </w:t>
                    </w:r>
                    <w:r w:rsidR="00AE5162" w:rsidRPr="00361159">
                      <w:rPr>
                        <w:sz w:val="12"/>
                        <w:szCs w:val="12"/>
                      </w:rPr>
                      <w:t xml:space="preserve"> </w:t>
                    </w:r>
                    <w:r w:rsidR="00AE5162" w:rsidRPr="00361159">
                      <w:rPr>
                        <w:color w:val="797979"/>
                        <w:sz w:val="12"/>
                        <w:szCs w:val="12"/>
                      </w:rPr>
                      <w:t xml:space="preserve"> </w:t>
                    </w:r>
                    <w:sdt>
                      <w:sdtPr>
                        <w:rPr>
                          <w:sz w:val="12"/>
                          <w:szCs w:val="12"/>
                        </w:rPr>
                        <w:alias w:val="Publish Date"/>
                        <w:tag w:val=""/>
                        <w:id w:val="-1704245175"/>
                        <w:dataBinding w:prefixMappings="xmlns:ns0='http://schemas.microsoft.com/office/2006/coverPageProps' " w:xpath="/ns0:CoverPageProperties[1]/ns0:PublishDate[1]" w:storeItemID="{55AF091B-3C7A-41E3-B477-F2FDAA23CFDA}"/>
                        <w:date w:fullDate="2026-03-03T00:00:00Z">
                          <w:dateFormat w:val="d MMMM yyyy"/>
                          <w:lid w:val="en-GB"/>
                          <w:storeMappedDataAs w:val="dateTime"/>
                          <w:calendar w:val="gregorian"/>
                        </w:date>
                      </w:sdtPr>
                      <w:sdtEndPr/>
                      <w:sdtContent>
                        <w:r w:rsidR="00B6339F" w:rsidRPr="00BF7CF1">
                          <w:rPr>
                            <w:sz w:val="12"/>
                            <w:szCs w:val="12"/>
                            <w:lang w:val="en-GB"/>
                          </w:rPr>
                          <w:t>3 March 2026</w:t>
                        </w:r>
                      </w:sdtContent>
                    </w:sdt>
                  </w:p>
                  <w:p w14:paraId="21DF36B2" w14:textId="77777777" w:rsidR="00AE5162" w:rsidRPr="002C1FBA" w:rsidRDefault="00AE5162" w:rsidP="00615554">
                    <w:pPr>
                      <w:jc w:val="right"/>
                      <w:rPr>
                        <w:rFonts w:cs="Segoe UI"/>
                        <w:color w:val="797979"/>
                        <w:sz w:val="12"/>
                        <w:szCs w:val="12"/>
                      </w:rPr>
                    </w:pPr>
                  </w:p>
                </w:txbxContent>
              </v:textbox>
              <w10:wrap type="square" anchorx="margin"/>
            </v:shape>
          </w:pict>
        </mc:Fallback>
      </mc:AlternateContent>
    </w:r>
  </w:p>
  <w:p w14:paraId="1A889951" w14:textId="77777777" w:rsidR="00AE5162" w:rsidRPr="00615554" w:rsidRDefault="00AE5162">
    <w:pPr>
      <w:pStyle w:val="Footer"/>
      <w:rPr>
        <w:sz w:val="13"/>
        <w:szCs w:val="13"/>
      </w:rPr>
    </w:pPr>
    <w:r w:rsidRPr="004F015E">
      <w:rPr>
        <w:noProof/>
        <w:color w:val="797979"/>
        <w:sz w:val="13"/>
        <w:szCs w:val="13"/>
        <w:lang w:val="en-GB" w:eastAsia="en-GB" w:bidi="ar-SA"/>
      </w:rPr>
      <mc:AlternateContent>
        <mc:Choice Requires="wps">
          <w:drawing>
            <wp:anchor distT="45720" distB="45720" distL="114300" distR="114300" simplePos="0" relativeHeight="251658242" behindDoc="0" locked="0" layoutInCell="1" allowOverlap="1" wp14:anchorId="7BAD4A5C" wp14:editId="420AB2D1">
              <wp:simplePos x="0" y="0"/>
              <wp:positionH relativeFrom="margin">
                <wp:align>right</wp:align>
              </wp:positionH>
              <wp:positionV relativeFrom="paragraph">
                <wp:posOffset>-15240</wp:posOffset>
              </wp:positionV>
              <wp:extent cx="3768090" cy="1404620"/>
              <wp:effectExtent l="0" t="0" r="3810" b="3810"/>
              <wp:wrapSquare wrapText="bothSides"/>
              <wp:docPr id="730571777" name="Text Box 7305717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8090" cy="1404620"/>
                      </a:xfrm>
                      <a:prstGeom prst="rect">
                        <a:avLst/>
                      </a:prstGeom>
                      <a:solidFill>
                        <a:srgbClr val="FFFFFF"/>
                      </a:solidFill>
                      <a:ln w="9525">
                        <a:noFill/>
                        <a:miter lim="800000"/>
                        <a:headEnd/>
                        <a:tailEnd/>
                      </a:ln>
                    </wps:spPr>
                    <wps:txbx>
                      <w:txbxContent>
                        <w:p w14:paraId="01547380" w14:textId="77777777" w:rsidR="00AE5162" w:rsidRPr="00152D8D" w:rsidRDefault="00AE5162" w:rsidP="00615554">
                          <w:pPr>
                            <w:jc w:val="right"/>
                            <w:rPr>
                              <w:rFonts w:cs="Segoe UI"/>
                              <w:sz w:val="12"/>
                              <w:szCs w:val="12"/>
                            </w:rPr>
                          </w:pPr>
                          <w:r w:rsidRPr="00152D8D">
                            <w:rPr>
                              <w:sz w:val="12"/>
                              <w:szCs w:val="12"/>
                            </w:rPr>
                            <w:fldChar w:fldCharType="begin"/>
                          </w:r>
                          <w:r w:rsidRPr="00152D8D">
                            <w:rPr>
                              <w:sz w:val="12"/>
                              <w:szCs w:val="12"/>
                            </w:rPr>
                            <w:instrText xml:space="preserve"> PAGE   \* MERGEFORMAT </w:instrText>
                          </w:r>
                          <w:r w:rsidRPr="00152D8D">
                            <w:rPr>
                              <w:sz w:val="12"/>
                              <w:szCs w:val="12"/>
                            </w:rPr>
                            <w:fldChar w:fldCharType="separate"/>
                          </w:r>
                          <w:r>
                            <w:rPr>
                              <w:noProof/>
                              <w:sz w:val="12"/>
                              <w:szCs w:val="12"/>
                            </w:rPr>
                            <w:t>2</w:t>
                          </w:r>
                          <w:r w:rsidRPr="00152D8D">
                            <w:rPr>
                              <w:noProof/>
                              <w:sz w:val="12"/>
                              <w:szCs w:val="12"/>
                            </w:rPr>
                            <w:fldChar w:fldCharType="end"/>
                          </w:r>
                          <w:r w:rsidRPr="00152D8D">
                            <w:rPr>
                              <w:noProof/>
                              <w:sz w:val="12"/>
                              <w:szCs w:val="12"/>
                            </w:rPr>
                            <w:t xml:space="preserve"> of </w:t>
                          </w:r>
                          <w:r w:rsidRPr="00152D8D">
                            <w:rPr>
                              <w:noProof/>
                              <w:sz w:val="12"/>
                              <w:szCs w:val="12"/>
                            </w:rPr>
                            <w:fldChar w:fldCharType="begin"/>
                          </w:r>
                          <w:r w:rsidRPr="00152D8D">
                            <w:rPr>
                              <w:noProof/>
                              <w:sz w:val="12"/>
                              <w:szCs w:val="12"/>
                            </w:rPr>
                            <w:instrText xml:space="preserve"> NUMPAGES   \* MERGEFORMAT </w:instrText>
                          </w:r>
                          <w:r w:rsidRPr="00152D8D">
                            <w:rPr>
                              <w:noProof/>
                              <w:sz w:val="12"/>
                              <w:szCs w:val="12"/>
                            </w:rPr>
                            <w:fldChar w:fldCharType="separate"/>
                          </w:r>
                          <w:r>
                            <w:rPr>
                              <w:noProof/>
                              <w:sz w:val="12"/>
                              <w:szCs w:val="12"/>
                            </w:rPr>
                            <w:t>3</w:t>
                          </w:r>
                          <w:r w:rsidRPr="00152D8D">
                            <w:rPr>
                              <w:noProof/>
                              <w:sz w:val="12"/>
                              <w:szCs w:val="12"/>
                            </w:rPr>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BAD4A5C" id="Text Box 730571777" o:spid="_x0000_s1027" type="#_x0000_t202" style="position:absolute;margin-left:245.5pt;margin-top:-1.2pt;width:296.7pt;height:110.6pt;z-index:25165824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TYnBwIAAO4DAAAOAAAAZHJzL2Uyb0RvYy54bWysU9tu2zAMfR+wfxD0vtjJ2iw14hRdugwD&#10;ugvQ7QNkWY6FyaJGKbGzry8lO+nQvQ3Tg0CJ4iF5eLS+HTrDjgq9Blvy+SznTFkJtbb7kv/4vnuz&#10;4swHYWthwKqSn5Tnt5vXr9a9K9QCWjC1QkYg1he9K3kbgiuyzMtWdcLPwClLzgawE4GOuM9qFD2h&#10;dyZb5Pky6wFrhyCV93R7Pzr5JuE3jZLha9N4FZgpOdUW0o5pr+Kebdai2KNwrZZTGeIfquiEtpT0&#10;AnUvgmAH1H9BdVoieGjCTEKXQdNoqVIP1M08f9HNYyucSr0QOd5daPL/D1Z+OT66b8jC8B4GGmBq&#10;wrsHkD89s7Bthd2rO0ToWyVqSjyPlGW988UUGqn2hY8gVf8ZahqyOARIQEODXWSF+mSETgM4XUhX&#10;Q2CSLt++W67yG3JJ8s2v8qvlIo0lE8U53KEPHxV0LBolR5pqghfHBx9iOaI4P4nZPBhd77Qx6YD7&#10;amuQHQUpYJdW6uDFM2NZX/Kb68V1QrYQ45M4Oh1IoUZ3JV/lcY2aiXR8sHV6EoQ2o02VGDvxEykZ&#10;yQlDNTBdT+RFuiqoT0QYwihI+kBktIC/OetJjCX3vw4CFWfmkyXSo3LPBp6N6mwIKym05IGz0dyG&#10;pPDUvrujYex0ouk581QiiSqxN32AqNo/z+nV8zfdPAEAAP//AwBQSwMEFAAGAAgAAAAhAHH2Nc7e&#10;AAAABwEAAA8AAABkcnMvZG93bnJldi54bWxMj81OwzAQhO9IvIO1SNxaJ+FHacimKkggjlCK1KMb&#10;b+Oo8TrEbhr69JgT3HY0o5lvy+VkOzHS4FvHCOk8AUFcO91yg7D5eJ7lIHxQrFXnmBC+ycOyurwo&#10;VaHdid9pXIdGxBL2hUIwIfSFlL42ZJWfu544ens3WBWiHBqpB3WK5baTWZLcS6tajgtG9fRkqD6s&#10;jxZh8Tp+mu5x6zTnJl1tX85fb5sz4vXVtHoAEWgKf2H4xY/oUEWmnTuy9qJDiI8EhFl2CyK6d4ub&#10;eOwQsjTPQVal/M9f/QAAAP//AwBQSwECLQAUAAYACAAAACEAtoM4kv4AAADhAQAAEwAAAAAAAAAA&#10;AAAAAAAAAAAAW0NvbnRlbnRfVHlwZXNdLnhtbFBLAQItABQABgAIAAAAIQA4/SH/1gAAAJQBAAAL&#10;AAAAAAAAAAAAAAAAAC8BAABfcmVscy8ucmVsc1BLAQItABQABgAIAAAAIQBcQTYnBwIAAO4DAAAO&#10;AAAAAAAAAAAAAAAAAC4CAABkcnMvZTJvRG9jLnhtbFBLAQItABQABgAIAAAAIQBx9jXO3gAAAAcB&#10;AAAPAAAAAAAAAAAAAAAAAGEEAABkcnMvZG93bnJldi54bWxQSwUGAAAAAAQABADzAAAAbAUAAAAA&#10;" stroked="f">
              <v:textbox style="mso-fit-shape-to-text:t" inset="0,0,0,0">
                <w:txbxContent>
                  <w:p w14:paraId="01547380" w14:textId="77777777" w:rsidR="00AE5162" w:rsidRPr="00152D8D" w:rsidRDefault="00AE5162" w:rsidP="00615554">
                    <w:pPr>
                      <w:jc w:val="right"/>
                      <w:rPr>
                        <w:rFonts w:cs="Segoe UI"/>
                        <w:sz w:val="12"/>
                        <w:szCs w:val="12"/>
                      </w:rPr>
                    </w:pPr>
                    <w:r w:rsidRPr="00152D8D">
                      <w:rPr>
                        <w:sz w:val="12"/>
                        <w:szCs w:val="12"/>
                      </w:rPr>
                      <w:fldChar w:fldCharType="begin"/>
                    </w:r>
                    <w:r w:rsidRPr="00152D8D">
                      <w:rPr>
                        <w:sz w:val="12"/>
                        <w:szCs w:val="12"/>
                      </w:rPr>
                      <w:instrText xml:space="preserve"> PAGE   \* MERGEFORMAT </w:instrText>
                    </w:r>
                    <w:r w:rsidRPr="00152D8D">
                      <w:rPr>
                        <w:sz w:val="12"/>
                        <w:szCs w:val="12"/>
                      </w:rPr>
                      <w:fldChar w:fldCharType="separate"/>
                    </w:r>
                    <w:r>
                      <w:rPr>
                        <w:noProof/>
                        <w:sz w:val="12"/>
                        <w:szCs w:val="12"/>
                      </w:rPr>
                      <w:t>2</w:t>
                    </w:r>
                    <w:r w:rsidRPr="00152D8D">
                      <w:rPr>
                        <w:noProof/>
                        <w:sz w:val="12"/>
                        <w:szCs w:val="12"/>
                      </w:rPr>
                      <w:fldChar w:fldCharType="end"/>
                    </w:r>
                    <w:r w:rsidRPr="00152D8D">
                      <w:rPr>
                        <w:noProof/>
                        <w:sz w:val="12"/>
                        <w:szCs w:val="12"/>
                      </w:rPr>
                      <w:t xml:space="preserve"> of </w:t>
                    </w:r>
                    <w:r w:rsidRPr="00152D8D">
                      <w:rPr>
                        <w:noProof/>
                        <w:sz w:val="12"/>
                        <w:szCs w:val="12"/>
                      </w:rPr>
                      <w:fldChar w:fldCharType="begin"/>
                    </w:r>
                    <w:r w:rsidRPr="00152D8D">
                      <w:rPr>
                        <w:noProof/>
                        <w:sz w:val="12"/>
                        <w:szCs w:val="12"/>
                      </w:rPr>
                      <w:instrText xml:space="preserve"> NUMPAGES   \* MERGEFORMAT </w:instrText>
                    </w:r>
                    <w:r w:rsidRPr="00152D8D">
                      <w:rPr>
                        <w:noProof/>
                        <w:sz w:val="12"/>
                        <w:szCs w:val="12"/>
                      </w:rPr>
                      <w:fldChar w:fldCharType="separate"/>
                    </w:r>
                    <w:r>
                      <w:rPr>
                        <w:noProof/>
                        <w:sz w:val="12"/>
                        <w:szCs w:val="12"/>
                      </w:rPr>
                      <w:t>3</w:t>
                    </w:r>
                    <w:r w:rsidRPr="00152D8D">
                      <w:rPr>
                        <w:noProof/>
                        <w:sz w:val="12"/>
                        <w:szCs w:val="12"/>
                      </w:rPr>
                      <w:fldChar w:fldCharType="end"/>
                    </w:r>
                  </w:p>
                </w:txbxContent>
              </v:textbox>
              <w10:wrap type="square" anchorx="margin"/>
            </v:shape>
          </w:pict>
        </mc:Fallback>
      </mc:AlternateContent>
    </w:r>
    <w:r w:rsidRPr="004F015E">
      <w:rPr>
        <w:noProof/>
        <w:color w:val="797979"/>
        <w:sz w:val="13"/>
        <w:szCs w:val="13"/>
        <w:lang w:val="en-GB" w:eastAsia="en-GB" w:bidi="ar-SA"/>
      </w:rPr>
      <mc:AlternateContent>
        <mc:Choice Requires="wps">
          <w:drawing>
            <wp:anchor distT="45720" distB="45720" distL="114300" distR="114300" simplePos="0" relativeHeight="251658240" behindDoc="0" locked="0" layoutInCell="1" allowOverlap="1" wp14:anchorId="2F7ADE75" wp14:editId="17B502E0">
              <wp:simplePos x="0" y="0"/>
              <wp:positionH relativeFrom="margin">
                <wp:posOffset>2540</wp:posOffset>
              </wp:positionH>
              <wp:positionV relativeFrom="paragraph">
                <wp:posOffset>-163195</wp:posOffset>
              </wp:positionV>
              <wp:extent cx="930909" cy="181609"/>
              <wp:effectExtent l="0" t="0" r="3175" b="3810"/>
              <wp:wrapSquare wrapText="bothSides"/>
              <wp:docPr id="2046117585" name="Text Box 20461175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909" cy="181609"/>
                      </a:xfrm>
                      <a:prstGeom prst="rect">
                        <a:avLst/>
                      </a:prstGeom>
                      <a:solidFill>
                        <a:srgbClr val="FFFFFF"/>
                      </a:solidFill>
                      <a:ln w="9525">
                        <a:noFill/>
                        <a:miter lim="800000"/>
                        <a:headEnd/>
                        <a:tailEnd/>
                      </a:ln>
                    </wps:spPr>
                    <wps:txbx>
                      <w:txbxContent>
                        <w:p w14:paraId="60C742FC" w14:textId="77777777" w:rsidR="00AE5162" w:rsidRPr="002C1FBA" w:rsidRDefault="00AE5162" w:rsidP="00615554">
                          <w:pPr>
                            <w:rPr>
                              <w:rFonts w:cs="Segoe UI"/>
                              <w:color w:val="797979"/>
                              <w:sz w:val="12"/>
                              <w:szCs w:val="12"/>
                            </w:rPr>
                          </w:pPr>
                          <w:r>
                            <w:rPr>
                              <w:rFonts w:cs="Segoe UI"/>
                              <w:color w:val="797979"/>
                              <w:sz w:val="12"/>
                              <w:szCs w:val="12"/>
                            </w:rPr>
                            <w:t>Version 1</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7ADE75" id="Text Box 2046117585" o:spid="_x0000_s1028" type="#_x0000_t202" style="position:absolute;margin-left:.2pt;margin-top:-12.85pt;width:73.3pt;height:14.3pt;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DBAIAAOwDAAAOAAAAZHJzL2Uyb0RvYy54bWysU9uO2yAQfa/Uf0C8N3ZS7Sqx4qy22aaq&#10;tL1I234AxjhGxQwdSOz06ztgO9vLW1Ue0AAzZ2bOHLZ3Q2fYWaHXYEu+XOScKSuh1vZY8q9fDq/W&#10;nPkgbC0MWFXyi/L8bvfyxbZ3hVpBC6ZWyAjE+qJ3JW9DcEWWedmqTvgFOGXpsQHsRKAjHrMaRU/o&#10;nclWeX6b9YC1Q5DKe7p9GB/5LuE3jZLhU9N4FZgpOdUW0o5pr+Ke7baiOKJwrZZTGeIfquiEtpT0&#10;CvUggmAn1H9BdVoieGjCQkKXQdNoqVIP1M0y/6Obp1Y4lXohcry70uT/H6z8eH5yn5GF4Q0MNMDU&#10;hHePIL95ZmHfCntU94jQt0rUlHgZKct654spNFLtCx9Bqv4D1DRkcQqQgIYGu8gK9ckInQZwuZKu&#10;hsAkXW5e55t8w5mkp+V6eUt2zCCKOdihD+8UdCwaJUeaaQIX50cfRtfZJebyYHR90MakAx6rvUF2&#10;FjT/Q1oT+m9uxrKeKrlZ3SRkCzE+SaPTgfRpdFfydR7XqJhIxltbJ5cgtBltKtrYiZ1IyEhNGKqB&#10;6brkqxgbyaqgvhBdCKMc6fuQ0QL+4KwnKZbcfz8JVJyZ95Yoj7qdDZyNajaElRRa8sDZaO5D0ndq&#10;393TKA460fSceSqRJJWInuQfNfvrOXk9f9LdTwAAAP//AwBQSwMEFAAGAAgAAAAhAFuJQhXcAAAA&#10;BgEAAA8AAABkcnMvZG93bnJldi54bWxMj0FPwkAUhO8m/ofNM/EGWxoUKH0laKLxKIgJx6X76DZ2&#10;39buUiq/3uWkx8lMZr7JV4NtRE+drx0jTMYJCOLS6ZorhN3Hy2gOwgfFWjWOCeGHPKyK25tcZdqd&#10;eUP9NlQilrDPFIIJoc2k9KUhq/zYtcTRO7rOqhBlV0ndqXMst41Mk+RRWlVzXDCqpWdD5df2ZBEW&#10;b/2naZ72TvPcTNb718v3++6CeH83rJcgAg3hLwxX/IgORWQ6uBNrLxqEacwhjNKHGYirPZ3FaweE&#10;dAGyyOV//OIXAAD//wMAUEsBAi0AFAAGAAgAAAAhALaDOJL+AAAA4QEAABMAAAAAAAAAAAAAAAAA&#10;AAAAAFtDb250ZW50X1R5cGVzXS54bWxQSwECLQAUAAYACAAAACEAOP0h/9YAAACUAQAACwAAAAAA&#10;AAAAAAAAAAAvAQAAX3JlbHMvLnJlbHNQSwECLQAUAAYACAAAACEAvzj/wwQCAADsAwAADgAAAAAA&#10;AAAAAAAAAAAuAgAAZHJzL2Uyb0RvYy54bWxQSwECLQAUAAYACAAAACEAW4lCFdwAAAAGAQAADwAA&#10;AAAAAAAAAAAAAABeBAAAZHJzL2Rvd25yZXYueG1sUEsFBgAAAAAEAAQA8wAAAGcFAAAAAA==&#10;" stroked="f">
              <v:textbox style="mso-fit-shape-to-text:t" inset="0,0,0,0">
                <w:txbxContent>
                  <w:p w14:paraId="60C742FC" w14:textId="77777777" w:rsidR="00AE5162" w:rsidRPr="002C1FBA" w:rsidRDefault="00AE5162" w:rsidP="00615554">
                    <w:pPr>
                      <w:rPr>
                        <w:rFonts w:cs="Segoe UI"/>
                        <w:color w:val="797979"/>
                        <w:sz w:val="12"/>
                        <w:szCs w:val="12"/>
                      </w:rPr>
                    </w:pPr>
                    <w:r>
                      <w:rPr>
                        <w:rFonts w:cs="Segoe UI"/>
                        <w:color w:val="797979"/>
                        <w:sz w:val="12"/>
                        <w:szCs w:val="12"/>
                      </w:rPr>
                      <w:t>Version 1</w:t>
                    </w:r>
                  </w:p>
                </w:txbxContent>
              </v:textbox>
              <w10:wrap type="square" anchorx="margin"/>
            </v:shape>
          </w:pict>
        </mc:Fallback>
      </mc:AlternateContent>
    </w:r>
    <w:sdt>
      <w:sdtPr>
        <w:rPr>
          <w:color w:val="797979"/>
          <w:sz w:val="12"/>
          <w:szCs w:val="12"/>
        </w:rPr>
        <w:alias w:val="Document classification"/>
        <w:tag w:val="Document classification"/>
        <w:id w:val="452296003"/>
        <w:dropDownList>
          <w:listItem w:displayText="CONFIDENTIAL" w:value="CONFIDENTIAL"/>
          <w:listItem w:displayText="RESTRICTED" w:value="RESTRICTED"/>
          <w:listItem w:displayText="PUBLIC" w:value="PUBLIC"/>
          <w:listItem w:value="BLANK"/>
        </w:dropDownList>
      </w:sdtPr>
      <w:sdtEndPr/>
      <w:sdtContent>
        <w:r>
          <w:rPr>
            <w:color w:val="797979"/>
            <w:sz w:val="12"/>
            <w:szCs w:val="12"/>
          </w:rPr>
          <w:t>PUBLIC</w:t>
        </w:r>
      </w:sdtContent>
    </w:sdt>
    <w:r>
      <w:rPr>
        <w:color w:val="797979"/>
        <w:sz w:val="12"/>
        <w:szCs w:val="12"/>
      </w:rPr>
      <w:t xml:space="preserve">                                                                                                                                                                                                                                                                </w:t>
    </w:r>
    <w:r w:rsidRPr="004F015E">
      <w:rPr>
        <w:noProof/>
        <w:sz w:val="13"/>
        <w:szCs w:val="13"/>
        <w:lang w:eastAsia="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64645" w14:textId="77777777" w:rsidR="00B64CB3" w:rsidRDefault="00B64CB3" w:rsidP="00615554">
      <w:r>
        <w:separator/>
      </w:r>
    </w:p>
  </w:footnote>
  <w:footnote w:type="continuationSeparator" w:id="0">
    <w:p w14:paraId="647E0111" w14:textId="77777777" w:rsidR="00B64CB3" w:rsidRDefault="00B64CB3" w:rsidP="00615554">
      <w:r>
        <w:continuationSeparator/>
      </w:r>
    </w:p>
  </w:footnote>
  <w:footnote w:type="continuationNotice" w:id="1">
    <w:p w14:paraId="6A29ABEF" w14:textId="77777777" w:rsidR="00B64CB3" w:rsidRDefault="00B64CB3"/>
  </w:footnote>
  <w:footnote w:id="2">
    <w:p w14:paraId="7887BC17" w14:textId="77777777" w:rsidR="00E306E5" w:rsidRPr="00F02E52" w:rsidRDefault="00E306E5" w:rsidP="00E306E5">
      <w:pPr>
        <w:pStyle w:val="FootnoteText"/>
        <w:rPr>
          <w:lang w:val="en-GB"/>
        </w:rPr>
      </w:pPr>
      <w:r>
        <w:rPr>
          <w:rStyle w:val="FootnoteReference"/>
        </w:rPr>
        <w:footnoteRef/>
      </w:r>
      <w:r>
        <w:t xml:space="preserve"> </w:t>
      </w:r>
      <w:r>
        <w:rPr>
          <w:rFonts w:eastAsia="Segoe UI" w:cs="Segoe UI"/>
        </w:rPr>
        <w:t>of Part 3 of Schedule2 to the Regulations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A5DEB670"/>
    <w:lvl w:ilvl="0">
      <w:start w:val="1"/>
      <w:numFmt w:val="decimal"/>
      <w:pStyle w:val="ListNumber"/>
      <w:lvlText w:val="%1"/>
      <w:lvlJc w:val="left"/>
      <w:pPr>
        <w:tabs>
          <w:tab w:val="num" w:pos="360"/>
        </w:tabs>
        <w:ind w:left="360" w:hanging="360"/>
      </w:pPr>
      <w:rPr>
        <w:rFonts w:hint="default"/>
        <w:color w:val="009FE3" w:themeColor="background2"/>
      </w:rPr>
    </w:lvl>
  </w:abstractNum>
  <w:abstractNum w:abstractNumId="1" w15:restartNumberingAfterBreak="0">
    <w:nsid w:val="FFFFFF89"/>
    <w:multiLevelType w:val="singleLevel"/>
    <w:tmpl w:val="2492759C"/>
    <w:lvl w:ilvl="0">
      <w:start w:val="1"/>
      <w:numFmt w:val="bullet"/>
      <w:pStyle w:val="ListBullet"/>
      <w:lvlText w:val=""/>
      <w:lvlJc w:val="left"/>
      <w:pPr>
        <w:tabs>
          <w:tab w:val="num" w:pos="360"/>
        </w:tabs>
        <w:ind w:left="360" w:hanging="360"/>
      </w:pPr>
      <w:rPr>
        <w:rFonts w:ascii="Symbol" w:hAnsi="Symbol" w:hint="default"/>
        <w:color w:val="009FE3" w:themeColor="background2"/>
      </w:rPr>
    </w:lvl>
  </w:abstractNum>
  <w:abstractNum w:abstractNumId="2" w15:restartNumberingAfterBreak="0">
    <w:nsid w:val="011650E6"/>
    <w:multiLevelType w:val="hybridMultilevel"/>
    <w:tmpl w:val="A6BE4D2C"/>
    <w:lvl w:ilvl="0" w:tplc="E1D64EB8">
      <w:start w:val="1"/>
      <w:numFmt w:val="bullet"/>
      <w:lvlText w:val=""/>
      <w:lvlJc w:val="left"/>
      <w:pPr>
        <w:ind w:left="720" w:hanging="360"/>
      </w:pPr>
      <w:rPr>
        <w:rFonts w:ascii="Symbol" w:hAnsi="Symbol" w:hint="default"/>
      </w:rPr>
    </w:lvl>
    <w:lvl w:ilvl="1" w:tplc="80384D52">
      <w:start w:val="1"/>
      <w:numFmt w:val="bullet"/>
      <w:lvlText w:val="o"/>
      <w:lvlJc w:val="left"/>
      <w:pPr>
        <w:ind w:left="1440" w:hanging="360"/>
      </w:pPr>
      <w:rPr>
        <w:rFonts w:ascii="Courier New" w:hAnsi="Courier New" w:hint="default"/>
      </w:rPr>
    </w:lvl>
    <w:lvl w:ilvl="2" w:tplc="BA26BA36">
      <w:start w:val="1"/>
      <w:numFmt w:val="bullet"/>
      <w:lvlText w:val=""/>
      <w:lvlJc w:val="left"/>
      <w:pPr>
        <w:ind w:left="2160" w:hanging="360"/>
      </w:pPr>
      <w:rPr>
        <w:rFonts w:ascii="Wingdings" w:hAnsi="Wingdings" w:hint="default"/>
      </w:rPr>
    </w:lvl>
    <w:lvl w:ilvl="3" w:tplc="4D38C204">
      <w:start w:val="1"/>
      <w:numFmt w:val="bullet"/>
      <w:lvlText w:val=""/>
      <w:lvlJc w:val="left"/>
      <w:pPr>
        <w:ind w:left="2880" w:hanging="360"/>
      </w:pPr>
      <w:rPr>
        <w:rFonts w:ascii="Symbol" w:hAnsi="Symbol" w:hint="default"/>
      </w:rPr>
    </w:lvl>
    <w:lvl w:ilvl="4" w:tplc="AA94A438">
      <w:start w:val="1"/>
      <w:numFmt w:val="bullet"/>
      <w:lvlText w:val="o"/>
      <w:lvlJc w:val="left"/>
      <w:pPr>
        <w:ind w:left="3600" w:hanging="360"/>
      </w:pPr>
      <w:rPr>
        <w:rFonts w:ascii="Courier New" w:hAnsi="Courier New" w:hint="default"/>
      </w:rPr>
    </w:lvl>
    <w:lvl w:ilvl="5" w:tplc="ABD8F832">
      <w:start w:val="1"/>
      <w:numFmt w:val="bullet"/>
      <w:lvlText w:val=""/>
      <w:lvlJc w:val="left"/>
      <w:pPr>
        <w:ind w:left="4320" w:hanging="360"/>
      </w:pPr>
      <w:rPr>
        <w:rFonts w:ascii="Wingdings" w:hAnsi="Wingdings" w:hint="default"/>
      </w:rPr>
    </w:lvl>
    <w:lvl w:ilvl="6" w:tplc="5B96EF38">
      <w:start w:val="1"/>
      <w:numFmt w:val="bullet"/>
      <w:lvlText w:val=""/>
      <w:lvlJc w:val="left"/>
      <w:pPr>
        <w:ind w:left="5040" w:hanging="360"/>
      </w:pPr>
      <w:rPr>
        <w:rFonts w:ascii="Symbol" w:hAnsi="Symbol" w:hint="default"/>
      </w:rPr>
    </w:lvl>
    <w:lvl w:ilvl="7" w:tplc="EC9CA5FC">
      <w:start w:val="1"/>
      <w:numFmt w:val="bullet"/>
      <w:lvlText w:val="o"/>
      <w:lvlJc w:val="left"/>
      <w:pPr>
        <w:ind w:left="5760" w:hanging="360"/>
      </w:pPr>
      <w:rPr>
        <w:rFonts w:ascii="Courier New" w:hAnsi="Courier New" w:hint="default"/>
      </w:rPr>
    </w:lvl>
    <w:lvl w:ilvl="8" w:tplc="51802F72">
      <w:start w:val="1"/>
      <w:numFmt w:val="bullet"/>
      <w:lvlText w:val=""/>
      <w:lvlJc w:val="left"/>
      <w:pPr>
        <w:ind w:left="6480" w:hanging="360"/>
      </w:pPr>
      <w:rPr>
        <w:rFonts w:ascii="Wingdings" w:hAnsi="Wingdings" w:hint="default"/>
      </w:rPr>
    </w:lvl>
  </w:abstractNum>
  <w:abstractNum w:abstractNumId="3" w15:restartNumberingAfterBreak="0">
    <w:nsid w:val="058278F9"/>
    <w:multiLevelType w:val="hybridMultilevel"/>
    <w:tmpl w:val="876C9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31CBA5"/>
    <w:multiLevelType w:val="hybridMultilevel"/>
    <w:tmpl w:val="BE8EF726"/>
    <w:lvl w:ilvl="0" w:tplc="08587236">
      <w:start w:val="1"/>
      <w:numFmt w:val="bullet"/>
      <w:lvlText w:val="·"/>
      <w:lvlJc w:val="left"/>
      <w:pPr>
        <w:ind w:left="720" w:hanging="360"/>
      </w:pPr>
      <w:rPr>
        <w:rFonts w:ascii="Symbol" w:hAnsi="Symbol" w:hint="default"/>
      </w:rPr>
    </w:lvl>
    <w:lvl w:ilvl="1" w:tplc="15D84BE6">
      <w:start w:val="1"/>
      <w:numFmt w:val="bullet"/>
      <w:lvlText w:val="o"/>
      <w:lvlJc w:val="left"/>
      <w:pPr>
        <w:ind w:left="1440" w:hanging="360"/>
      </w:pPr>
      <w:rPr>
        <w:rFonts w:ascii="Courier New" w:hAnsi="Courier New" w:hint="default"/>
      </w:rPr>
    </w:lvl>
    <w:lvl w:ilvl="2" w:tplc="484027D0">
      <w:start w:val="1"/>
      <w:numFmt w:val="bullet"/>
      <w:lvlText w:val=""/>
      <w:lvlJc w:val="left"/>
      <w:pPr>
        <w:ind w:left="2160" w:hanging="360"/>
      </w:pPr>
      <w:rPr>
        <w:rFonts w:ascii="Wingdings" w:hAnsi="Wingdings" w:hint="default"/>
      </w:rPr>
    </w:lvl>
    <w:lvl w:ilvl="3" w:tplc="B5981D52">
      <w:start w:val="1"/>
      <w:numFmt w:val="bullet"/>
      <w:lvlText w:val=""/>
      <w:lvlJc w:val="left"/>
      <w:pPr>
        <w:ind w:left="2880" w:hanging="360"/>
      </w:pPr>
      <w:rPr>
        <w:rFonts w:ascii="Symbol" w:hAnsi="Symbol" w:hint="default"/>
      </w:rPr>
    </w:lvl>
    <w:lvl w:ilvl="4" w:tplc="249CC866">
      <w:start w:val="1"/>
      <w:numFmt w:val="bullet"/>
      <w:lvlText w:val="o"/>
      <w:lvlJc w:val="left"/>
      <w:pPr>
        <w:ind w:left="3600" w:hanging="360"/>
      </w:pPr>
      <w:rPr>
        <w:rFonts w:ascii="Courier New" w:hAnsi="Courier New" w:hint="default"/>
      </w:rPr>
    </w:lvl>
    <w:lvl w:ilvl="5" w:tplc="8648E7B0">
      <w:start w:val="1"/>
      <w:numFmt w:val="bullet"/>
      <w:lvlText w:val=""/>
      <w:lvlJc w:val="left"/>
      <w:pPr>
        <w:ind w:left="4320" w:hanging="360"/>
      </w:pPr>
      <w:rPr>
        <w:rFonts w:ascii="Wingdings" w:hAnsi="Wingdings" w:hint="default"/>
      </w:rPr>
    </w:lvl>
    <w:lvl w:ilvl="6" w:tplc="F25664F8">
      <w:start w:val="1"/>
      <w:numFmt w:val="bullet"/>
      <w:lvlText w:val=""/>
      <w:lvlJc w:val="left"/>
      <w:pPr>
        <w:ind w:left="5040" w:hanging="360"/>
      </w:pPr>
      <w:rPr>
        <w:rFonts w:ascii="Symbol" w:hAnsi="Symbol" w:hint="default"/>
      </w:rPr>
    </w:lvl>
    <w:lvl w:ilvl="7" w:tplc="E6B06C22">
      <w:start w:val="1"/>
      <w:numFmt w:val="bullet"/>
      <w:lvlText w:val="o"/>
      <w:lvlJc w:val="left"/>
      <w:pPr>
        <w:ind w:left="5760" w:hanging="360"/>
      </w:pPr>
      <w:rPr>
        <w:rFonts w:ascii="Courier New" w:hAnsi="Courier New" w:hint="default"/>
      </w:rPr>
    </w:lvl>
    <w:lvl w:ilvl="8" w:tplc="CE368206">
      <w:start w:val="1"/>
      <w:numFmt w:val="bullet"/>
      <w:lvlText w:val=""/>
      <w:lvlJc w:val="left"/>
      <w:pPr>
        <w:ind w:left="6480" w:hanging="360"/>
      </w:pPr>
      <w:rPr>
        <w:rFonts w:ascii="Wingdings" w:hAnsi="Wingdings" w:hint="default"/>
      </w:rPr>
    </w:lvl>
  </w:abstractNum>
  <w:abstractNum w:abstractNumId="5" w15:restartNumberingAfterBreak="0">
    <w:nsid w:val="08501069"/>
    <w:multiLevelType w:val="hybridMultilevel"/>
    <w:tmpl w:val="5F62B5A6"/>
    <w:lvl w:ilvl="0" w:tplc="F0548D8E">
      <w:start w:val="1"/>
      <w:numFmt w:val="bullet"/>
      <w:pStyle w:val="List"/>
      <w:lvlText w:val=""/>
      <w:lvlJc w:val="left"/>
      <w:pPr>
        <w:ind w:left="720" w:hanging="360"/>
      </w:pPr>
      <w:rPr>
        <w:rFonts w:ascii="Symbol" w:hAnsi="Symbol" w:hint="default"/>
        <w:color w:val="009FE3"/>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F13F03"/>
    <w:multiLevelType w:val="hybridMultilevel"/>
    <w:tmpl w:val="726861EE"/>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A69DBC4"/>
    <w:multiLevelType w:val="hybridMultilevel"/>
    <w:tmpl w:val="250A475C"/>
    <w:lvl w:ilvl="0" w:tplc="245C4A06">
      <w:start w:val="1"/>
      <w:numFmt w:val="bullet"/>
      <w:lvlText w:val="·"/>
      <w:lvlJc w:val="left"/>
      <w:pPr>
        <w:ind w:left="720" w:hanging="360"/>
      </w:pPr>
      <w:rPr>
        <w:rFonts w:ascii="Symbol" w:hAnsi="Symbol" w:hint="default"/>
      </w:rPr>
    </w:lvl>
    <w:lvl w:ilvl="1" w:tplc="57C8FE02">
      <w:start w:val="1"/>
      <w:numFmt w:val="bullet"/>
      <w:lvlText w:val="o"/>
      <w:lvlJc w:val="left"/>
      <w:pPr>
        <w:ind w:left="1440" w:hanging="360"/>
      </w:pPr>
      <w:rPr>
        <w:rFonts w:ascii="Courier New" w:hAnsi="Courier New" w:hint="default"/>
      </w:rPr>
    </w:lvl>
    <w:lvl w:ilvl="2" w:tplc="23BE8B68">
      <w:start w:val="1"/>
      <w:numFmt w:val="bullet"/>
      <w:lvlText w:val=""/>
      <w:lvlJc w:val="left"/>
      <w:pPr>
        <w:ind w:left="2160" w:hanging="360"/>
      </w:pPr>
      <w:rPr>
        <w:rFonts w:ascii="Wingdings" w:hAnsi="Wingdings" w:hint="default"/>
      </w:rPr>
    </w:lvl>
    <w:lvl w:ilvl="3" w:tplc="8D649E9A">
      <w:start w:val="1"/>
      <w:numFmt w:val="bullet"/>
      <w:lvlText w:val=""/>
      <w:lvlJc w:val="left"/>
      <w:pPr>
        <w:ind w:left="2880" w:hanging="360"/>
      </w:pPr>
      <w:rPr>
        <w:rFonts w:ascii="Symbol" w:hAnsi="Symbol" w:hint="default"/>
      </w:rPr>
    </w:lvl>
    <w:lvl w:ilvl="4" w:tplc="E4DE9432">
      <w:start w:val="1"/>
      <w:numFmt w:val="bullet"/>
      <w:lvlText w:val="o"/>
      <w:lvlJc w:val="left"/>
      <w:pPr>
        <w:ind w:left="3600" w:hanging="360"/>
      </w:pPr>
      <w:rPr>
        <w:rFonts w:ascii="Courier New" w:hAnsi="Courier New" w:hint="default"/>
      </w:rPr>
    </w:lvl>
    <w:lvl w:ilvl="5" w:tplc="C2C6ADB4">
      <w:start w:val="1"/>
      <w:numFmt w:val="bullet"/>
      <w:lvlText w:val=""/>
      <w:lvlJc w:val="left"/>
      <w:pPr>
        <w:ind w:left="4320" w:hanging="360"/>
      </w:pPr>
      <w:rPr>
        <w:rFonts w:ascii="Wingdings" w:hAnsi="Wingdings" w:hint="default"/>
      </w:rPr>
    </w:lvl>
    <w:lvl w:ilvl="6" w:tplc="52004F0E">
      <w:start w:val="1"/>
      <w:numFmt w:val="bullet"/>
      <w:lvlText w:val=""/>
      <w:lvlJc w:val="left"/>
      <w:pPr>
        <w:ind w:left="5040" w:hanging="360"/>
      </w:pPr>
      <w:rPr>
        <w:rFonts w:ascii="Symbol" w:hAnsi="Symbol" w:hint="default"/>
      </w:rPr>
    </w:lvl>
    <w:lvl w:ilvl="7" w:tplc="37A407F0">
      <w:start w:val="1"/>
      <w:numFmt w:val="bullet"/>
      <w:lvlText w:val="o"/>
      <w:lvlJc w:val="left"/>
      <w:pPr>
        <w:ind w:left="5760" w:hanging="360"/>
      </w:pPr>
      <w:rPr>
        <w:rFonts w:ascii="Courier New" w:hAnsi="Courier New" w:hint="default"/>
      </w:rPr>
    </w:lvl>
    <w:lvl w:ilvl="8" w:tplc="D25C9AA8">
      <w:start w:val="1"/>
      <w:numFmt w:val="bullet"/>
      <w:lvlText w:val=""/>
      <w:lvlJc w:val="left"/>
      <w:pPr>
        <w:ind w:left="6480" w:hanging="360"/>
      </w:pPr>
      <w:rPr>
        <w:rFonts w:ascii="Wingdings" w:hAnsi="Wingdings" w:hint="default"/>
      </w:rPr>
    </w:lvl>
  </w:abstractNum>
  <w:abstractNum w:abstractNumId="8" w15:restartNumberingAfterBreak="0">
    <w:nsid w:val="1A740509"/>
    <w:multiLevelType w:val="hybridMultilevel"/>
    <w:tmpl w:val="F1A03EB2"/>
    <w:lvl w:ilvl="0" w:tplc="8C40E1FE">
      <w:start w:val="1"/>
      <w:numFmt w:val="upperLetter"/>
      <w:lvlText w:val="%1."/>
      <w:lvlJc w:val="left"/>
      <w:pPr>
        <w:ind w:left="360" w:hanging="360"/>
      </w:pPr>
      <w:rPr>
        <w:rFonts w:hint="cs"/>
        <w:b/>
        <w:bCs w:val="0"/>
        <w:i w:val="0"/>
        <w:iCs w:val="0"/>
        <w:caps w:val="0"/>
        <w:smallCaps w:val="0"/>
        <w:strike w:val="0"/>
        <w:dstrike w:val="0"/>
        <w:noProof w:val="0"/>
        <w:vanish w:val="0"/>
        <w:color w:val="009FE3" w:themeColor="background2"/>
        <w:spacing w:val="0"/>
        <w:kern w:val="0"/>
        <w:position w:val="0"/>
        <w:sz w:val="36"/>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9" w15:restartNumberingAfterBreak="0">
    <w:nsid w:val="1AA57109"/>
    <w:multiLevelType w:val="hybridMultilevel"/>
    <w:tmpl w:val="784A248E"/>
    <w:lvl w:ilvl="0" w:tplc="2EB66460">
      <w:start w:val="1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0F8783"/>
    <w:multiLevelType w:val="hybridMultilevel"/>
    <w:tmpl w:val="FFFFFFFF"/>
    <w:lvl w:ilvl="0" w:tplc="559E07DC">
      <w:start w:val="1"/>
      <w:numFmt w:val="bullet"/>
      <w:lvlText w:val="·"/>
      <w:lvlJc w:val="left"/>
      <w:pPr>
        <w:ind w:left="720" w:hanging="360"/>
      </w:pPr>
      <w:rPr>
        <w:rFonts w:ascii="Symbol" w:hAnsi="Symbol" w:hint="default"/>
      </w:rPr>
    </w:lvl>
    <w:lvl w:ilvl="1" w:tplc="E02A5A3C">
      <w:start w:val="1"/>
      <w:numFmt w:val="bullet"/>
      <w:lvlText w:val="o"/>
      <w:lvlJc w:val="left"/>
      <w:pPr>
        <w:ind w:left="1440" w:hanging="360"/>
      </w:pPr>
      <w:rPr>
        <w:rFonts w:ascii="Courier New" w:hAnsi="Courier New" w:hint="default"/>
      </w:rPr>
    </w:lvl>
    <w:lvl w:ilvl="2" w:tplc="3EAA8D78">
      <w:start w:val="1"/>
      <w:numFmt w:val="bullet"/>
      <w:lvlText w:val=""/>
      <w:lvlJc w:val="left"/>
      <w:pPr>
        <w:ind w:left="2160" w:hanging="360"/>
      </w:pPr>
      <w:rPr>
        <w:rFonts w:ascii="Wingdings" w:hAnsi="Wingdings" w:hint="default"/>
      </w:rPr>
    </w:lvl>
    <w:lvl w:ilvl="3" w:tplc="AE72ED16">
      <w:start w:val="1"/>
      <w:numFmt w:val="bullet"/>
      <w:lvlText w:val=""/>
      <w:lvlJc w:val="left"/>
      <w:pPr>
        <w:ind w:left="2880" w:hanging="360"/>
      </w:pPr>
      <w:rPr>
        <w:rFonts w:ascii="Symbol" w:hAnsi="Symbol" w:hint="default"/>
      </w:rPr>
    </w:lvl>
    <w:lvl w:ilvl="4" w:tplc="F05CBCB0">
      <w:start w:val="1"/>
      <w:numFmt w:val="bullet"/>
      <w:lvlText w:val="o"/>
      <w:lvlJc w:val="left"/>
      <w:pPr>
        <w:ind w:left="3600" w:hanging="360"/>
      </w:pPr>
      <w:rPr>
        <w:rFonts w:ascii="Courier New" w:hAnsi="Courier New" w:hint="default"/>
      </w:rPr>
    </w:lvl>
    <w:lvl w:ilvl="5" w:tplc="4F54D778">
      <w:start w:val="1"/>
      <w:numFmt w:val="bullet"/>
      <w:lvlText w:val=""/>
      <w:lvlJc w:val="left"/>
      <w:pPr>
        <w:ind w:left="4320" w:hanging="360"/>
      </w:pPr>
      <w:rPr>
        <w:rFonts w:ascii="Wingdings" w:hAnsi="Wingdings" w:hint="default"/>
      </w:rPr>
    </w:lvl>
    <w:lvl w:ilvl="6" w:tplc="A7D6359A">
      <w:start w:val="1"/>
      <w:numFmt w:val="bullet"/>
      <w:lvlText w:val=""/>
      <w:lvlJc w:val="left"/>
      <w:pPr>
        <w:ind w:left="5040" w:hanging="360"/>
      </w:pPr>
      <w:rPr>
        <w:rFonts w:ascii="Symbol" w:hAnsi="Symbol" w:hint="default"/>
      </w:rPr>
    </w:lvl>
    <w:lvl w:ilvl="7" w:tplc="D0166C98">
      <w:start w:val="1"/>
      <w:numFmt w:val="bullet"/>
      <w:lvlText w:val="o"/>
      <w:lvlJc w:val="left"/>
      <w:pPr>
        <w:ind w:left="5760" w:hanging="360"/>
      </w:pPr>
      <w:rPr>
        <w:rFonts w:ascii="Courier New" w:hAnsi="Courier New" w:hint="default"/>
      </w:rPr>
    </w:lvl>
    <w:lvl w:ilvl="8" w:tplc="9F749F2C">
      <w:start w:val="1"/>
      <w:numFmt w:val="bullet"/>
      <w:lvlText w:val=""/>
      <w:lvlJc w:val="left"/>
      <w:pPr>
        <w:ind w:left="6480" w:hanging="360"/>
      </w:pPr>
      <w:rPr>
        <w:rFonts w:ascii="Wingdings" w:hAnsi="Wingdings" w:hint="default"/>
      </w:rPr>
    </w:lvl>
  </w:abstractNum>
  <w:abstractNum w:abstractNumId="11" w15:restartNumberingAfterBreak="0">
    <w:nsid w:val="26822FF5"/>
    <w:multiLevelType w:val="hybridMultilevel"/>
    <w:tmpl w:val="CC44F372"/>
    <w:lvl w:ilvl="0" w:tplc="1D965336">
      <w:start w:val="1"/>
      <w:numFmt w:val="bullet"/>
      <w:lvlText w:val="·"/>
      <w:lvlJc w:val="left"/>
      <w:pPr>
        <w:ind w:left="720" w:hanging="360"/>
      </w:pPr>
      <w:rPr>
        <w:rFonts w:ascii="Symbol" w:hAnsi="Symbol" w:hint="default"/>
      </w:rPr>
    </w:lvl>
    <w:lvl w:ilvl="1" w:tplc="98B02F16">
      <w:start w:val="1"/>
      <w:numFmt w:val="bullet"/>
      <w:lvlText w:val="o"/>
      <w:lvlJc w:val="left"/>
      <w:pPr>
        <w:ind w:left="1440" w:hanging="360"/>
      </w:pPr>
      <w:rPr>
        <w:rFonts w:ascii="Courier New" w:hAnsi="Courier New" w:hint="default"/>
      </w:rPr>
    </w:lvl>
    <w:lvl w:ilvl="2" w:tplc="C0FE57CE">
      <w:start w:val="1"/>
      <w:numFmt w:val="bullet"/>
      <w:lvlText w:val=""/>
      <w:lvlJc w:val="left"/>
      <w:pPr>
        <w:ind w:left="2160" w:hanging="360"/>
      </w:pPr>
      <w:rPr>
        <w:rFonts w:ascii="Wingdings" w:hAnsi="Wingdings" w:hint="default"/>
      </w:rPr>
    </w:lvl>
    <w:lvl w:ilvl="3" w:tplc="EC680A8E">
      <w:start w:val="1"/>
      <w:numFmt w:val="bullet"/>
      <w:lvlText w:val=""/>
      <w:lvlJc w:val="left"/>
      <w:pPr>
        <w:ind w:left="2880" w:hanging="360"/>
      </w:pPr>
      <w:rPr>
        <w:rFonts w:ascii="Symbol" w:hAnsi="Symbol" w:hint="default"/>
      </w:rPr>
    </w:lvl>
    <w:lvl w:ilvl="4" w:tplc="4D4CD31A">
      <w:start w:val="1"/>
      <w:numFmt w:val="bullet"/>
      <w:lvlText w:val="o"/>
      <w:lvlJc w:val="left"/>
      <w:pPr>
        <w:ind w:left="3600" w:hanging="360"/>
      </w:pPr>
      <w:rPr>
        <w:rFonts w:ascii="Courier New" w:hAnsi="Courier New" w:hint="default"/>
      </w:rPr>
    </w:lvl>
    <w:lvl w:ilvl="5" w:tplc="39BC4982">
      <w:start w:val="1"/>
      <w:numFmt w:val="bullet"/>
      <w:lvlText w:val=""/>
      <w:lvlJc w:val="left"/>
      <w:pPr>
        <w:ind w:left="4320" w:hanging="360"/>
      </w:pPr>
      <w:rPr>
        <w:rFonts w:ascii="Wingdings" w:hAnsi="Wingdings" w:hint="default"/>
      </w:rPr>
    </w:lvl>
    <w:lvl w:ilvl="6" w:tplc="927645C0">
      <w:start w:val="1"/>
      <w:numFmt w:val="bullet"/>
      <w:lvlText w:val=""/>
      <w:lvlJc w:val="left"/>
      <w:pPr>
        <w:ind w:left="5040" w:hanging="360"/>
      </w:pPr>
      <w:rPr>
        <w:rFonts w:ascii="Symbol" w:hAnsi="Symbol" w:hint="default"/>
      </w:rPr>
    </w:lvl>
    <w:lvl w:ilvl="7" w:tplc="6C94EAEC">
      <w:start w:val="1"/>
      <w:numFmt w:val="bullet"/>
      <w:lvlText w:val="o"/>
      <w:lvlJc w:val="left"/>
      <w:pPr>
        <w:ind w:left="5760" w:hanging="360"/>
      </w:pPr>
      <w:rPr>
        <w:rFonts w:ascii="Courier New" w:hAnsi="Courier New" w:hint="default"/>
      </w:rPr>
    </w:lvl>
    <w:lvl w:ilvl="8" w:tplc="F9DABDEE">
      <w:start w:val="1"/>
      <w:numFmt w:val="bullet"/>
      <w:lvlText w:val=""/>
      <w:lvlJc w:val="left"/>
      <w:pPr>
        <w:ind w:left="6480" w:hanging="360"/>
      </w:pPr>
      <w:rPr>
        <w:rFonts w:ascii="Wingdings" w:hAnsi="Wingdings" w:hint="default"/>
      </w:rPr>
    </w:lvl>
  </w:abstractNum>
  <w:abstractNum w:abstractNumId="12" w15:restartNumberingAfterBreak="0">
    <w:nsid w:val="27A3675A"/>
    <w:multiLevelType w:val="hybridMultilevel"/>
    <w:tmpl w:val="FFFFFFFF"/>
    <w:lvl w:ilvl="0" w:tplc="A434E964">
      <w:start w:val="1"/>
      <w:numFmt w:val="bullet"/>
      <w:lvlText w:val="·"/>
      <w:lvlJc w:val="left"/>
      <w:pPr>
        <w:ind w:left="720" w:hanging="360"/>
      </w:pPr>
      <w:rPr>
        <w:rFonts w:ascii="Symbol" w:hAnsi="Symbol" w:hint="default"/>
      </w:rPr>
    </w:lvl>
    <w:lvl w:ilvl="1" w:tplc="2E56FDC8">
      <w:start w:val="1"/>
      <w:numFmt w:val="bullet"/>
      <w:lvlText w:val="o"/>
      <w:lvlJc w:val="left"/>
      <w:pPr>
        <w:ind w:left="1440" w:hanging="360"/>
      </w:pPr>
      <w:rPr>
        <w:rFonts w:ascii="Courier New" w:hAnsi="Courier New" w:hint="default"/>
      </w:rPr>
    </w:lvl>
    <w:lvl w:ilvl="2" w:tplc="923C8DCA">
      <w:start w:val="1"/>
      <w:numFmt w:val="bullet"/>
      <w:lvlText w:val=""/>
      <w:lvlJc w:val="left"/>
      <w:pPr>
        <w:ind w:left="2160" w:hanging="360"/>
      </w:pPr>
      <w:rPr>
        <w:rFonts w:ascii="Wingdings" w:hAnsi="Wingdings" w:hint="default"/>
      </w:rPr>
    </w:lvl>
    <w:lvl w:ilvl="3" w:tplc="28861D88">
      <w:start w:val="1"/>
      <w:numFmt w:val="bullet"/>
      <w:lvlText w:val=""/>
      <w:lvlJc w:val="left"/>
      <w:pPr>
        <w:ind w:left="2880" w:hanging="360"/>
      </w:pPr>
      <w:rPr>
        <w:rFonts w:ascii="Symbol" w:hAnsi="Symbol" w:hint="default"/>
      </w:rPr>
    </w:lvl>
    <w:lvl w:ilvl="4" w:tplc="3B3244F6">
      <w:start w:val="1"/>
      <w:numFmt w:val="bullet"/>
      <w:lvlText w:val="o"/>
      <w:lvlJc w:val="left"/>
      <w:pPr>
        <w:ind w:left="3600" w:hanging="360"/>
      </w:pPr>
      <w:rPr>
        <w:rFonts w:ascii="Courier New" w:hAnsi="Courier New" w:hint="default"/>
      </w:rPr>
    </w:lvl>
    <w:lvl w:ilvl="5" w:tplc="25D00DF2">
      <w:start w:val="1"/>
      <w:numFmt w:val="bullet"/>
      <w:lvlText w:val=""/>
      <w:lvlJc w:val="left"/>
      <w:pPr>
        <w:ind w:left="4320" w:hanging="360"/>
      </w:pPr>
      <w:rPr>
        <w:rFonts w:ascii="Wingdings" w:hAnsi="Wingdings" w:hint="default"/>
      </w:rPr>
    </w:lvl>
    <w:lvl w:ilvl="6" w:tplc="48DECA8C">
      <w:start w:val="1"/>
      <w:numFmt w:val="bullet"/>
      <w:lvlText w:val=""/>
      <w:lvlJc w:val="left"/>
      <w:pPr>
        <w:ind w:left="5040" w:hanging="360"/>
      </w:pPr>
      <w:rPr>
        <w:rFonts w:ascii="Symbol" w:hAnsi="Symbol" w:hint="default"/>
      </w:rPr>
    </w:lvl>
    <w:lvl w:ilvl="7" w:tplc="DE6A40AA">
      <w:start w:val="1"/>
      <w:numFmt w:val="bullet"/>
      <w:lvlText w:val="o"/>
      <w:lvlJc w:val="left"/>
      <w:pPr>
        <w:ind w:left="5760" w:hanging="360"/>
      </w:pPr>
      <w:rPr>
        <w:rFonts w:ascii="Courier New" w:hAnsi="Courier New" w:hint="default"/>
      </w:rPr>
    </w:lvl>
    <w:lvl w:ilvl="8" w:tplc="21AE7436">
      <w:start w:val="1"/>
      <w:numFmt w:val="bullet"/>
      <w:lvlText w:val=""/>
      <w:lvlJc w:val="left"/>
      <w:pPr>
        <w:ind w:left="6480" w:hanging="360"/>
      </w:pPr>
      <w:rPr>
        <w:rFonts w:ascii="Wingdings" w:hAnsi="Wingdings" w:hint="default"/>
      </w:rPr>
    </w:lvl>
  </w:abstractNum>
  <w:abstractNum w:abstractNumId="13" w15:restartNumberingAfterBreak="0">
    <w:nsid w:val="2CA3258E"/>
    <w:multiLevelType w:val="hybridMultilevel"/>
    <w:tmpl w:val="9306C12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F7DE7A9"/>
    <w:multiLevelType w:val="hybridMultilevel"/>
    <w:tmpl w:val="182E098E"/>
    <w:lvl w:ilvl="0" w:tplc="E88A9C66">
      <w:start w:val="1"/>
      <w:numFmt w:val="bullet"/>
      <w:lvlText w:val="·"/>
      <w:lvlJc w:val="left"/>
      <w:pPr>
        <w:ind w:left="720" w:hanging="360"/>
      </w:pPr>
      <w:rPr>
        <w:rFonts w:ascii="Symbol" w:hAnsi="Symbol" w:hint="default"/>
      </w:rPr>
    </w:lvl>
    <w:lvl w:ilvl="1" w:tplc="7932089C">
      <w:start w:val="1"/>
      <w:numFmt w:val="bullet"/>
      <w:lvlText w:val="o"/>
      <w:lvlJc w:val="left"/>
      <w:pPr>
        <w:ind w:left="1440" w:hanging="360"/>
      </w:pPr>
      <w:rPr>
        <w:rFonts w:ascii="Courier New" w:hAnsi="Courier New" w:hint="default"/>
      </w:rPr>
    </w:lvl>
    <w:lvl w:ilvl="2" w:tplc="A530BE52">
      <w:start w:val="1"/>
      <w:numFmt w:val="bullet"/>
      <w:lvlText w:val=""/>
      <w:lvlJc w:val="left"/>
      <w:pPr>
        <w:ind w:left="2160" w:hanging="360"/>
      </w:pPr>
      <w:rPr>
        <w:rFonts w:ascii="Wingdings" w:hAnsi="Wingdings" w:hint="default"/>
      </w:rPr>
    </w:lvl>
    <w:lvl w:ilvl="3" w:tplc="EDC66532">
      <w:start w:val="1"/>
      <w:numFmt w:val="bullet"/>
      <w:lvlText w:val=""/>
      <w:lvlJc w:val="left"/>
      <w:pPr>
        <w:ind w:left="2880" w:hanging="360"/>
      </w:pPr>
      <w:rPr>
        <w:rFonts w:ascii="Symbol" w:hAnsi="Symbol" w:hint="default"/>
      </w:rPr>
    </w:lvl>
    <w:lvl w:ilvl="4" w:tplc="BEA09096">
      <w:start w:val="1"/>
      <w:numFmt w:val="bullet"/>
      <w:lvlText w:val="o"/>
      <w:lvlJc w:val="left"/>
      <w:pPr>
        <w:ind w:left="3600" w:hanging="360"/>
      </w:pPr>
      <w:rPr>
        <w:rFonts w:ascii="Courier New" w:hAnsi="Courier New" w:hint="default"/>
      </w:rPr>
    </w:lvl>
    <w:lvl w:ilvl="5" w:tplc="32228C84">
      <w:start w:val="1"/>
      <w:numFmt w:val="bullet"/>
      <w:lvlText w:val=""/>
      <w:lvlJc w:val="left"/>
      <w:pPr>
        <w:ind w:left="4320" w:hanging="360"/>
      </w:pPr>
      <w:rPr>
        <w:rFonts w:ascii="Wingdings" w:hAnsi="Wingdings" w:hint="default"/>
      </w:rPr>
    </w:lvl>
    <w:lvl w:ilvl="6" w:tplc="438CE884">
      <w:start w:val="1"/>
      <w:numFmt w:val="bullet"/>
      <w:lvlText w:val=""/>
      <w:lvlJc w:val="left"/>
      <w:pPr>
        <w:ind w:left="5040" w:hanging="360"/>
      </w:pPr>
      <w:rPr>
        <w:rFonts w:ascii="Symbol" w:hAnsi="Symbol" w:hint="default"/>
      </w:rPr>
    </w:lvl>
    <w:lvl w:ilvl="7" w:tplc="D222E5FA">
      <w:start w:val="1"/>
      <w:numFmt w:val="bullet"/>
      <w:lvlText w:val="o"/>
      <w:lvlJc w:val="left"/>
      <w:pPr>
        <w:ind w:left="5760" w:hanging="360"/>
      </w:pPr>
      <w:rPr>
        <w:rFonts w:ascii="Courier New" w:hAnsi="Courier New" w:hint="default"/>
      </w:rPr>
    </w:lvl>
    <w:lvl w:ilvl="8" w:tplc="2C6A3E76">
      <w:start w:val="1"/>
      <w:numFmt w:val="bullet"/>
      <w:lvlText w:val=""/>
      <w:lvlJc w:val="left"/>
      <w:pPr>
        <w:ind w:left="6480" w:hanging="360"/>
      </w:pPr>
      <w:rPr>
        <w:rFonts w:ascii="Wingdings" w:hAnsi="Wingdings" w:hint="default"/>
      </w:rPr>
    </w:lvl>
  </w:abstractNum>
  <w:abstractNum w:abstractNumId="15" w15:restartNumberingAfterBreak="0">
    <w:nsid w:val="31C38383"/>
    <w:multiLevelType w:val="hybridMultilevel"/>
    <w:tmpl w:val="F4D2A162"/>
    <w:lvl w:ilvl="0" w:tplc="BCA0CCE6">
      <w:start w:val="1"/>
      <w:numFmt w:val="bullet"/>
      <w:lvlText w:val="·"/>
      <w:lvlJc w:val="left"/>
      <w:pPr>
        <w:ind w:left="720" w:hanging="360"/>
      </w:pPr>
      <w:rPr>
        <w:rFonts w:ascii="Symbol" w:hAnsi="Symbol" w:hint="default"/>
      </w:rPr>
    </w:lvl>
    <w:lvl w:ilvl="1" w:tplc="1D6E4C60">
      <w:start w:val="1"/>
      <w:numFmt w:val="bullet"/>
      <w:lvlText w:val="o"/>
      <w:lvlJc w:val="left"/>
      <w:pPr>
        <w:ind w:left="1440" w:hanging="360"/>
      </w:pPr>
      <w:rPr>
        <w:rFonts w:ascii="Courier New" w:hAnsi="Courier New" w:hint="default"/>
      </w:rPr>
    </w:lvl>
    <w:lvl w:ilvl="2" w:tplc="64F8E26A">
      <w:start w:val="1"/>
      <w:numFmt w:val="bullet"/>
      <w:lvlText w:val=""/>
      <w:lvlJc w:val="left"/>
      <w:pPr>
        <w:ind w:left="2160" w:hanging="360"/>
      </w:pPr>
      <w:rPr>
        <w:rFonts w:ascii="Wingdings" w:hAnsi="Wingdings" w:hint="default"/>
      </w:rPr>
    </w:lvl>
    <w:lvl w:ilvl="3" w:tplc="BB74E114">
      <w:start w:val="1"/>
      <w:numFmt w:val="bullet"/>
      <w:lvlText w:val=""/>
      <w:lvlJc w:val="left"/>
      <w:pPr>
        <w:ind w:left="2880" w:hanging="360"/>
      </w:pPr>
      <w:rPr>
        <w:rFonts w:ascii="Symbol" w:hAnsi="Symbol" w:hint="default"/>
      </w:rPr>
    </w:lvl>
    <w:lvl w:ilvl="4" w:tplc="7D161326">
      <w:start w:val="1"/>
      <w:numFmt w:val="bullet"/>
      <w:lvlText w:val="o"/>
      <w:lvlJc w:val="left"/>
      <w:pPr>
        <w:ind w:left="3600" w:hanging="360"/>
      </w:pPr>
      <w:rPr>
        <w:rFonts w:ascii="Courier New" w:hAnsi="Courier New" w:hint="default"/>
      </w:rPr>
    </w:lvl>
    <w:lvl w:ilvl="5" w:tplc="0D586E1A">
      <w:start w:val="1"/>
      <w:numFmt w:val="bullet"/>
      <w:lvlText w:val=""/>
      <w:lvlJc w:val="left"/>
      <w:pPr>
        <w:ind w:left="4320" w:hanging="360"/>
      </w:pPr>
      <w:rPr>
        <w:rFonts w:ascii="Wingdings" w:hAnsi="Wingdings" w:hint="default"/>
      </w:rPr>
    </w:lvl>
    <w:lvl w:ilvl="6" w:tplc="75B05F44">
      <w:start w:val="1"/>
      <w:numFmt w:val="bullet"/>
      <w:lvlText w:val=""/>
      <w:lvlJc w:val="left"/>
      <w:pPr>
        <w:ind w:left="5040" w:hanging="360"/>
      </w:pPr>
      <w:rPr>
        <w:rFonts w:ascii="Symbol" w:hAnsi="Symbol" w:hint="default"/>
      </w:rPr>
    </w:lvl>
    <w:lvl w:ilvl="7" w:tplc="14648F9A">
      <w:start w:val="1"/>
      <w:numFmt w:val="bullet"/>
      <w:lvlText w:val="o"/>
      <w:lvlJc w:val="left"/>
      <w:pPr>
        <w:ind w:left="5760" w:hanging="360"/>
      </w:pPr>
      <w:rPr>
        <w:rFonts w:ascii="Courier New" w:hAnsi="Courier New" w:hint="default"/>
      </w:rPr>
    </w:lvl>
    <w:lvl w:ilvl="8" w:tplc="7832B5C4">
      <w:start w:val="1"/>
      <w:numFmt w:val="bullet"/>
      <w:lvlText w:val=""/>
      <w:lvlJc w:val="left"/>
      <w:pPr>
        <w:ind w:left="6480" w:hanging="360"/>
      </w:pPr>
      <w:rPr>
        <w:rFonts w:ascii="Wingdings" w:hAnsi="Wingdings" w:hint="default"/>
      </w:rPr>
    </w:lvl>
  </w:abstractNum>
  <w:abstractNum w:abstractNumId="16" w15:restartNumberingAfterBreak="0">
    <w:nsid w:val="34AC669C"/>
    <w:multiLevelType w:val="hybridMultilevel"/>
    <w:tmpl w:val="64D0F180"/>
    <w:lvl w:ilvl="0" w:tplc="7038A016">
      <w:start w:val="1"/>
      <w:numFmt w:val="bullet"/>
      <w:lvlText w:val=""/>
      <w:lvlJc w:val="left"/>
      <w:pPr>
        <w:ind w:left="1440" w:hanging="360"/>
      </w:pPr>
      <w:rPr>
        <w:rFonts w:ascii="Symbol" w:hAnsi="Symbol"/>
      </w:rPr>
    </w:lvl>
    <w:lvl w:ilvl="1" w:tplc="E3B2BBAE">
      <w:start w:val="1"/>
      <w:numFmt w:val="bullet"/>
      <w:lvlText w:val=""/>
      <w:lvlJc w:val="left"/>
      <w:pPr>
        <w:ind w:left="1440" w:hanging="360"/>
      </w:pPr>
      <w:rPr>
        <w:rFonts w:ascii="Symbol" w:hAnsi="Symbol"/>
      </w:rPr>
    </w:lvl>
    <w:lvl w:ilvl="2" w:tplc="A01238F4">
      <w:start w:val="1"/>
      <w:numFmt w:val="bullet"/>
      <w:lvlText w:val=""/>
      <w:lvlJc w:val="left"/>
      <w:pPr>
        <w:ind w:left="1440" w:hanging="360"/>
      </w:pPr>
      <w:rPr>
        <w:rFonts w:ascii="Symbol" w:hAnsi="Symbol"/>
      </w:rPr>
    </w:lvl>
    <w:lvl w:ilvl="3" w:tplc="383A811A">
      <w:start w:val="1"/>
      <w:numFmt w:val="bullet"/>
      <w:lvlText w:val=""/>
      <w:lvlJc w:val="left"/>
      <w:pPr>
        <w:ind w:left="1440" w:hanging="360"/>
      </w:pPr>
      <w:rPr>
        <w:rFonts w:ascii="Symbol" w:hAnsi="Symbol"/>
      </w:rPr>
    </w:lvl>
    <w:lvl w:ilvl="4" w:tplc="667AB9B6">
      <w:start w:val="1"/>
      <w:numFmt w:val="bullet"/>
      <w:lvlText w:val=""/>
      <w:lvlJc w:val="left"/>
      <w:pPr>
        <w:ind w:left="1440" w:hanging="360"/>
      </w:pPr>
      <w:rPr>
        <w:rFonts w:ascii="Symbol" w:hAnsi="Symbol"/>
      </w:rPr>
    </w:lvl>
    <w:lvl w:ilvl="5" w:tplc="19DA1FAA">
      <w:start w:val="1"/>
      <w:numFmt w:val="bullet"/>
      <w:lvlText w:val=""/>
      <w:lvlJc w:val="left"/>
      <w:pPr>
        <w:ind w:left="1440" w:hanging="360"/>
      </w:pPr>
      <w:rPr>
        <w:rFonts w:ascii="Symbol" w:hAnsi="Symbol"/>
      </w:rPr>
    </w:lvl>
    <w:lvl w:ilvl="6" w:tplc="139EE5C8">
      <w:start w:val="1"/>
      <w:numFmt w:val="bullet"/>
      <w:lvlText w:val=""/>
      <w:lvlJc w:val="left"/>
      <w:pPr>
        <w:ind w:left="1440" w:hanging="360"/>
      </w:pPr>
      <w:rPr>
        <w:rFonts w:ascii="Symbol" w:hAnsi="Symbol"/>
      </w:rPr>
    </w:lvl>
    <w:lvl w:ilvl="7" w:tplc="DE642258">
      <w:start w:val="1"/>
      <w:numFmt w:val="bullet"/>
      <w:lvlText w:val=""/>
      <w:lvlJc w:val="left"/>
      <w:pPr>
        <w:ind w:left="1440" w:hanging="360"/>
      </w:pPr>
      <w:rPr>
        <w:rFonts w:ascii="Symbol" w:hAnsi="Symbol"/>
      </w:rPr>
    </w:lvl>
    <w:lvl w:ilvl="8" w:tplc="FCD89BA4">
      <w:start w:val="1"/>
      <w:numFmt w:val="bullet"/>
      <w:lvlText w:val=""/>
      <w:lvlJc w:val="left"/>
      <w:pPr>
        <w:ind w:left="1440" w:hanging="360"/>
      </w:pPr>
      <w:rPr>
        <w:rFonts w:ascii="Symbol" w:hAnsi="Symbol"/>
      </w:rPr>
    </w:lvl>
  </w:abstractNum>
  <w:abstractNum w:abstractNumId="17" w15:restartNumberingAfterBreak="0">
    <w:nsid w:val="3698E7B1"/>
    <w:multiLevelType w:val="hybridMultilevel"/>
    <w:tmpl w:val="FFFFFFFF"/>
    <w:lvl w:ilvl="0" w:tplc="7AD22A6C">
      <w:start w:val="1"/>
      <w:numFmt w:val="bullet"/>
      <w:lvlText w:val=""/>
      <w:lvlJc w:val="left"/>
      <w:pPr>
        <w:ind w:left="720" w:hanging="360"/>
      </w:pPr>
      <w:rPr>
        <w:rFonts w:ascii="Symbol" w:hAnsi="Symbol" w:hint="default"/>
      </w:rPr>
    </w:lvl>
    <w:lvl w:ilvl="1" w:tplc="F01AC7E8">
      <w:start w:val="1"/>
      <w:numFmt w:val="bullet"/>
      <w:lvlText w:val="o"/>
      <w:lvlJc w:val="left"/>
      <w:pPr>
        <w:ind w:left="1440" w:hanging="360"/>
      </w:pPr>
      <w:rPr>
        <w:rFonts w:ascii="Courier New" w:hAnsi="Courier New" w:hint="default"/>
      </w:rPr>
    </w:lvl>
    <w:lvl w:ilvl="2" w:tplc="93A0CDA8">
      <w:start w:val="1"/>
      <w:numFmt w:val="bullet"/>
      <w:lvlText w:val=""/>
      <w:lvlJc w:val="left"/>
      <w:pPr>
        <w:ind w:left="2160" w:hanging="360"/>
      </w:pPr>
      <w:rPr>
        <w:rFonts w:ascii="Wingdings" w:hAnsi="Wingdings" w:hint="default"/>
      </w:rPr>
    </w:lvl>
    <w:lvl w:ilvl="3" w:tplc="3F80809C">
      <w:start w:val="1"/>
      <w:numFmt w:val="bullet"/>
      <w:lvlText w:val=""/>
      <w:lvlJc w:val="left"/>
      <w:pPr>
        <w:ind w:left="2880" w:hanging="360"/>
      </w:pPr>
      <w:rPr>
        <w:rFonts w:ascii="Symbol" w:hAnsi="Symbol" w:hint="default"/>
      </w:rPr>
    </w:lvl>
    <w:lvl w:ilvl="4" w:tplc="5B82EEA4">
      <w:start w:val="1"/>
      <w:numFmt w:val="bullet"/>
      <w:lvlText w:val="o"/>
      <w:lvlJc w:val="left"/>
      <w:pPr>
        <w:ind w:left="3600" w:hanging="360"/>
      </w:pPr>
      <w:rPr>
        <w:rFonts w:ascii="Courier New" w:hAnsi="Courier New" w:hint="default"/>
      </w:rPr>
    </w:lvl>
    <w:lvl w:ilvl="5" w:tplc="B3D6A8F2">
      <w:start w:val="1"/>
      <w:numFmt w:val="bullet"/>
      <w:lvlText w:val=""/>
      <w:lvlJc w:val="left"/>
      <w:pPr>
        <w:ind w:left="4320" w:hanging="360"/>
      </w:pPr>
      <w:rPr>
        <w:rFonts w:ascii="Wingdings" w:hAnsi="Wingdings" w:hint="default"/>
      </w:rPr>
    </w:lvl>
    <w:lvl w:ilvl="6" w:tplc="F42609D2">
      <w:start w:val="1"/>
      <w:numFmt w:val="bullet"/>
      <w:lvlText w:val=""/>
      <w:lvlJc w:val="left"/>
      <w:pPr>
        <w:ind w:left="5040" w:hanging="360"/>
      </w:pPr>
      <w:rPr>
        <w:rFonts w:ascii="Symbol" w:hAnsi="Symbol" w:hint="default"/>
      </w:rPr>
    </w:lvl>
    <w:lvl w:ilvl="7" w:tplc="33D012A8">
      <w:start w:val="1"/>
      <w:numFmt w:val="bullet"/>
      <w:lvlText w:val="o"/>
      <w:lvlJc w:val="left"/>
      <w:pPr>
        <w:ind w:left="5760" w:hanging="360"/>
      </w:pPr>
      <w:rPr>
        <w:rFonts w:ascii="Courier New" w:hAnsi="Courier New" w:hint="default"/>
      </w:rPr>
    </w:lvl>
    <w:lvl w:ilvl="8" w:tplc="2F2CF65C">
      <w:start w:val="1"/>
      <w:numFmt w:val="bullet"/>
      <w:lvlText w:val=""/>
      <w:lvlJc w:val="left"/>
      <w:pPr>
        <w:ind w:left="6480" w:hanging="360"/>
      </w:pPr>
      <w:rPr>
        <w:rFonts w:ascii="Wingdings" w:hAnsi="Wingdings" w:hint="default"/>
      </w:rPr>
    </w:lvl>
  </w:abstractNum>
  <w:abstractNum w:abstractNumId="18" w15:restartNumberingAfterBreak="0">
    <w:nsid w:val="39214AC4"/>
    <w:multiLevelType w:val="hybridMultilevel"/>
    <w:tmpl w:val="B4B640F6"/>
    <w:lvl w:ilvl="0" w:tplc="84122ADA">
      <w:start w:val="1"/>
      <w:numFmt w:val="bullet"/>
      <w:lvlText w:val="·"/>
      <w:lvlJc w:val="left"/>
      <w:pPr>
        <w:ind w:left="720" w:hanging="360"/>
      </w:pPr>
      <w:rPr>
        <w:rFonts w:ascii="Symbol" w:hAnsi="Symbol" w:hint="default"/>
      </w:rPr>
    </w:lvl>
    <w:lvl w:ilvl="1" w:tplc="4E603836">
      <w:start w:val="1"/>
      <w:numFmt w:val="bullet"/>
      <w:lvlText w:val="o"/>
      <w:lvlJc w:val="left"/>
      <w:pPr>
        <w:ind w:left="1440" w:hanging="360"/>
      </w:pPr>
      <w:rPr>
        <w:rFonts w:ascii="Courier New" w:hAnsi="Courier New" w:hint="default"/>
      </w:rPr>
    </w:lvl>
    <w:lvl w:ilvl="2" w:tplc="DB96863E">
      <w:start w:val="1"/>
      <w:numFmt w:val="bullet"/>
      <w:lvlText w:val=""/>
      <w:lvlJc w:val="left"/>
      <w:pPr>
        <w:ind w:left="2160" w:hanging="360"/>
      </w:pPr>
      <w:rPr>
        <w:rFonts w:ascii="Wingdings" w:hAnsi="Wingdings" w:hint="default"/>
      </w:rPr>
    </w:lvl>
    <w:lvl w:ilvl="3" w:tplc="7480B7D2">
      <w:start w:val="1"/>
      <w:numFmt w:val="bullet"/>
      <w:lvlText w:val=""/>
      <w:lvlJc w:val="left"/>
      <w:pPr>
        <w:ind w:left="2880" w:hanging="360"/>
      </w:pPr>
      <w:rPr>
        <w:rFonts w:ascii="Symbol" w:hAnsi="Symbol" w:hint="default"/>
      </w:rPr>
    </w:lvl>
    <w:lvl w:ilvl="4" w:tplc="9C585DBA">
      <w:start w:val="1"/>
      <w:numFmt w:val="bullet"/>
      <w:lvlText w:val="o"/>
      <w:lvlJc w:val="left"/>
      <w:pPr>
        <w:ind w:left="3600" w:hanging="360"/>
      </w:pPr>
      <w:rPr>
        <w:rFonts w:ascii="Courier New" w:hAnsi="Courier New" w:hint="default"/>
      </w:rPr>
    </w:lvl>
    <w:lvl w:ilvl="5" w:tplc="0DEA30EE">
      <w:start w:val="1"/>
      <w:numFmt w:val="bullet"/>
      <w:lvlText w:val=""/>
      <w:lvlJc w:val="left"/>
      <w:pPr>
        <w:ind w:left="4320" w:hanging="360"/>
      </w:pPr>
      <w:rPr>
        <w:rFonts w:ascii="Wingdings" w:hAnsi="Wingdings" w:hint="default"/>
      </w:rPr>
    </w:lvl>
    <w:lvl w:ilvl="6" w:tplc="AA62057E">
      <w:start w:val="1"/>
      <w:numFmt w:val="bullet"/>
      <w:lvlText w:val=""/>
      <w:lvlJc w:val="left"/>
      <w:pPr>
        <w:ind w:left="5040" w:hanging="360"/>
      </w:pPr>
      <w:rPr>
        <w:rFonts w:ascii="Symbol" w:hAnsi="Symbol" w:hint="default"/>
      </w:rPr>
    </w:lvl>
    <w:lvl w:ilvl="7" w:tplc="FAE26D22">
      <w:start w:val="1"/>
      <w:numFmt w:val="bullet"/>
      <w:lvlText w:val="o"/>
      <w:lvlJc w:val="left"/>
      <w:pPr>
        <w:ind w:left="5760" w:hanging="360"/>
      </w:pPr>
      <w:rPr>
        <w:rFonts w:ascii="Courier New" w:hAnsi="Courier New" w:hint="default"/>
      </w:rPr>
    </w:lvl>
    <w:lvl w:ilvl="8" w:tplc="537E63E4">
      <w:start w:val="1"/>
      <w:numFmt w:val="bullet"/>
      <w:lvlText w:val=""/>
      <w:lvlJc w:val="left"/>
      <w:pPr>
        <w:ind w:left="6480" w:hanging="360"/>
      </w:pPr>
      <w:rPr>
        <w:rFonts w:ascii="Wingdings" w:hAnsi="Wingdings" w:hint="default"/>
      </w:rPr>
    </w:lvl>
  </w:abstractNum>
  <w:abstractNum w:abstractNumId="19" w15:restartNumberingAfterBreak="0">
    <w:nsid w:val="3D25F3E6"/>
    <w:multiLevelType w:val="hybridMultilevel"/>
    <w:tmpl w:val="89867836"/>
    <w:lvl w:ilvl="0" w:tplc="138C3116">
      <w:start w:val="1"/>
      <w:numFmt w:val="bullet"/>
      <w:lvlText w:val=""/>
      <w:lvlJc w:val="left"/>
      <w:pPr>
        <w:ind w:left="720" w:hanging="360"/>
      </w:pPr>
      <w:rPr>
        <w:rFonts w:ascii="Symbol" w:hAnsi="Symbol" w:hint="default"/>
      </w:rPr>
    </w:lvl>
    <w:lvl w:ilvl="1" w:tplc="7DD2482A">
      <w:start w:val="1"/>
      <w:numFmt w:val="bullet"/>
      <w:lvlText w:val="o"/>
      <w:lvlJc w:val="left"/>
      <w:pPr>
        <w:ind w:left="1440" w:hanging="360"/>
      </w:pPr>
      <w:rPr>
        <w:rFonts w:ascii="Courier New" w:hAnsi="Courier New" w:hint="default"/>
      </w:rPr>
    </w:lvl>
    <w:lvl w:ilvl="2" w:tplc="C342523C">
      <w:start w:val="1"/>
      <w:numFmt w:val="bullet"/>
      <w:lvlText w:val=""/>
      <w:lvlJc w:val="left"/>
      <w:pPr>
        <w:ind w:left="2160" w:hanging="360"/>
      </w:pPr>
      <w:rPr>
        <w:rFonts w:ascii="Wingdings" w:hAnsi="Wingdings" w:hint="default"/>
      </w:rPr>
    </w:lvl>
    <w:lvl w:ilvl="3" w:tplc="247876FA">
      <w:start w:val="1"/>
      <w:numFmt w:val="bullet"/>
      <w:lvlText w:val=""/>
      <w:lvlJc w:val="left"/>
      <w:pPr>
        <w:ind w:left="2880" w:hanging="360"/>
      </w:pPr>
      <w:rPr>
        <w:rFonts w:ascii="Symbol" w:hAnsi="Symbol" w:hint="default"/>
      </w:rPr>
    </w:lvl>
    <w:lvl w:ilvl="4" w:tplc="C5A24E4A">
      <w:start w:val="1"/>
      <w:numFmt w:val="bullet"/>
      <w:lvlText w:val="o"/>
      <w:lvlJc w:val="left"/>
      <w:pPr>
        <w:ind w:left="3600" w:hanging="360"/>
      </w:pPr>
      <w:rPr>
        <w:rFonts w:ascii="Courier New" w:hAnsi="Courier New" w:hint="default"/>
      </w:rPr>
    </w:lvl>
    <w:lvl w:ilvl="5" w:tplc="CE0054E2">
      <w:start w:val="1"/>
      <w:numFmt w:val="bullet"/>
      <w:lvlText w:val=""/>
      <w:lvlJc w:val="left"/>
      <w:pPr>
        <w:ind w:left="4320" w:hanging="360"/>
      </w:pPr>
      <w:rPr>
        <w:rFonts w:ascii="Wingdings" w:hAnsi="Wingdings" w:hint="default"/>
      </w:rPr>
    </w:lvl>
    <w:lvl w:ilvl="6" w:tplc="C9B4BAE2">
      <w:start w:val="1"/>
      <w:numFmt w:val="bullet"/>
      <w:lvlText w:val=""/>
      <w:lvlJc w:val="left"/>
      <w:pPr>
        <w:ind w:left="5040" w:hanging="360"/>
      </w:pPr>
      <w:rPr>
        <w:rFonts w:ascii="Symbol" w:hAnsi="Symbol" w:hint="default"/>
      </w:rPr>
    </w:lvl>
    <w:lvl w:ilvl="7" w:tplc="1428C0F8">
      <w:start w:val="1"/>
      <w:numFmt w:val="bullet"/>
      <w:lvlText w:val="o"/>
      <w:lvlJc w:val="left"/>
      <w:pPr>
        <w:ind w:left="5760" w:hanging="360"/>
      </w:pPr>
      <w:rPr>
        <w:rFonts w:ascii="Courier New" w:hAnsi="Courier New" w:hint="default"/>
      </w:rPr>
    </w:lvl>
    <w:lvl w:ilvl="8" w:tplc="5FACE4C8">
      <w:start w:val="1"/>
      <w:numFmt w:val="bullet"/>
      <w:lvlText w:val=""/>
      <w:lvlJc w:val="left"/>
      <w:pPr>
        <w:ind w:left="6480" w:hanging="360"/>
      </w:pPr>
      <w:rPr>
        <w:rFonts w:ascii="Wingdings" w:hAnsi="Wingdings" w:hint="default"/>
      </w:rPr>
    </w:lvl>
  </w:abstractNum>
  <w:abstractNum w:abstractNumId="20" w15:restartNumberingAfterBreak="0">
    <w:nsid w:val="3EAA335E"/>
    <w:multiLevelType w:val="hybridMultilevel"/>
    <w:tmpl w:val="6AB898F6"/>
    <w:lvl w:ilvl="0" w:tplc="B51C8EB2">
      <w:start w:val="1"/>
      <w:numFmt w:val="decimal"/>
      <w:pStyle w:val="NumberedList"/>
      <w:lvlText w:val="%1."/>
      <w:lvlJc w:val="left"/>
      <w:pPr>
        <w:ind w:left="720" w:hanging="360"/>
      </w:pPr>
      <w:rPr>
        <w:rFonts w:ascii="Segoe UI" w:hAnsi="Segoe UI" w:hint="default"/>
        <w:b w:val="0"/>
        <w:i w:val="0"/>
        <w:color w:val="009FE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2377AC0"/>
    <w:multiLevelType w:val="hybridMultilevel"/>
    <w:tmpl w:val="07E07E7C"/>
    <w:lvl w:ilvl="0" w:tplc="B7E67BDA">
      <w:start w:val="1"/>
      <w:numFmt w:val="bullet"/>
      <w:lvlText w:val=""/>
      <w:lvlJc w:val="left"/>
      <w:pPr>
        <w:ind w:left="720" w:hanging="360"/>
      </w:pPr>
      <w:rPr>
        <w:rFonts w:ascii="Symbol" w:hAnsi="Symbol" w:hint="default"/>
      </w:rPr>
    </w:lvl>
    <w:lvl w:ilvl="1" w:tplc="CE02DD30">
      <w:start w:val="1"/>
      <w:numFmt w:val="bullet"/>
      <w:lvlText w:val="o"/>
      <w:lvlJc w:val="left"/>
      <w:pPr>
        <w:ind w:left="1440" w:hanging="360"/>
      </w:pPr>
      <w:rPr>
        <w:rFonts w:ascii="Courier New" w:hAnsi="Courier New" w:hint="default"/>
      </w:rPr>
    </w:lvl>
    <w:lvl w:ilvl="2" w:tplc="36A859FA">
      <w:start w:val="1"/>
      <w:numFmt w:val="bullet"/>
      <w:lvlText w:val=""/>
      <w:lvlJc w:val="left"/>
      <w:pPr>
        <w:ind w:left="2160" w:hanging="360"/>
      </w:pPr>
      <w:rPr>
        <w:rFonts w:ascii="Wingdings" w:hAnsi="Wingdings" w:hint="default"/>
      </w:rPr>
    </w:lvl>
    <w:lvl w:ilvl="3" w:tplc="4B06A420">
      <w:start w:val="1"/>
      <w:numFmt w:val="bullet"/>
      <w:lvlText w:val=""/>
      <w:lvlJc w:val="left"/>
      <w:pPr>
        <w:ind w:left="2880" w:hanging="360"/>
      </w:pPr>
      <w:rPr>
        <w:rFonts w:ascii="Symbol" w:hAnsi="Symbol" w:hint="default"/>
      </w:rPr>
    </w:lvl>
    <w:lvl w:ilvl="4" w:tplc="05CE18AA">
      <w:start w:val="1"/>
      <w:numFmt w:val="bullet"/>
      <w:lvlText w:val="o"/>
      <w:lvlJc w:val="left"/>
      <w:pPr>
        <w:ind w:left="3600" w:hanging="360"/>
      </w:pPr>
      <w:rPr>
        <w:rFonts w:ascii="Courier New" w:hAnsi="Courier New" w:hint="default"/>
      </w:rPr>
    </w:lvl>
    <w:lvl w:ilvl="5" w:tplc="9EEE923C">
      <w:start w:val="1"/>
      <w:numFmt w:val="bullet"/>
      <w:lvlText w:val=""/>
      <w:lvlJc w:val="left"/>
      <w:pPr>
        <w:ind w:left="4320" w:hanging="360"/>
      </w:pPr>
      <w:rPr>
        <w:rFonts w:ascii="Wingdings" w:hAnsi="Wingdings" w:hint="default"/>
      </w:rPr>
    </w:lvl>
    <w:lvl w:ilvl="6" w:tplc="6ABAEE4C">
      <w:start w:val="1"/>
      <w:numFmt w:val="bullet"/>
      <w:lvlText w:val=""/>
      <w:lvlJc w:val="left"/>
      <w:pPr>
        <w:ind w:left="5040" w:hanging="360"/>
      </w:pPr>
      <w:rPr>
        <w:rFonts w:ascii="Symbol" w:hAnsi="Symbol" w:hint="default"/>
      </w:rPr>
    </w:lvl>
    <w:lvl w:ilvl="7" w:tplc="7B5639EE">
      <w:start w:val="1"/>
      <w:numFmt w:val="bullet"/>
      <w:lvlText w:val="o"/>
      <w:lvlJc w:val="left"/>
      <w:pPr>
        <w:ind w:left="5760" w:hanging="360"/>
      </w:pPr>
      <w:rPr>
        <w:rFonts w:ascii="Courier New" w:hAnsi="Courier New" w:hint="default"/>
      </w:rPr>
    </w:lvl>
    <w:lvl w:ilvl="8" w:tplc="E200BB4C">
      <w:start w:val="1"/>
      <w:numFmt w:val="bullet"/>
      <w:lvlText w:val=""/>
      <w:lvlJc w:val="left"/>
      <w:pPr>
        <w:ind w:left="6480" w:hanging="360"/>
      </w:pPr>
      <w:rPr>
        <w:rFonts w:ascii="Wingdings" w:hAnsi="Wingdings" w:hint="default"/>
      </w:rPr>
    </w:lvl>
  </w:abstractNum>
  <w:abstractNum w:abstractNumId="22" w15:restartNumberingAfterBreak="0">
    <w:nsid w:val="4639712E"/>
    <w:multiLevelType w:val="hybridMultilevel"/>
    <w:tmpl w:val="5ABA07CA"/>
    <w:lvl w:ilvl="0" w:tplc="3E9C71AC">
      <w:start w:val="1"/>
      <w:numFmt w:val="bullet"/>
      <w:lvlText w:val=""/>
      <w:lvlJc w:val="left"/>
      <w:pPr>
        <w:ind w:left="720" w:hanging="360"/>
      </w:pPr>
      <w:rPr>
        <w:rFonts w:ascii="Symbol" w:hAnsi="Symbol" w:hint="default"/>
      </w:rPr>
    </w:lvl>
    <w:lvl w:ilvl="1" w:tplc="453EC1EE">
      <w:start w:val="1"/>
      <w:numFmt w:val="bullet"/>
      <w:lvlText w:val="o"/>
      <w:lvlJc w:val="left"/>
      <w:pPr>
        <w:ind w:left="1440" w:hanging="360"/>
      </w:pPr>
      <w:rPr>
        <w:rFonts w:ascii="Courier New" w:hAnsi="Courier New" w:hint="default"/>
      </w:rPr>
    </w:lvl>
    <w:lvl w:ilvl="2" w:tplc="59B047F8">
      <w:start w:val="1"/>
      <w:numFmt w:val="bullet"/>
      <w:lvlText w:val=""/>
      <w:lvlJc w:val="left"/>
      <w:pPr>
        <w:ind w:left="2160" w:hanging="360"/>
      </w:pPr>
      <w:rPr>
        <w:rFonts w:ascii="Wingdings" w:hAnsi="Wingdings" w:hint="default"/>
      </w:rPr>
    </w:lvl>
    <w:lvl w:ilvl="3" w:tplc="61B4B33E">
      <w:start w:val="1"/>
      <w:numFmt w:val="bullet"/>
      <w:lvlText w:val=""/>
      <w:lvlJc w:val="left"/>
      <w:pPr>
        <w:ind w:left="2880" w:hanging="360"/>
      </w:pPr>
      <w:rPr>
        <w:rFonts w:ascii="Symbol" w:hAnsi="Symbol" w:hint="default"/>
      </w:rPr>
    </w:lvl>
    <w:lvl w:ilvl="4" w:tplc="0470817A">
      <w:start w:val="1"/>
      <w:numFmt w:val="bullet"/>
      <w:lvlText w:val="o"/>
      <w:lvlJc w:val="left"/>
      <w:pPr>
        <w:ind w:left="3600" w:hanging="360"/>
      </w:pPr>
      <w:rPr>
        <w:rFonts w:ascii="Courier New" w:hAnsi="Courier New" w:hint="default"/>
      </w:rPr>
    </w:lvl>
    <w:lvl w:ilvl="5" w:tplc="C74C3668">
      <w:start w:val="1"/>
      <w:numFmt w:val="bullet"/>
      <w:lvlText w:val=""/>
      <w:lvlJc w:val="left"/>
      <w:pPr>
        <w:ind w:left="4320" w:hanging="360"/>
      </w:pPr>
      <w:rPr>
        <w:rFonts w:ascii="Wingdings" w:hAnsi="Wingdings" w:hint="default"/>
      </w:rPr>
    </w:lvl>
    <w:lvl w:ilvl="6" w:tplc="9F528078">
      <w:start w:val="1"/>
      <w:numFmt w:val="bullet"/>
      <w:lvlText w:val=""/>
      <w:lvlJc w:val="left"/>
      <w:pPr>
        <w:ind w:left="5040" w:hanging="360"/>
      </w:pPr>
      <w:rPr>
        <w:rFonts w:ascii="Symbol" w:hAnsi="Symbol" w:hint="default"/>
      </w:rPr>
    </w:lvl>
    <w:lvl w:ilvl="7" w:tplc="E5101C7C">
      <w:start w:val="1"/>
      <w:numFmt w:val="bullet"/>
      <w:lvlText w:val="o"/>
      <w:lvlJc w:val="left"/>
      <w:pPr>
        <w:ind w:left="5760" w:hanging="360"/>
      </w:pPr>
      <w:rPr>
        <w:rFonts w:ascii="Courier New" w:hAnsi="Courier New" w:hint="default"/>
      </w:rPr>
    </w:lvl>
    <w:lvl w:ilvl="8" w:tplc="161EC870">
      <w:start w:val="1"/>
      <w:numFmt w:val="bullet"/>
      <w:lvlText w:val=""/>
      <w:lvlJc w:val="left"/>
      <w:pPr>
        <w:ind w:left="6480" w:hanging="360"/>
      </w:pPr>
      <w:rPr>
        <w:rFonts w:ascii="Wingdings" w:hAnsi="Wingdings" w:hint="default"/>
      </w:rPr>
    </w:lvl>
  </w:abstractNum>
  <w:abstractNum w:abstractNumId="23" w15:restartNumberingAfterBreak="0">
    <w:nsid w:val="49783D08"/>
    <w:multiLevelType w:val="hybridMultilevel"/>
    <w:tmpl w:val="3A2AAB90"/>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24" w15:restartNumberingAfterBreak="0">
    <w:nsid w:val="4E487FA4"/>
    <w:multiLevelType w:val="hybridMultilevel"/>
    <w:tmpl w:val="FFFFFFFF"/>
    <w:lvl w:ilvl="0" w:tplc="2F0EA576">
      <w:start w:val="1"/>
      <w:numFmt w:val="lowerRoman"/>
      <w:lvlText w:val="%1."/>
      <w:lvlJc w:val="right"/>
      <w:pPr>
        <w:ind w:left="720" w:hanging="360"/>
      </w:pPr>
    </w:lvl>
    <w:lvl w:ilvl="1" w:tplc="193436F4">
      <w:start w:val="1"/>
      <w:numFmt w:val="lowerLetter"/>
      <w:lvlText w:val="%2."/>
      <w:lvlJc w:val="left"/>
      <w:pPr>
        <w:ind w:left="1440" w:hanging="360"/>
      </w:pPr>
    </w:lvl>
    <w:lvl w:ilvl="2" w:tplc="AE0CB450">
      <w:start w:val="1"/>
      <w:numFmt w:val="lowerRoman"/>
      <w:lvlText w:val="%3."/>
      <w:lvlJc w:val="right"/>
      <w:pPr>
        <w:ind w:left="2160" w:hanging="180"/>
      </w:pPr>
    </w:lvl>
    <w:lvl w:ilvl="3" w:tplc="0F0C7C28">
      <w:start w:val="1"/>
      <w:numFmt w:val="decimal"/>
      <w:lvlText w:val="%4."/>
      <w:lvlJc w:val="left"/>
      <w:pPr>
        <w:ind w:left="2880" w:hanging="360"/>
      </w:pPr>
    </w:lvl>
    <w:lvl w:ilvl="4" w:tplc="6BE8065E">
      <w:start w:val="1"/>
      <w:numFmt w:val="lowerLetter"/>
      <w:lvlText w:val="%5."/>
      <w:lvlJc w:val="left"/>
      <w:pPr>
        <w:ind w:left="3600" w:hanging="360"/>
      </w:pPr>
    </w:lvl>
    <w:lvl w:ilvl="5" w:tplc="A56CB51E">
      <w:start w:val="1"/>
      <w:numFmt w:val="lowerRoman"/>
      <w:lvlText w:val="%6."/>
      <w:lvlJc w:val="right"/>
      <w:pPr>
        <w:ind w:left="4320" w:hanging="180"/>
      </w:pPr>
    </w:lvl>
    <w:lvl w:ilvl="6" w:tplc="F31401C2">
      <w:start w:val="1"/>
      <w:numFmt w:val="decimal"/>
      <w:lvlText w:val="%7."/>
      <w:lvlJc w:val="left"/>
      <w:pPr>
        <w:ind w:left="5040" w:hanging="360"/>
      </w:pPr>
    </w:lvl>
    <w:lvl w:ilvl="7" w:tplc="E31C3280">
      <w:start w:val="1"/>
      <w:numFmt w:val="lowerLetter"/>
      <w:lvlText w:val="%8."/>
      <w:lvlJc w:val="left"/>
      <w:pPr>
        <w:ind w:left="5760" w:hanging="360"/>
      </w:pPr>
    </w:lvl>
    <w:lvl w:ilvl="8" w:tplc="CC16E0F6">
      <w:start w:val="1"/>
      <w:numFmt w:val="lowerRoman"/>
      <w:lvlText w:val="%9."/>
      <w:lvlJc w:val="right"/>
      <w:pPr>
        <w:ind w:left="6480" w:hanging="180"/>
      </w:pPr>
    </w:lvl>
  </w:abstractNum>
  <w:abstractNum w:abstractNumId="25" w15:restartNumberingAfterBreak="0">
    <w:nsid w:val="5286D2FD"/>
    <w:multiLevelType w:val="hybridMultilevel"/>
    <w:tmpl w:val="AF98CE56"/>
    <w:lvl w:ilvl="0" w:tplc="565A1E6E">
      <w:start w:val="1"/>
      <w:numFmt w:val="bullet"/>
      <w:lvlText w:val="·"/>
      <w:lvlJc w:val="left"/>
      <w:pPr>
        <w:ind w:left="720" w:hanging="360"/>
      </w:pPr>
      <w:rPr>
        <w:rFonts w:ascii="Symbol" w:hAnsi="Symbol" w:hint="default"/>
      </w:rPr>
    </w:lvl>
    <w:lvl w:ilvl="1" w:tplc="A8680A16">
      <w:start w:val="1"/>
      <w:numFmt w:val="bullet"/>
      <w:lvlText w:val="o"/>
      <w:lvlJc w:val="left"/>
      <w:pPr>
        <w:ind w:left="1440" w:hanging="360"/>
      </w:pPr>
      <w:rPr>
        <w:rFonts w:ascii="Courier New" w:hAnsi="Courier New" w:hint="default"/>
      </w:rPr>
    </w:lvl>
    <w:lvl w:ilvl="2" w:tplc="36388520">
      <w:start w:val="1"/>
      <w:numFmt w:val="bullet"/>
      <w:lvlText w:val=""/>
      <w:lvlJc w:val="left"/>
      <w:pPr>
        <w:ind w:left="2160" w:hanging="360"/>
      </w:pPr>
      <w:rPr>
        <w:rFonts w:ascii="Wingdings" w:hAnsi="Wingdings" w:hint="default"/>
      </w:rPr>
    </w:lvl>
    <w:lvl w:ilvl="3" w:tplc="9BE4EF0E">
      <w:start w:val="1"/>
      <w:numFmt w:val="bullet"/>
      <w:lvlText w:val=""/>
      <w:lvlJc w:val="left"/>
      <w:pPr>
        <w:ind w:left="2880" w:hanging="360"/>
      </w:pPr>
      <w:rPr>
        <w:rFonts w:ascii="Symbol" w:hAnsi="Symbol" w:hint="default"/>
      </w:rPr>
    </w:lvl>
    <w:lvl w:ilvl="4" w:tplc="8B68BA66">
      <w:start w:val="1"/>
      <w:numFmt w:val="bullet"/>
      <w:lvlText w:val="o"/>
      <w:lvlJc w:val="left"/>
      <w:pPr>
        <w:ind w:left="3600" w:hanging="360"/>
      </w:pPr>
      <w:rPr>
        <w:rFonts w:ascii="Courier New" w:hAnsi="Courier New" w:hint="default"/>
      </w:rPr>
    </w:lvl>
    <w:lvl w:ilvl="5" w:tplc="72EADBCE">
      <w:start w:val="1"/>
      <w:numFmt w:val="bullet"/>
      <w:lvlText w:val=""/>
      <w:lvlJc w:val="left"/>
      <w:pPr>
        <w:ind w:left="4320" w:hanging="360"/>
      </w:pPr>
      <w:rPr>
        <w:rFonts w:ascii="Wingdings" w:hAnsi="Wingdings" w:hint="default"/>
      </w:rPr>
    </w:lvl>
    <w:lvl w:ilvl="6" w:tplc="E8D25632">
      <w:start w:val="1"/>
      <w:numFmt w:val="bullet"/>
      <w:lvlText w:val=""/>
      <w:lvlJc w:val="left"/>
      <w:pPr>
        <w:ind w:left="5040" w:hanging="360"/>
      </w:pPr>
      <w:rPr>
        <w:rFonts w:ascii="Symbol" w:hAnsi="Symbol" w:hint="default"/>
      </w:rPr>
    </w:lvl>
    <w:lvl w:ilvl="7" w:tplc="2A6AA4FA">
      <w:start w:val="1"/>
      <w:numFmt w:val="bullet"/>
      <w:lvlText w:val="o"/>
      <w:lvlJc w:val="left"/>
      <w:pPr>
        <w:ind w:left="5760" w:hanging="360"/>
      </w:pPr>
      <w:rPr>
        <w:rFonts w:ascii="Courier New" w:hAnsi="Courier New" w:hint="default"/>
      </w:rPr>
    </w:lvl>
    <w:lvl w:ilvl="8" w:tplc="9DDCA23E">
      <w:start w:val="1"/>
      <w:numFmt w:val="bullet"/>
      <w:lvlText w:val=""/>
      <w:lvlJc w:val="left"/>
      <w:pPr>
        <w:ind w:left="6480" w:hanging="360"/>
      </w:pPr>
      <w:rPr>
        <w:rFonts w:ascii="Wingdings" w:hAnsi="Wingdings" w:hint="default"/>
      </w:rPr>
    </w:lvl>
  </w:abstractNum>
  <w:abstractNum w:abstractNumId="26" w15:restartNumberingAfterBreak="0">
    <w:nsid w:val="52AFF83E"/>
    <w:multiLevelType w:val="hybridMultilevel"/>
    <w:tmpl w:val="4BAA2DBE"/>
    <w:lvl w:ilvl="0" w:tplc="1BA6F986">
      <w:start w:val="1"/>
      <w:numFmt w:val="bullet"/>
      <w:lvlText w:val="·"/>
      <w:lvlJc w:val="left"/>
      <w:pPr>
        <w:ind w:left="720" w:hanging="360"/>
      </w:pPr>
      <w:rPr>
        <w:rFonts w:ascii="Symbol" w:hAnsi="Symbol" w:hint="default"/>
      </w:rPr>
    </w:lvl>
    <w:lvl w:ilvl="1" w:tplc="3E34BD26">
      <w:start w:val="1"/>
      <w:numFmt w:val="bullet"/>
      <w:lvlText w:val="o"/>
      <w:lvlJc w:val="left"/>
      <w:pPr>
        <w:ind w:left="1440" w:hanging="360"/>
      </w:pPr>
      <w:rPr>
        <w:rFonts w:ascii="Courier New" w:hAnsi="Courier New" w:hint="default"/>
      </w:rPr>
    </w:lvl>
    <w:lvl w:ilvl="2" w:tplc="D13C990C">
      <w:start w:val="1"/>
      <w:numFmt w:val="bullet"/>
      <w:lvlText w:val=""/>
      <w:lvlJc w:val="left"/>
      <w:pPr>
        <w:ind w:left="2160" w:hanging="360"/>
      </w:pPr>
      <w:rPr>
        <w:rFonts w:ascii="Wingdings" w:hAnsi="Wingdings" w:hint="default"/>
      </w:rPr>
    </w:lvl>
    <w:lvl w:ilvl="3" w:tplc="CC5C6F34">
      <w:start w:val="1"/>
      <w:numFmt w:val="bullet"/>
      <w:lvlText w:val=""/>
      <w:lvlJc w:val="left"/>
      <w:pPr>
        <w:ind w:left="2880" w:hanging="360"/>
      </w:pPr>
      <w:rPr>
        <w:rFonts w:ascii="Symbol" w:hAnsi="Symbol" w:hint="default"/>
      </w:rPr>
    </w:lvl>
    <w:lvl w:ilvl="4" w:tplc="BEB4AE6C">
      <w:start w:val="1"/>
      <w:numFmt w:val="bullet"/>
      <w:lvlText w:val="o"/>
      <w:lvlJc w:val="left"/>
      <w:pPr>
        <w:ind w:left="3600" w:hanging="360"/>
      </w:pPr>
      <w:rPr>
        <w:rFonts w:ascii="Courier New" w:hAnsi="Courier New" w:hint="default"/>
      </w:rPr>
    </w:lvl>
    <w:lvl w:ilvl="5" w:tplc="19B8F7E4">
      <w:start w:val="1"/>
      <w:numFmt w:val="bullet"/>
      <w:lvlText w:val=""/>
      <w:lvlJc w:val="left"/>
      <w:pPr>
        <w:ind w:left="4320" w:hanging="360"/>
      </w:pPr>
      <w:rPr>
        <w:rFonts w:ascii="Wingdings" w:hAnsi="Wingdings" w:hint="default"/>
      </w:rPr>
    </w:lvl>
    <w:lvl w:ilvl="6" w:tplc="8D4E6E9A">
      <w:start w:val="1"/>
      <w:numFmt w:val="bullet"/>
      <w:lvlText w:val=""/>
      <w:lvlJc w:val="left"/>
      <w:pPr>
        <w:ind w:left="5040" w:hanging="360"/>
      </w:pPr>
      <w:rPr>
        <w:rFonts w:ascii="Symbol" w:hAnsi="Symbol" w:hint="default"/>
      </w:rPr>
    </w:lvl>
    <w:lvl w:ilvl="7" w:tplc="7E74BA2C">
      <w:start w:val="1"/>
      <w:numFmt w:val="bullet"/>
      <w:lvlText w:val="o"/>
      <w:lvlJc w:val="left"/>
      <w:pPr>
        <w:ind w:left="5760" w:hanging="360"/>
      </w:pPr>
      <w:rPr>
        <w:rFonts w:ascii="Courier New" w:hAnsi="Courier New" w:hint="default"/>
      </w:rPr>
    </w:lvl>
    <w:lvl w:ilvl="8" w:tplc="CCF45F8C">
      <w:start w:val="1"/>
      <w:numFmt w:val="bullet"/>
      <w:lvlText w:val=""/>
      <w:lvlJc w:val="left"/>
      <w:pPr>
        <w:ind w:left="6480" w:hanging="360"/>
      </w:pPr>
      <w:rPr>
        <w:rFonts w:ascii="Wingdings" w:hAnsi="Wingdings" w:hint="default"/>
      </w:rPr>
    </w:lvl>
  </w:abstractNum>
  <w:abstractNum w:abstractNumId="27" w15:restartNumberingAfterBreak="0">
    <w:nsid w:val="58C000F6"/>
    <w:multiLevelType w:val="hybridMultilevel"/>
    <w:tmpl w:val="65549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402F49"/>
    <w:multiLevelType w:val="hybridMultilevel"/>
    <w:tmpl w:val="BD2823B0"/>
    <w:lvl w:ilvl="0" w:tplc="5DBA173E">
      <w:start w:val="1"/>
      <w:numFmt w:val="bullet"/>
      <w:lvlText w:val="·"/>
      <w:lvlJc w:val="left"/>
      <w:pPr>
        <w:ind w:left="720" w:hanging="360"/>
      </w:pPr>
      <w:rPr>
        <w:rFonts w:ascii="Symbol" w:hAnsi="Symbol" w:hint="default"/>
      </w:rPr>
    </w:lvl>
    <w:lvl w:ilvl="1" w:tplc="14568F96">
      <w:start w:val="1"/>
      <w:numFmt w:val="bullet"/>
      <w:lvlText w:val="o"/>
      <w:lvlJc w:val="left"/>
      <w:pPr>
        <w:ind w:left="1440" w:hanging="360"/>
      </w:pPr>
      <w:rPr>
        <w:rFonts w:ascii="Courier New" w:hAnsi="Courier New" w:hint="default"/>
      </w:rPr>
    </w:lvl>
    <w:lvl w:ilvl="2" w:tplc="0BBECC5A">
      <w:start w:val="1"/>
      <w:numFmt w:val="bullet"/>
      <w:lvlText w:val=""/>
      <w:lvlJc w:val="left"/>
      <w:pPr>
        <w:ind w:left="2160" w:hanging="360"/>
      </w:pPr>
      <w:rPr>
        <w:rFonts w:ascii="Wingdings" w:hAnsi="Wingdings" w:hint="default"/>
      </w:rPr>
    </w:lvl>
    <w:lvl w:ilvl="3" w:tplc="33A0C802">
      <w:start w:val="1"/>
      <w:numFmt w:val="bullet"/>
      <w:lvlText w:val=""/>
      <w:lvlJc w:val="left"/>
      <w:pPr>
        <w:ind w:left="2880" w:hanging="360"/>
      </w:pPr>
      <w:rPr>
        <w:rFonts w:ascii="Symbol" w:hAnsi="Symbol" w:hint="default"/>
      </w:rPr>
    </w:lvl>
    <w:lvl w:ilvl="4" w:tplc="71009734">
      <w:start w:val="1"/>
      <w:numFmt w:val="bullet"/>
      <w:lvlText w:val="o"/>
      <w:lvlJc w:val="left"/>
      <w:pPr>
        <w:ind w:left="3600" w:hanging="360"/>
      </w:pPr>
      <w:rPr>
        <w:rFonts w:ascii="Courier New" w:hAnsi="Courier New" w:hint="default"/>
      </w:rPr>
    </w:lvl>
    <w:lvl w:ilvl="5" w:tplc="255480A0">
      <w:start w:val="1"/>
      <w:numFmt w:val="bullet"/>
      <w:lvlText w:val=""/>
      <w:lvlJc w:val="left"/>
      <w:pPr>
        <w:ind w:left="4320" w:hanging="360"/>
      </w:pPr>
      <w:rPr>
        <w:rFonts w:ascii="Wingdings" w:hAnsi="Wingdings" w:hint="default"/>
      </w:rPr>
    </w:lvl>
    <w:lvl w:ilvl="6" w:tplc="01BAB910">
      <w:start w:val="1"/>
      <w:numFmt w:val="bullet"/>
      <w:lvlText w:val=""/>
      <w:lvlJc w:val="left"/>
      <w:pPr>
        <w:ind w:left="5040" w:hanging="360"/>
      </w:pPr>
      <w:rPr>
        <w:rFonts w:ascii="Symbol" w:hAnsi="Symbol" w:hint="default"/>
      </w:rPr>
    </w:lvl>
    <w:lvl w:ilvl="7" w:tplc="23189C8E">
      <w:start w:val="1"/>
      <w:numFmt w:val="bullet"/>
      <w:lvlText w:val="o"/>
      <w:lvlJc w:val="left"/>
      <w:pPr>
        <w:ind w:left="5760" w:hanging="360"/>
      </w:pPr>
      <w:rPr>
        <w:rFonts w:ascii="Courier New" w:hAnsi="Courier New" w:hint="default"/>
      </w:rPr>
    </w:lvl>
    <w:lvl w:ilvl="8" w:tplc="6540CB2E">
      <w:start w:val="1"/>
      <w:numFmt w:val="bullet"/>
      <w:lvlText w:val=""/>
      <w:lvlJc w:val="left"/>
      <w:pPr>
        <w:ind w:left="6480" w:hanging="360"/>
      </w:pPr>
      <w:rPr>
        <w:rFonts w:ascii="Wingdings" w:hAnsi="Wingdings" w:hint="default"/>
      </w:rPr>
    </w:lvl>
  </w:abstractNum>
  <w:abstractNum w:abstractNumId="29" w15:restartNumberingAfterBreak="0">
    <w:nsid w:val="679695DE"/>
    <w:multiLevelType w:val="hybridMultilevel"/>
    <w:tmpl w:val="E250BE70"/>
    <w:lvl w:ilvl="0" w:tplc="57DCE8B4">
      <w:start w:val="1"/>
      <w:numFmt w:val="bullet"/>
      <w:lvlText w:val="·"/>
      <w:lvlJc w:val="left"/>
      <w:pPr>
        <w:ind w:left="720" w:hanging="360"/>
      </w:pPr>
      <w:rPr>
        <w:rFonts w:ascii="Symbol" w:hAnsi="Symbol" w:hint="default"/>
      </w:rPr>
    </w:lvl>
    <w:lvl w:ilvl="1" w:tplc="E2461478">
      <w:start w:val="1"/>
      <w:numFmt w:val="bullet"/>
      <w:lvlText w:val="o"/>
      <w:lvlJc w:val="left"/>
      <w:pPr>
        <w:ind w:left="1440" w:hanging="360"/>
      </w:pPr>
      <w:rPr>
        <w:rFonts w:ascii="Courier New" w:hAnsi="Courier New" w:hint="default"/>
      </w:rPr>
    </w:lvl>
    <w:lvl w:ilvl="2" w:tplc="B7EC7550">
      <w:start w:val="1"/>
      <w:numFmt w:val="bullet"/>
      <w:lvlText w:val=""/>
      <w:lvlJc w:val="left"/>
      <w:pPr>
        <w:ind w:left="2160" w:hanging="360"/>
      </w:pPr>
      <w:rPr>
        <w:rFonts w:ascii="Wingdings" w:hAnsi="Wingdings" w:hint="default"/>
      </w:rPr>
    </w:lvl>
    <w:lvl w:ilvl="3" w:tplc="F12A9374">
      <w:start w:val="1"/>
      <w:numFmt w:val="bullet"/>
      <w:lvlText w:val=""/>
      <w:lvlJc w:val="left"/>
      <w:pPr>
        <w:ind w:left="2880" w:hanging="360"/>
      </w:pPr>
      <w:rPr>
        <w:rFonts w:ascii="Symbol" w:hAnsi="Symbol" w:hint="default"/>
      </w:rPr>
    </w:lvl>
    <w:lvl w:ilvl="4" w:tplc="75F248A4">
      <w:start w:val="1"/>
      <w:numFmt w:val="bullet"/>
      <w:lvlText w:val="o"/>
      <w:lvlJc w:val="left"/>
      <w:pPr>
        <w:ind w:left="3600" w:hanging="360"/>
      </w:pPr>
      <w:rPr>
        <w:rFonts w:ascii="Courier New" w:hAnsi="Courier New" w:hint="default"/>
      </w:rPr>
    </w:lvl>
    <w:lvl w:ilvl="5" w:tplc="459603A2">
      <w:start w:val="1"/>
      <w:numFmt w:val="bullet"/>
      <w:lvlText w:val=""/>
      <w:lvlJc w:val="left"/>
      <w:pPr>
        <w:ind w:left="4320" w:hanging="360"/>
      </w:pPr>
      <w:rPr>
        <w:rFonts w:ascii="Wingdings" w:hAnsi="Wingdings" w:hint="default"/>
      </w:rPr>
    </w:lvl>
    <w:lvl w:ilvl="6" w:tplc="C8B2D4A2">
      <w:start w:val="1"/>
      <w:numFmt w:val="bullet"/>
      <w:lvlText w:val=""/>
      <w:lvlJc w:val="left"/>
      <w:pPr>
        <w:ind w:left="5040" w:hanging="360"/>
      </w:pPr>
      <w:rPr>
        <w:rFonts w:ascii="Symbol" w:hAnsi="Symbol" w:hint="default"/>
      </w:rPr>
    </w:lvl>
    <w:lvl w:ilvl="7" w:tplc="E15C25E0">
      <w:start w:val="1"/>
      <w:numFmt w:val="bullet"/>
      <w:lvlText w:val="o"/>
      <w:lvlJc w:val="left"/>
      <w:pPr>
        <w:ind w:left="5760" w:hanging="360"/>
      </w:pPr>
      <w:rPr>
        <w:rFonts w:ascii="Courier New" w:hAnsi="Courier New" w:hint="default"/>
      </w:rPr>
    </w:lvl>
    <w:lvl w:ilvl="8" w:tplc="523AFCE2">
      <w:start w:val="1"/>
      <w:numFmt w:val="bullet"/>
      <w:lvlText w:val=""/>
      <w:lvlJc w:val="left"/>
      <w:pPr>
        <w:ind w:left="6480" w:hanging="360"/>
      </w:pPr>
      <w:rPr>
        <w:rFonts w:ascii="Wingdings" w:hAnsi="Wingdings" w:hint="default"/>
      </w:rPr>
    </w:lvl>
  </w:abstractNum>
  <w:abstractNum w:abstractNumId="30" w15:restartNumberingAfterBreak="0">
    <w:nsid w:val="77584D27"/>
    <w:multiLevelType w:val="hybridMultilevel"/>
    <w:tmpl w:val="0C80C5C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1" w15:restartNumberingAfterBreak="0">
    <w:nsid w:val="7D1EA73B"/>
    <w:multiLevelType w:val="hybridMultilevel"/>
    <w:tmpl w:val="FFFFFFFF"/>
    <w:lvl w:ilvl="0" w:tplc="324E6234">
      <w:start w:val="1"/>
      <w:numFmt w:val="bullet"/>
      <w:lvlText w:val="·"/>
      <w:lvlJc w:val="left"/>
      <w:pPr>
        <w:ind w:left="720" w:hanging="360"/>
      </w:pPr>
      <w:rPr>
        <w:rFonts w:ascii="Symbol" w:hAnsi="Symbol" w:hint="default"/>
      </w:rPr>
    </w:lvl>
    <w:lvl w:ilvl="1" w:tplc="F46A2C8E">
      <w:start w:val="1"/>
      <w:numFmt w:val="bullet"/>
      <w:lvlText w:val="o"/>
      <w:lvlJc w:val="left"/>
      <w:pPr>
        <w:ind w:left="1440" w:hanging="360"/>
      </w:pPr>
      <w:rPr>
        <w:rFonts w:ascii="Courier New" w:hAnsi="Courier New" w:hint="default"/>
      </w:rPr>
    </w:lvl>
    <w:lvl w:ilvl="2" w:tplc="A7E2F1F6">
      <w:start w:val="1"/>
      <w:numFmt w:val="bullet"/>
      <w:lvlText w:val=""/>
      <w:lvlJc w:val="left"/>
      <w:pPr>
        <w:ind w:left="2160" w:hanging="360"/>
      </w:pPr>
      <w:rPr>
        <w:rFonts w:ascii="Wingdings" w:hAnsi="Wingdings" w:hint="default"/>
      </w:rPr>
    </w:lvl>
    <w:lvl w:ilvl="3" w:tplc="1FDEEA44">
      <w:start w:val="1"/>
      <w:numFmt w:val="bullet"/>
      <w:lvlText w:val=""/>
      <w:lvlJc w:val="left"/>
      <w:pPr>
        <w:ind w:left="2880" w:hanging="360"/>
      </w:pPr>
      <w:rPr>
        <w:rFonts w:ascii="Symbol" w:hAnsi="Symbol" w:hint="default"/>
      </w:rPr>
    </w:lvl>
    <w:lvl w:ilvl="4" w:tplc="E02C9DCC">
      <w:start w:val="1"/>
      <w:numFmt w:val="bullet"/>
      <w:lvlText w:val="o"/>
      <w:lvlJc w:val="left"/>
      <w:pPr>
        <w:ind w:left="3600" w:hanging="360"/>
      </w:pPr>
      <w:rPr>
        <w:rFonts w:ascii="Courier New" w:hAnsi="Courier New" w:hint="default"/>
      </w:rPr>
    </w:lvl>
    <w:lvl w:ilvl="5" w:tplc="43B288D6">
      <w:start w:val="1"/>
      <w:numFmt w:val="bullet"/>
      <w:lvlText w:val=""/>
      <w:lvlJc w:val="left"/>
      <w:pPr>
        <w:ind w:left="4320" w:hanging="360"/>
      </w:pPr>
      <w:rPr>
        <w:rFonts w:ascii="Wingdings" w:hAnsi="Wingdings" w:hint="default"/>
      </w:rPr>
    </w:lvl>
    <w:lvl w:ilvl="6" w:tplc="DDC67088">
      <w:start w:val="1"/>
      <w:numFmt w:val="bullet"/>
      <w:lvlText w:val=""/>
      <w:lvlJc w:val="left"/>
      <w:pPr>
        <w:ind w:left="5040" w:hanging="360"/>
      </w:pPr>
      <w:rPr>
        <w:rFonts w:ascii="Symbol" w:hAnsi="Symbol" w:hint="default"/>
      </w:rPr>
    </w:lvl>
    <w:lvl w:ilvl="7" w:tplc="A17C9594">
      <w:start w:val="1"/>
      <w:numFmt w:val="bullet"/>
      <w:lvlText w:val="o"/>
      <w:lvlJc w:val="left"/>
      <w:pPr>
        <w:ind w:left="5760" w:hanging="360"/>
      </w:pPr>
      <w:rPr>
        <w:rFonts w:ascii="Courier New" w:hAnsi="Courier New" w:hint="default"/>
      </w:rPr>
    </w:lvl>
    <w:lvl w:ilvl="8" w:tplc="FE4C3934">
      <w:start w:val="1"/>
      <w:numFmt w:val="bullet"/>
      <w:lvlText w:val=""/>
      <w:lvlJc w:val="left"/>
      <w:pPr>
        <w:ind w:left="6480" w:hanging="360"/>
      </w:pPr>
      <w:rPr>
        <w:rFonts w:ascii="Wingdings" w:hAnsi="Wingdings" w:hint="default"/>
      </w:rPr>
    </w:lvl>
  </w:abstractNum>
  <w:abstractNum w:abstractNumId="32" w15:restartNumberingAfterBreak="0">
    <w:nsid w:val="7F7F052A"/>
    <w:multiLevelType w:val="hybridMultilevel"/>
    <w:tmpl w:val="B41C2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91861133">
    <w:abstractNumId w:val="2"/>
  </w:num>
  <w:num w:numId="2" w16cid:durableId="1685470751">
    <w:abstractNumId w:val="25"/>
  </w:num>
  <w:num w:numId="3" w16cid:durableId="48848393">
    <w:abstractNumId w:val="21"/>
  </w:num>
  <w:num w:numId="4" w16cid:durableId="54087394">
    <w:abstractNumId w:val="19"/>
  </w:num>
  <w:num w:numId="5" w16cid:durableId="731777194">
    <w:abstractNumId w:val="24"/>
  </w:num>
  <w:num w:numId="6" w16cid:durableId="1151563198">
    <w:abstractNumId w:val="17"/>
  </w:num>
  <w:num w:numId="7" w16cid:durableId="22248145">
    <w:abstractNumId w:val="12"/>
  </w:num>
  <w:num w:numId="8" w16cid:durableId="42557549">
    <w:abstractNumId w:val="10"/>
  </w:num>
  <w:num w:numId="9" w16cid:durableId="1248226797">
    <w:abstractNumId w:val="31"/>
  </w:num>
  <w:num w:numId="10" w16cid:durableId="380862371">
    <w:abstractNumId w:val="11"/>
  </w:num>
  <w:num w:numId="11" w16cid:durableId="2088457046">
    <w:abstractNumId w:val="22"/>
  </w:num>
  <w:num w:numId="12" w16cid:durableId="1170025065">
    <w:abstractNumId w:val="26"/>
  </w:num>
  <w:num w:numId="13" w16cid:durableId="1932666228">
    <w:abstractNumId w:val="29"/>
  </w:num>
  <w:num w:numId="14" w16cid:durableId="1791629568">
    <w:abstractNumId w:val="18"/>
  </w:num>
  <w:num w:numId="15" w16cid:durableId="1676112790">
    <w:abstractNumId w:val="14"/>
  </w:num>
  <w:num w:numId="16" w16cid:durableId="326831033">
    <w:abstractNumId w:val="15"/>
  </w:num>
  <w:num w:numId="17" w16cid:durableId="423377691">
    <w:abstractNumId w:val="28"/>
  </w:num>
  <w:num w:numId="18" w16cid:durableId="668603048">
    <w:abstractNumId w:val="4"/>
  </w:num>
  <w:num w:numId="19" w16cid:durableId="1620718553">
    <w:abstractNumId w:val="7"/>
  </w:num>
  <w:num w:numId="20" w16cid:durableId="1126658197">
    <w:abstractNumId w:val="8"/>
  </w:num>
  <w:num w:numId="21" w16cid:durableId="1466005757">
    <w:abstractNumId w:val="13"/>
  </w:num>
  <w:num w:numId="22" w16cid:durableId="739058921">
    <w:abstractNumId w:val="16"/>
  </w:num>
  <w:num w:numId="23" w16cid:durableId="1505391078">
    <w:abstractNumId w:val="23"/>
  </w:num>
  <w:num w:numId="24" w16cid:durableId="529924598">
    <w:abstractNumId w:val="5"/>
  </w:num>
  <w:num w:numId="25" w16cid:durableId="1873810455">
    <w:abstractNumId w:val="1"/>
  </w:num>
  <w:num w:numId="26" w16cid:durableId="1616982534">
    <w:abstractNumId w:val="0"/>
  </w:num>
  <w:num w:numId="27" w16cid:durableId="1571579047">
    <w:abstractNumId w:val="20"/>
  </w:num>
  <w:num w:numId="28" w16cid:durableId="192883863">
    <w:abstractNumId w:val="9"/>
  </w:num>
  <w:num w:numId="29" w16cid:durableId="2097826717">
    <w:abstractNumId w:val="32"/>
  </w:num>
  <w:num w:numId="30" w16cid:durableId="186522846">
    <w:abstractNumId w:val="6"/>
    <w:lvlOverride w:ilvl="0">
      <w:startOverride w:val="1"/>
    </w:lvlOverride>
    <w:lvlOverride w:ilvl="1"/>
    <w:lvlOverride w:ilvl="2"/>
    <w:lvlOverride w:ilvl="3"/>
    <w:lvlOverride w:ilvl="4"/>
    <w:lvlOverride w:ilvl="5"/>
    <w:lvlOverride w:ilvl="6"/>
    <w:lvlOverride w:ilvl="7"/>
    <w:lvlOverride w:ilvl="8"/>
  </w:num>
  <w:num w:numId="31" w16cid:durableId="1927693178">
    <w:abstractNumId w:val="6"/>
  </w:num>
  <w:num w:numId="32" w16cid:durableId="1769151808">
    <w:abstractNumId w:val="27"/>
  </w:num>
  <w:num w:numId="33" w16cid:durableId="1016232921">
    <w:abstractNumId w:val="30"/>
  </w:num>
  <w:num w:numId="34" w16cid:durableId="766971163">
    <w:abstractNumId w:val="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5D6"/>
    <w:rsid w:val="0000008D"/>
    <w:rsid w:val="0000060B"/>
    <w:rsid w:val="00001E17"/>
    <w:rsid w:val="00001FFF"/>
    <w:rsid w:val="00002A6B"/>
    <w:rsid w:val="00002D44"/>
    <w:rsid w:val="00003C16"/>
    <w:rsid w:val="00003DA7"/>
    <w:rsid w:val="00004E01"/>
    <w:rsid w:val="00006627"/>
    <w:rsid w:val="00007329"/>
    <w:rsid w:val="00007ED0"/>
    <w:rsid w:val="00010D21"/>
    <w:rsid w:val="00011A11"/>
    <w:rsid w:val="0001304B"/>
    <w:rsid w:val="000137B4"/>
    <w:rsid w:val="00013D8A"/>
    <w:rsid w:val="0001467B"/>
    <w:rsid w:val="00014B08"/>
    <w:rsid w:val="0001514B"/>
    <w:rsid w:val="0001597D"/>
    <w:rsid w:val="00016356"/>
    <w:rsid w:val="0001638B"/>
    <w:rsid w:val="000167A2"/>
    <w:rsid w:val="00016A8E"/>
    <w:rsid w:val="0001709B"/>
    <w:rsid w:val="00017338"/>
    <w:rsid w:val="000173D6"/>
    <w:rsid w:val="000203D1"/>
    <w:rsid w:val="00020523"/>
    <w:rsid w:val="000209A7"/>
    <w:rsid w:val="000215E6"/>
    <w:rsid w:val="00021F2E"/>
    <w:rsid w:val="0002203C"/>
    <w:rsid w:val="000221F1"/>
    <w:rsid w:val="000223CB"/>
    <w:rsid w:val="00022531"/>
    <w:rsid w:val="00022A92"/>
    <w:rsid w:val="000236BD"/>
    <w:rsid w:val="0002410F"/>
    <w:rsid w:val="00024272"/>
    <w:rsid w:val="0002490E"/>
    <w:rsid w:val="000250B1"/>
    <w:rsid w:val="00025222"/>
    <w:rsid w:val="00026292"/>
    <w:rsid w:val="00026578"/>
    <w:rsid w:val="00030157"/>
    <w:rsid w:val="000304A0"/>
    <w:rsid w:val="00030940"/>
    <w:rsid w:val="00030FDC"/>
    <w:rsid w:val="00031050"/>
    <w:rsid w:val="000319C1"/>
    <w:rsid w:val="00031B35"/>
    <w:rsid w:val="00031D3C"/>
    <w:rsid w:val="00031D72"/>
    <w:rsid w:val="00032D88"/>
    <w:rsid w:val="00033C44"/>
    <w:rsid w:val="00034065"/>
    <w:rsid w:val="00034188"/>
    <w:rsid w:val="00035191"/>
    <w:rsid w:val="0003528E"/>
    <w:rsid w:val="0003560E"/>
    <w:rsid w:val="00036978"/>
    <w:rsid w:val="00036D40"/>
    <w:rsid w:val="00036D99"/>
    <w:rsid w:val="000372FD"/>
    <w:rsid w:val="00037302"/>
    <w:rsid w:val="00037919"/>
    <w:rsid w:val="00037D55"/>
    <w:rsid w:val="00040405"/>
    <w:rsid w:val="000404D4"/>
    <w:rsid w:val="000405D4"/>
    <w:rsid w:val="00041279"/>
    <w:rsid w:val="0004176B"/>
    <w:rsid w:val="000418F0"/>
    <w:rsid w:val="00041A14"/>
    <w:rsid w:val="00042274"/>
    <w:rsid w:val="00042EA3"/>
    <w:rsid w:val="0004353C"/>
    <w:rsid w:val="00043CF5"/>
    <w:rsid w:val="00045DA5"/>
    <w:rsid w:val="00046554"/>
    <w:rsid w:val="00046D3F"/>
    <w:rsid w:val="00047365"/>
    <w:rsid w:val="0005065E"/>
    <w:rsid w:val="00050A74"/>
    <w:rsid w:val="00051758"/>
    <w:rsid w:val="00051DCD"/>
    <w:rsid w:val="000521A7"/>
    <w:rsid w:val="00052A87"/>
    <w:rsid w:val="0005306D"/>
    <w:rsid w:val="000537BD"/>
    <w:rsid w:val="00053B5F"/>
    <w:rsid w:val="00054E8A"/>
    <w:rsid w:val="00055727"/>
    <w:rsid w:val="00055B37"/>
    <w:rsid w:val="00055F25"/>
    <w:rsid w:val="00055FAD"/>
    <w:rsid w:val="0005628F"/>
    <w:rsid w:val="00060390"/>
    <w:rsid w:val="00060C83"/>
    <w:rsid w:val="000615E9"/>
    <w:rsid w:val="0006220E"/>
    <w:rsid w:val="00062666"/>
    <w:rsid w:val="00062917"/>
    <w:rsid w:val="00062D97"/>
    <w:rsid w:val="00063036"/>
    <w:rsid w:val="00063B81"/>
    <w:rsid w:val="000646F4"/>
    <w:rsid w:val="00064AE4"/>
    <w:rsid w:val="000660A0"/>
    <w:rsid w:val="0006649A"/>
    <w:rsid w:val="00066AA7"/>
    <w:rsid w:val="00067110"/>
    <w:rsid w:val="00067545"/>
    <w:rsid w:val="000700A1"/>
    <w:rsid w:val="000700A5"/>
    <w:rsid w:val="00070198"/>
    <w:rsid w:val="00073033"/>
    <w:rsid w:val="000730B0"/>
    <w:rsid w:val="0007392C"/>
    <w:rsid w:val="00073B67"/>
    <w:rsid w:val="0007452A"/>
    <w:rsid w:val="000745F2"/>
    <w:rsid w:val="00074E82"/>
    <w:rsid w:val="000759F1"/>
    <w:rsid w:val="00075A43"/>
    <w:rsid w:val="00075AED"/>
    <w:rsid w:val="00075F30"/>
    <w:rsid w:val="00076C02"/>
    <w:rsid w:val="00076C25"/>
    <w:rsid w:val="00077593"/>
    <w:rsid w:val="000816F3"/>
    <w:rsid w:val="00082585"/>
    <w:rsid w:val="0008264F"/>
    <w:rsid w:val="000829D5"/>
    <w:rsid w:val="00082C85"/>
    <w:rsid w:val="00082CD1"/>
    <w:rsid w:val="00082D27"/>
    <w:rsid w:val="00083076"/>
    <w:rsid w:val="0008364C"/>
    <w:rsid w:val="00083CE7"/>
    <w:rsid w:val="000844B3"/>
    <w:rsid w:val="000847DC"/>
    <w:rsid w:val="00084A89"/>
    <w:rsid w:val="00084FCC"/>
    <w:rsid w:val="0008557B"/>
    <w:rsid w:val="0008587B"/>
    <w:rsid w:val="00085AB3"/>
    <w:rsid w:val="00086ADE"/>
    <w:rsid w:val="0008734E"/>
    <w:rsid w:val="00087AB1"/>
    <w:rsid w:val="000904D0"/>
    <w:rsid w:val="00090684"/>
    <w:rsid w:val="00091346"/>
    <w:rsid w:val="00091483"/>
    <w:rsid w:val="00091CE7"/>
    <w:rsid w:val="000927A0"/>
    <w:rsid w:val="00092D19"/>
    <w:rsid w:val="00092E0B"/>
    <w:rsid w:val="000941C3"/>
    <w:rsid w:val="0009499A"/>
    <w:rsid w:val="00094BD7"/>
    <w:rsid w:val="00094F94"/>
    <w:rsid w:val="00095B83"/>
    <w:rsid w:val="0009626F"/>
    <w:rsid w:val="000963C1"/>
    <w:rsid w:val="000967BA"/>
    <w:rsid w:val="00097A4B"/>
    <w:rsid w:val="000A08DB"/>
    <w:rsid w:val="000A0A3F"/>
    <w:rsid w:val="000A0BB5"/>
    <w:rsid w:val="000A0E73"/>
    <w:rsid w:val="000A118F"/>
    <w:rsid w:val="000A1E9B"/>
    <w:rsid w:val="000A2926"/>
    <w:rsid w:val="000A3D58"/>
    <w:rsid w:val="000A4038"/>
    <w:rsid w:val="000A4C07"/>
    <w:rsid w:val="000A4E9F"/>
    <w:rsid w:val="000A5393"/>
    <w:rsid w:val="000A5FA9"/>
    <w:rsid w:val="000A622F"/>
    <w:rsid w:val="000A7384"/>
    <w:rsid w:val="000A7D82"/>
    <w:rsid w:val="000B01A9"/>
    <w:rsid w:val="000B0CE9"/>
    <w:rsid w:val="000B0E8D"/>
    <w:rsid w:val="000B1A05"/>
    <w:rsid w:val="000B2C36"/>
    <w:rsid w:val="000B3340"/>
    <w:rsid w:val="000B47D0"/>
    <w:rsid w:val="000B4D9A"/>
    <w:rsid w:val="000B6114"/>
    <w:rsid w:val="000B739F"/>
    <w:rsid w:val="000C0011"/>
    <w:rsid w:val="000C0172"/>
    <w:rsid w:val="000C01F2"/>
    <w:rsid w:val="000C0349"/>
    <w:rsid w:val="000C04B6"/>
    <w:rsid w:val="000C26D0"/>
    <w:rsid w:val="000C3108"/>
    <w:rsid w:val="000C3CEB"/>
    <w:rsid w:val="000C454F"/>
    <w:rsid w:val="000C47E9"/>
    <w:rsid w:val="000C59D9"/>
    <w:rsid w:val="000C5ADB"/>
    <w:rsid w:val="000C6763"/>
    <w:rsid w:val="000C6791"/>
    <w:rsid w:val="000C69FF"/>
    <w:rsid w:val="000C6E0D"/>
    <w:rsid w:val="000C74D0"/>
    <w:rsid w:val="000D1B09"/>
    <w:rsid w:val="000D2496"/>
    <w:rsid w:val="000D26D6"/>
    <w:rsid w:val="000D2A29"/>
    <w:rsid w:val="000D2B81"/>
    <w:rsid w:val="000D3234"/>
    <w:rsid w:val="000D33C4"/>
    <w:rsid w:val="000D3768"/>
    <w:rsid w:val="000D39D4"/>
    <w:rsid w:val="000D472E"/>
    <w:rsid w:val="000D524E"/>
    <w:rsid w:val="000D5378"/>
    <w:rsid w:val="000D6D1E"/>
    <w:rsid w:val="000D6DD6"/>
    <w:rsid w:val="000D7F93"/>
    <w:rsid w:val="000E0269"/>
    <w:rsid w:val="000E0550"/>
    <w:rsid w:val="000E101D"/>
    <w:rsid w:val="000E183E"/>
    <w:rsid w:val="000E307A"/>
    <w:rsid w:val="000E309F"/>
    <w:rsid w:val="000E346C"/>
    <w:rsid w:val="000E3753"/>
    <w:rsid w:val="000E3AFC"/>
    <w:rsid w:val="000E3E81"/>
    <w:rsid w:val="000E4343"/>
    <w:rsid w:val="000E4BDD"/>
    <w:rsid w:val="000E5270"/>
    <w:rsid w:val="000E5A70"/>
    <w:rsid w:val="000E6149"/>
    <w:rsid w:val="000E73CB"/>
    <w:rsid w:val="000F052E"/>
    <w:rsid w:val="000F13AD"/>
    <w:rsid w:val="000F1C1F"/>
    <w:rsid w:val="000F2334"/>
    <w:rsid w:val="000F2FB3"/>
    <w:rsid w:val="000F3822"/>
    <w:rsid w:val="000F5244"/>
    <w:rsid w:val="000F52FF"/>
    <w:rsid w:val="000F5377"/>
    <w:rsid w:val="000F64D9"/>
    <w:rsid w:val="000F6917"/>
    <w:rsid w:val="000F7471"/>
    <w:rsid w:val="00100580"/>
    <w:rsid w:val="00103CB1"/>
    <w:rsid w:val="00103E9D"/>
    <w:rsid w:val="00103F45"/>
    <w:rsid w:val="00104424"/>
    <w:rsid w:val="001047FE"/>
    <w:rsid w:val="001049D2"/>
    <w:rsid w:val="00104BC9"/>
    <w:rsid w:val="001055B1"/>
    <w:rsid w:val="00105E0E"/>
    <w:rsid w:val="00105FD1"/>
    <w:rsid w:val="00106232"/>
    <w:rsid w:val="001067C1"/>
    <w:rsid w:val="00106A64"/>
    <w:rsid w:val="00106C34"/>
    <w:rsid w:val="00106CDB"/>
    <w:rsid w:val="001073A1"/>
    <w:rsid w:val="001075CD"/>
    <w:rsid w:val="001109B9"/>
    <w:rsid w:val="00110DF3"/>
    <w:rsid w:val="0011128E"/>
    <w:rsid w:val="00111367"/>
    <w:rsid w:val="00111720"/>
    <w:rsid w:val="00111C55"/>
    <w:rsid w:val="00114D8F"/>
    <w:rsid w:val="00116848"/>
    <w:rsid w:val="00116CCD"/>
    <w:rsid w:val="00117F46"/>
    <w:rsid w:val="00120024"/>
    <w:rsid w:val="00120094"/>
    <w:rsid w:val="001201BC"/>
    <w:rsid w:val="00120C0C"/>
    <w:rsid w:val="00120E48"/>
    <w:rsid w:val="00121468"/>
    <w:rsid w:val="00121FAD"/>
    <w:rsid w:val="0012223D"/>
    <w:rsid w:val="00122709"/>
    <w:rsid w:val="00122CF3"/>
    <w:rsid w:val="00122CF9"/>
    <w:rsid w:val="00122E52"/>
    <w:rsid w:val="00123420"/>
    <w:rsid w:val="0012352A"/>
    <w:rsid w:val="00123E7C"/>
    <w:rsid w:val="00124206"/>
    <w:rsid w:val="0012485A"/>
    <w:rsid w:val="00124A2B"/>
    <w:rsid w:val="00124C3C"/>
    <w:rsid w:val="00124D44"/>
    <w:rsid w:val="0012587D"/>
    <w:rsid w:val="001261D1"/>
    <w:rsid w:val="001261D7"/>
    <w:rsid w:val="001264B3"/>
    <w:rsid w:val="00126E60"/>
    <w:rsid w:val="00126F84"/>
    <w:rsid w:val="00127C05"/>
    <w:rsid w:val="00127F07"/>
    <w:rsid w:val="001313E2"/>
    <w:rsid w:val="00131480"/>
    <w:rsid w:val="00131CC5"/>
    <w:rsid w:val="00132C0A"/>
    <w:rsid w:val="001330CE"/>
    <w:rsid w:val="001330E8"/>
    <w:rsid w:val="00133341"/>
    <w:rsid w:val="001333C5"/>
    <w:rsid w:val="00133496"/>
    <w:rsid w:val="00133BCD"/>
    <w:rsid w:val="00134133"/>
    <w:rsid w:val="001341D5"/>
    <w:rsid w:val="00134608"/>
    <w:rsid w:val="00135598"/>
    <w:rsid w:val="0013573A"/>
    <w:rsid w:val="0013655F"/>
    <w:rsid w:val="0013688D"/>
    <w:rsid w:val="00137A9C"/>
    <w:rsid w:val="001408E5"/>
    <w:rsid w:val="00140FFF"/>
    <w:rsid w:val="001433D1"/>
    <w:rsid w:val="001433D7"/>
    <w:rsid w:val="00145535"/>
    <w:rsid w:val="001460DA"/>
    <w:rsid w:val="00146D5F"/>
    <w:rsid w:val="00146ED3"/>
    <w:rsid w:val="001474C6"/>
    <w:rsid w:val="001500F4"/>
    <w:rsid w:val="00150694"/>
    <w:rsid w:val="0015078F"/>
    <w:rsid w:val="00150F50"/>
    <w:rsid w:val="00150F99"/>
    <w:rsid w:val="00152D70"/>
    <w:rsid w:val="00152D8D"/>
    <w:rsid w:val="00153067"/>
    <w:rsid w:val="001531CF"/>
    <w:rsid w:val="0015331E"/>
    <w:rsid w:val="00153E04"/>
    <w:rsid w:val="0015441B"/>
    <w:rsid w:val="00154567"/>
    <w:rsid w:val="00154CC2"/>
    <w:rsid w:val="001553DE"/>
    <w:rsid w:val="0015596B"/>
    <w:rsid w:val="00155EC0"/>
    <w:rsid w:val="0015687C"/>
    <w:rsid w:val="001568A5"/>
    <w:rsid w:val="00156EAA"/>
    <w:rsid w:val="00156EEC"/>
    <w:rsid w:val="00156F53"/>
    <w:rsid w:val="0015723D"/>
    <w:rsid w:val="00157C81"/>
    <w:rsid w:val="00160244"/>
    <w:rsid w:val="0016105E"/>
    <w:rsid w:val="001624DC"/>
    <w:rsid w:val="00162696"/>
    <w:rsid w:val="001634C0"/>
    <w:rsid w:val="001639E1"/>
    <w:rsid w:val="00163BB6"/>
    <w:rsid w:val="001649F4"/>
    <w:rsid w:val="00164ACF"/>
    <w:rsid w:val="00165425"/>
    <w:rsid w:val="00165751"/>
    <w:rsid w:val="00167545"/>
    <w:rsid w:val="001678B5"/>
    <w:rsid w:val="00167C3F"/>
    <w:rsid w:val="001703B3"/>
    <w:rsid w:val="001707E4"/>
    <w:rsid w:val="00170A40"/>
    <w:rsid w:val="00171615"/>
    <w:rsid w:val="00173390"/>
    <w:rsid w:val="00173934"/>
    <w:rsid w:val="00173C66"/>
    <w:rsid w:val="00173CD3"/>
    <w:rsid w:val="001745E4"/>
    <w:rsid w:val="001749E9"/>
    <w:rsid w:val="0017578D"/>
    <w:rsid w:val="0017631C"/>
    <w:rsid w:val="00177A3A"/>
    <w:rsid w:val="00177EAC"/>
    <w:rsid w:val="001803D9"/>
    <w:rsid w:val="00180642"/>
    <w:rsid w:val="00181A8E"/>
    <w:rsid w:val="00181B00"/>
    <w:rsid w:val="0018269C"/>
    <w:rsid w:val="001828BC"/>
    <w:rsid w:val="0018299B"/>
    <w:rsid w:val="00183394"/>
    <w:rsid w:val="0018583D"/>
    <w:rsid w:val="001858A8"/>
    <w:rsid w:val="00186AF7"/>
    <w:rsid w:val="00186C79"/>
    <w:rsid w:val="001910E8"/>
    <w:rsid w:val="00191C9D"/>
    <w:rsid w:val="00192698"/>
    <w:rsid w:val="00192974"/>
    <w:rsid w:val="00192DBF"/>
    <w:rsid w:val="001939FD"/>
    <w:rsid w:val="00194262"/>
    <w:rsid w:val="00194325"/>
    <w:rsid w:val="001959D1"/>
    <w:rsid w:val="0019709B"/>
    <w:rsid w:val="00197566"/>
    <w:rsid w:val="001975BC"/>
    <w:rsid w:val="001A049E"/>
    <w:rsid w:val="001A0A87"/>
    <w:rsid w:val="001A1947"/>
    <w:rsid w:val="001A1FB7"/>
    <w:rsid w:val="001A328F"/>
    <w:rsid w:val="001A4EFE"/>
    <w:rsid w:val="001A58BB"/>
    <w:rsid w:val="001A5BE5"/>
    <w:rsid w:val="001A5CF1"/>
    <w:rsid w:val="001A6474"/>
    <w:rsid w:val="001A64B4"/>
    <w:rsid w:val="001A68EB"/>
    <w:rsid w:val="001A692A"/>
    <w:rsid w:val="001A6C25"/>
    <w:rsid w:val="001A76C4"/>
    <w:rsid w:val="001B1331"/>
    <w:rsid w:val="001B2C7F"/>
    <w:rsid w:val="001B3700"/>
    <w:rsid w:val="001B418A"/>
    <w:rsid w:val="001B41A2"/>
    <w:rsid w:val="001B4D65"/>
    <w:rsid w:val="001B527E"/>
    <w:rsid w:val="001B53BB"/>
    <w:rsid w:val="001B541B"/>
    <w:rsid w:val="001B57DA"/>
    <w:rsid w:val="001B6169"/>
    <w:rsid w:val="001B6924"/>
    <w:rsid w:val="001B69C7"/>
    <w:rsid w:val="001B7023"/>
    <w:rsid w:val="001B792E"/>
    <w:rsid w:val="001C008D"/>
    <w:rsid w:val="001C0716"/>
    <w:rsid w:val="001C119A"/>
    <w:rsid w:val="001C1A70"/>
    <w:rsid w:val="001C1AD0"/>
    <w:rsid w:val="001C2BDB"/>
    <w:rsid w:val="001C2CA6"/>
    <w:rsid w:val="001C3286"/>
    <w:rsid w:val="001C462E"/>
    <w:rsid w:val="001C4B24"/>
    <w:rsid w:val="001C4C71"/>
    <w:rsid w:val="001C5FBE"/>
    <w:rsid w:val="001C67A9"/>
    <w:rsid w:val="001C798E"/>
    <w:rsid w:val="001C7D16"/>
    <w:rsid w:val="001D110E"/>
    <w:rsid w:val="001D17B8"/>
    <w:rsid w:val="001D1A52"/>
    <w:rsid w:val="001D1E3C"/>
    <w:rsid w:val="001D2528"/>
    <w:rsid w:val="001D2A5C"/>
    <w:rsid w:val="001D2A73"/>
    <w:rsid w:val="001D3D1A"/>
    <w:rsid w:val="001D4C12"/>
    <w:rsid w:val="001D4C60"/>
    <w:rsid w:val="001D4EAA"/>
    <w:rsid w:val="001D53F6"/>
    <w:rsid w:val="001D5752"/>
    <w:rsid w:val="001D68B9"/>
    <w:rsid w:val="001D68BD"/>
    <w:rsid w:val="001D6C34"/>
    <w:rsid w:val="001D7951"/>
    <w:rsid w:val="001D7A92"/>
    <w:rsid w:val="001E0EC1"/>
    <w:rsid w:val="001E1047"/>
    <w:rsid w:val="001E1F32"/>
    <w:rsid w:val="001E2FB2"/>
    <w:rsid w:val="001E364B"/>
    <w:rsid w:val="001E3DF4"/>
    <w:rsid w:val="001E4067"/>
    <w:rsid w:val="001E4500"/>
    <w:rsid w:val="001E4A13"/>
    <w:rsid w:val="001E65E5"/>
    <w:rsid w:val="001E711D"/>
    <w:rsid w:val="001E7A79"/>
    <w:rsid w:val="001EE18F"/>
    <w:rsid w:val="001F00B0"/>
    <w:rsid w:val="001F032F"/>
    <w:rsid w:val="001F128C"/>
    <w:rsid w:val="001F1936"/>
    <w:rsid w:val="001F1EBF"/>
    <w:rsid w:val="001F2455"/>
    <w:rsid w:val="001F25D4"/>
    <w:rsid w:val="001F2C02"/>
    <w:rsid w:val="001F2FF9"/>
    <w:rsid w:val="001F3175"/>
    <w:rsid w:val="001F41A4"/>
    <w:rsid w:val="001F43E3"/>
    <w:rsid w:val="001F571F"/>
    <w:rsid w:val="001F639E"/>
    <w:rsid w:val="001F75DE"/>
    <w:rsid w:val="001F7602"/>
    <w:rsid w:val="002002E0"/>
    <w:rsid w:val="00200752"/>
    <w:rsid w:val="00200B3F"/>
    <w:rsid w:val="00201572"/>
    <w:rsid w:val="00202D6E"/>
    <w:rsid w:val="00203A4D"/>
    <w:rsid w:val="002040EB"/>
    <w:rsid w:val="00204800"/>
    <w:rsid w:val="00204E12"/>
    <w:rsid w:val="002051D0"/>
    <w:rsid w:val="0020529D"/>
    <w:rsid w:val="0020544C"/>
    <w:rsid w:val="00205FA8"/>
    <w:rsid w:val="00206518"/>
    <w:rsid w:val="0020659C"/>
    <w:rsid w:val="002077C1"/>
    <w:rsid w:val="0020790B"/>
    <w:rsid w:val="0020797D"/>
    <w:rsid w:val="00207AF7"/>
    <w:rsid w:val="0021026E"/>
    <w:rsid w:val="002108C5"/>
    <w:rsid w:val="00211081"/>
    <w:rsid w:val="00211475"/>
    <w:rsid w:val="002115FA"/>
    <w:rsid w:val="00211BEA"/>
    <w:rsid w:val="00211BFF"/>
    <w:rsid w:val="00212C3E"/>
    <w:rsid w:val="00213421"/>
    <w:rsid w:val="00213D3B"/>
    <w:rsid w:val="00214086"/>
    <w:rsid w:val="00215DEB"/>
    <w:rsid w:val="00216714"/>
    <w:rsid w:val="00217573"/>
    <w:rsid w:val="002177E2"/>
    <w:rsid w:val="00217F2F"/>
    <w:rsid w:val="0022165E"/>
    <w:rsid w:val="00221674"/>
    <w:rsid w:val="002217C2"/>
    <w:rsid w:val="00221B4C"/>
    <w:rsid w:val="00223914"/>
    <w:rsid w:val="002241F3"/>
    <w:rsid w:val="00224EAE"/>
    <w:rsid w:val="002277C3"/>
    <w:rsid w:val="00230153"/>
    <w:rsid w:val="002303BA"/>
    <w:rsid w:val="00230934"/>
    <w:rsid w:val="00231C5B"/>
    <w:rsid w:val="00231C7D"/>
    <w:rsid w:val="0023267C"/>
    <w:rsid w:val="00234265"/>
    <w:rsid w:val="00235F09"/>
    <w:rsid w:val="00235F19"/>
    <w:rsid w:val="00235F83"/>
    <w:rsid w:val="00236599"/>
    <w:rsid w:val="00237422"/>
    <w:rsid w:val="002375CA"/>
    <w:rsid w:val="0024010D"/>
    <w:rsid w:val="002409B6"/>
    <w:rsid w:val="00240A27"/>
    <w:rsid w:val="002412E3"/>
    <w:rsid w:val="002432B6"/>
    <w:rsid w:val="0024398E"/>
    <w:rsid w:val="0024405F"/>
    <w:rsid w:val="0024411D"/>
    <w:rsid w:val="002449F3"/>
    <w:rsid w:val="00244A17"/>
    <w:rsid w:val="00244DFC"/>
    <w:rsid w:val="00244E60"/>
    <w:rsid w:val="00244F63"/>
    <w:rsid w:val="002450BE"/>
    <w:rsid w:val="00245B1F"/>
    <w:rsid w:val="00245B82"/>
    <w:rsid w:val="0024617E"/>
    <w:rsid w:val="002462C0"/>
    <w:rsid w:val="00246351"/>
    <w:rsid w:val="002465EF"/>
    <w:rsid w:val="002473F9"/>
    <w:rsid w:val="002479F2"/>
    <w:rsid w:val="00247A84"/>
    <w:rsid w:val="002501A0"/>
    <w:rsid w:val="002505A9"/>
    <w:rsid w:val="00250EC8"/>
    <w:rsid w:val="00251C17"/>
    <w:rsid w:val="00251E99"/>
    <w:rsid w:val="0025221A"/>
    <w:rsid w:val="00252816"/>
    <w:rsid w:val="00252F55"/>
    <w:rsid w:val="00253A29"/>
    <w:rsid w:val="00254503"/>
    <w:rsid w:val="00254FC4"/>
    <w:rsid w:val="002558E1"/>
    <w:rsid w:val="00255A2C"/>
    <w:rsid w:val="00256128"/>
    <w:rsid w:val="00256F15"/>
    <w:rsid w:val="0025736F"/>
    <w:rsid w:val="002604E5"/>
    <w:rsid w:val="00260A43"/>
    <w:rsid w:val="00260B5B"/>
    <w:rsid w:val="00261B62"/>
    <w:rsid w:val="00262006"/>
    <w:rsid w:val="00262841"/>
    <w:rsid w:val="002628A3"/>
    <w:rsid w:val="00262C08"/>
    <w:rsid w:val="00263067"/>
    <w:rsid w:val="0026592A"/>
    <w:rsid w:val="00265938"/>
    <w:rsid w:val="00265C7C"/>
    <w:rsid w:val="0026663A"/>
    <w:rsid w:val="002668E2"/>
    <w:rsid w:val="002669A2"/>
    <w:rsid w:val="00266CC1"/>
    <w:rsid w:val="00267A82"/>
    <w:rsid w:val="00271682"/>
    <w:rsid w:val="00272672"/>
    <w:rsid w:val="00272DA7"/>
    <w:rsid w:val="00273127"/>
    <w:rsid w:val="002733E3"/>
    <w:rsid w:val="002734D2"/>
    <w:rsid w:val="00273B2F"/>
    <w:rsid w:val="00273EE2"/>
    <w:rsid w:val="002743B4"/>
    <w:rsid w:val="00274E6A"/>
    <w:rsid w:val="00274F3A"/>
    <w:rsid w:val="00275425"/>
    <w:rsid w:val="00275CA9"/>
    <w:rsid w:val="00275F9E"/>
    <w:rsid w:val="00276113"/>
    <w:rsid w:val="00276845"/>
    <w:rsid w:val="00276E63"/>
    <w:rsid w:val="00277257"/>
    <w:rsid w:val="0027739B"/>
    <w:rsid w:val="00280EA2"/>
    <w:rsid w:val="00283405"/>
    <w:rsid w:val="00284B07"/>
    <w:rsid w:val="00284F47"/>
    <w:rsid w:val="00286EA2"/>
    <w:rsid w:val="00286F07"/>
    <w:rsid w:val="00287391"/>
    <w:rsid w:val="00287A3B"/>
    <w:rsid w:val="00290606"/>
    <w:rsid w:val="00290923"/>
    <w:rsid w:val="00290E90"/>
    <w:rsid w:val="0029144A"/>
    <w:rsid w:val="00292A93"/>
    <w:rsid w:val="00292D1E"/>
    <w:rsid w:val="00292E61"/>
    <w:rsid w:val="00293DF0"/>
    <w:rsid w:val="00294B03"/>
    <w:rsid w:val="00294C71"/>
    <w:rsid w:val="002958D9"/>
    <w:rsid w:val="00295B0C"/>
    <w:rsid w:val="002965A1"/>
    <w:rsid w:val="00296D5C"/>
    <w:rsid w:val="002976D8"/>
    <w:rsid w:val="002A18BE"/>
    <w:rsid w:val="002A1A22"/>
    <w:rsid w:val="002A1E00"/>
    <w:rsid w:val="002A246C"/>
    <w:rsid w:val="002A29D8"/>
    <w:rsid w:val="002A2ED9"/>
    <w:rsid w:val="002A48CB"/>
    <w:rsid w:val="002A668D"/>
    <w:rsid w:val="002A76AF"/>
    <w:rsid w:val="002A770B"/>
    <w:rsid w:val="002B03DD"/>
    <w:rsid w:val="002B0852"/>
    <w:rsid w:val="002B13CB"/>
    <w:rsid w:val="002B225C"/>
    <w:rsid w:val="002B2947"/>
    <w:rsid w:val="002B327E"/>
    <w:rsid w:val="002B3784"/>
    <w:rsid w:val="002B3D22"/>
    <w:rsid w:val="002B4926"/>
    <w:rsid w:val="002B4961"/>
    <w:rsid w:val="002B5E7B"/>
    <w:rsid w:val="002B62E2"/>
    <w:rsid w:val="002B6412"/>
    <w:rsid w:val="002B6D41"/>
    <w:rsid w:val="002B724B"/>
    <w:rsid w:val="002B74AF"/>
    <w:rsid w:val="002B751B"/>
    <w:rsid w:val="002B787F"/>
    <w:rsid w:val="002B7C0D"/>
    <w:rsid w:val="002C09DA"/>
    <w:rsid w:val="002C0AA3"/>
    <w:rsid w:val="002C1BA0"/>
    <w:rsid w:val="002C288A"/>
    <w:rsid w:val="002C2F8D"/>
    <w:rsid w:val="002C3296"/>
    <w:rsid w:val="002C3465"/>
    <w:rsid w:val="002C3BAB"/>
    <w:rsid w:val="002C4C80"/>
    <w:rsid w:val="002C4D1B"/>
    <w:rsid w:val="002C4F0D"/>
    <w:rsid w:val="002C621B"/>
    <w:rsid w:val="002C6397"/>
    <w:rsid w:val="002C669D"/>
    <w:rsid w:val="002C6B78"/>
    <w:rsid w:val="002C73D8"/>
    <w:rsid w:val="002C7CB6"/>
    <w:rsid w:val="002D0767"/>
    <w:rsid w:val="002D11CB"/>
    <w:rsid w:val="002D11FA"/>
    <w:rsid w:val="002D234C"/>
    <w:rsid w:val="002D31A6"/>
    <w:rsid w:val="002D332B"/>
    <w:rsid w:val="002D359D"/>
    <w:rsid w:val="002D3A0F"/>
    <w:rsid w:val="002D4305"/>
    <w:rsid w:val="002D4306"/>
    <w:rsid w:val="002D43BD"/>
    <w:rsid w:val="002D457A"/>
    <w:rsid w:val="002D5591"/>
    <w:rsid w:val="002D5DCE"/>
    <w:rsid w:val="002D626A"/>
    <w:rsid w:val="002D71E2"/>
    <w:rsid w:val="002D73C2"/>
    <w:rsid w:val="002E0734"/>
    <w:rsid w:val="002E094F"/>
    <w:rsid w:val="002E1B96"/>
    <w:rsid w:val="002E24DB"/>
    <w:rsid w:val="002E275A"/>
    <w:rsid w:val="002E362F"/>
    <w:rsid w:val="002E392E"/>
    <w:rsid w:val="002E3A81"/>
    <w:rsid w:val="002E3F29"/>
    <w:rsid w:val="002E563F"/>
    <w:rsid w:val="002E6F8F"/>
    <w:rsid w:val="002E71ED"/>
    <w:rsid w:val="002F0E4F"/>
    <w:rsid w:val="002F1814"/>
    <w:rsid w:val="002F1DB6"/>
    <w:rsid w:val="002F2655"/>
    <w:rsid w:val="002F3C22"/>
    <w:rsid w:val="002F4448"/>
    <w:rsid w:val="002F4D40"/>
    <w:rsid w:val="002F52AA"/>
    <w:rsid w:val="002F599F"/>
    <w:rsid w:val="002F7089"/>
    <w:rsid w:val="002F720C"/>
    <w:rsid w:val="002F76E6"/>
    <w:rsid w:val="002F76FC"/>
    <w:rsid w:val="002F7C98"/>
    <w:rsid w:val="00300596"/>
    <w:rsid w:val="00301305"/>
    <w:rsid w:val="00301569"/>
    <w:rsid w:val="0030157A"/>
    <w:rsid w:val="00301700"/>
    <w:rsid w:val="003017B9"/>
    <w:rsid w:val="00301C43"/>
    <w:rsid w:val="00301C79"/>
    <w:rsid w:val="00301D16"/>
    <w:rsid w:val="00301DB6"/>
    <w:rsid w:val="00302E64"/>
    <w:rsid w:val="003037FE"/>
    <w:rsid w:val="00303868"/>
    <w:rsid w:val="003047B7"/>
    <w:rsid w:val="00304AEE"/>
    <w:rsid w:val="00304FB0"/>
    <w:rsid w:val="0030523F"/>
    <w:rsid w:val="00305C05"/>
    <w:rsid w:val="00305DBA"/>
    <w:rsid w:val="00307813"/>
    <w:rsid w:val="00313EAC"/>
    <w:rsid w:val="00314368"/>
    <w:rsid w:val="00314C1A"/>
    <w:rsid w:val="00315147"/>
    <w:rsid w:val="00315639"/>
    <w:rsid w:val="00315FB1"/>
    <w:rsid w:val="00316500"/>
    <w:rsid w:val="00317DA0"/>
    <w:rsid w:val="00317F75"/>
    <w:rsid w:val="00320829"/>
    <w:rsid w:val="00320E76"/>
    <w:rsid w:val="00320F2F"/>
    <w:rsid w:val="003211D4"/>
    <w:rsid w:val="0032138D"/>
    <w:rsid w:val="00321A02"/>
    <w:rsid w:val="00322038"/>
    <w:rsid w:val="0032325D"/>
    <w:rsid w:val="00323328"/>
    <w:rsid w:val="00323508"/>
    <w:rsid w:val="00323524"/>
    <w:rsid w:val="003235C3"/>
    <w:rsid w:val="00323879"/>
    <w:rsid w:val="00323E92"/>
    <w:rsid w:val="00324213"/>
    <w:rsid w:val="00324697"/>
    <w:rsid w:val="00324746"/>
    <w:rsid w:val="00324AF1"/>
    <w:rsid w:val="00325A30"/>
    <w:rsid w:val="0032660B"/>
    <w:rsid w:val="00327359"/>
    <w:rsid w:val="003273E9"/>
    <w:rsid w:val="003273ED"/>
    <w:rsid w:val="00330804"/>
    <w:rsid w:val="00331D92"/>
    <w:rsid w:val="0033222A"/>
    <w:rsid w:val="00332E32"/>
    <w:rsid w:val="00333B60"/>
    <w:rsid w:val="00333C6C"/>
    <w:rsid w:val="00334C18"/>
    <w:rsid w:val="00334D5B"/>
    <w:rsid w:val="003361F4"/>
    <w:rsid w:val="00336A03"/>
    <w:rsid w:val="00336BA3"/>
    <w:rsid w:val="00337626"/>
    <w:rsid w:val="00337EE6"/>
    <w:rsid w:val="00340C53"/>
    <w:rsid w:val="003411E4"/>
    <w:rsid w:val="0034134A"/>
    <w:rsid w:val="003415B2"/>
    <w:rsid w:val="00342B9B"/>
    <w:rsid w:val="00343454"/>
    <w:rsid w:val="00343A1A"/>
    <w:rsid w:val="00343BBE"/>
    <w:rsid w:val="00344D2F"/>
    <w:rsid w:val="003452E3"/>
    <w:rsid w:val="00345C9A"/>
    <w:rsid w:val="003465A9"/>
    <w:rsid w:val="00346623"/>
    <w:rsid w:val="00346665"/>
    <w:rsid w:val="003469A2"/>
    <w:rsid w:val="00347E1B"/>
    <w:rsid w:val="00350B05"/>
    <w:rsid w:val="0035134D"/>
    <w:rsid w:val="00351977"/>
    <w:rsid w:val="00351BDC"/>
    <w:rsid w:val="003522BB"/>
    <w:rsid w:val="00352843"/>
    <w:rsid w:val="00353606"/>
    <w:rsid w:val="00353B08"/>
    <w:rsid w:val="00354072"/>
    <w:rsid w:val="00354A18"/>
    <w:rsid w:val="00354CF2"/>
    <w:rsid w:val="00355AF8"/>
    <w:rsid w:val="0035754B"/>
    <w:rsid w:val="00357D59"/>
    <w:rsid w:val="00360342"/>
    <w:rsid w:val="00360359"/>
    <w:rsid w:val="00360637"/>
    <w:rsid w:val="003608D5"/>
    <w:rsid w:val="0036102F"/>
    <w:rsid w:val="0036105C"/>
    <w:rsid w:val="00361159"/>
    <w:rsid w:val="003611F3"/>
    <w:rsid w:val="00362DC5"/>
    <w:rsid w:val="0036354D"/>
    <w:rsid w:val="00363D72"/>
    <w:rsid w:val="00363E6B"/>
    <w:rsid w:val="00363FC8"/>
    <w:rsid w:val="003670D7"/>
    <w:rsid w:val="0037017B"/>
    <w:rsid w:val="00370626"/>
    <w:rsid w:val="00372093"/>
    <w:rsid w:val="003729DF"/>
    <w:rsid w:val="00373215"/>
    <w:rsid w:val="003734B6"/>
    <w:rsid w:val="00373682"/>
    <w:rsid w:val="003746C5"/>
    <w:rsid w:val="003746DD"/>
    <w:rsid w:val="00374EE3"/>
    <w:rsid w:val="003752E7"/>
    <w:rsid w:val="003764BB"/>
    <w:rsid w:val="003765B4"/>
    <w:rsid w:val="00376667"/>
    <w:rsid w:val="00377CFF"/>
    <w:rsid w:val="0038139B"/>
    <w:rsid w:val="00381FEB"/>
    <w:rsid w:val="003823B0"/>
    <w:rsid w:val="00382969"/>
    <w:rsid w:val="00382D07"/>
    <w:rsid w:val="00383307"/>
    <w:rsid w:val="003834D2"/>
    <w:rsid w:val="00383903"/>
    <w:rsid w:val="00384033"/>
    <w:rsid w:val="003840C8"/>
    <w:rsid w:val="003840E4"/>
    <w:rsid w:val="003859D5"/>
    <w:rsid w:val="00385C47"/>
    <w:rsid w:val="00385D3F"/>
    <w:rsid w:val="0038613C"/>
    <w:rsid w:val="003865D6"/>
    <w:rsid w:val="00386619"/>
    <w:rsid w:val="0038698E"/>
    <w:rsid w:val="00386F24"/>
    <w:rsid w:val="00387C05"/>
    <w:rsid w:val="00390EC6"/>
    <w:rsid w:val="003912EA"/>
    <w:rsid w:val="00391EA5"/>
    <w:rsid w:val="003936C0"/>
    <w:rsid w:val="00393DB5"/>
    <w:rsid w:val="0039473E"/>
    <w:rsid w:val="003947AF"/>
    <w:rsid w:val="00394A4C"/>
    <w:rsid w:val="0039586C"/>
    <w:rsid w:val="003959C8"/>
    <w:rsid w:val="003964A9"/>
    <w:rsid w:val="003965DC"/>
    <w:rsid w:val="00396C3E"/>
    <w:rsid w:val="00396CE8"/>
    <w:rsid w:val="00396F98"/>
    <w:rsid w:val="00396FD6"/>
    <w:rsid w:val="00397398"/>
    <w:rsid w:val="003973A2"/>
    <w:rsid w:val="00397CD2"/>
    <w:rsid w:val="003A068F"/>
    <w:rsid w:val="003A0755"/>
    <w:rsid w:val="003A2918"/>
    <w:rsid w:val="003A3E49"/>
    <w:rsid w:val="003A4196"/>
    <w:rsid w:val="003A4809"/>
    <w:rsid w:val="003A48B3"/>
    <w:rsid w:val="003A52F2"/>
    <w:rsid w:val="003A5527"/>
    <w:rsid w:val="003A5615"/>
    <w:rsid w:val="003A7BBF"/>
    <w:rsid w:val="003AABF9"/>
    <w:rsid w:val="003B0266"/>
    <w:rsid w:val="003B0BA7"/>
    <w:rsid w:val="003B0F21"/>
    <w:rsid w:val="003B2B93"/>
    <w:rsid w:val="003B3250"/>
    <w:rsid w:val="003B33AC"/>
    <w:rsid w:val="003B3DE6"/>
    <w:rsid w:val="003B4757"/>
    <w:rsid w:val="003B4923"/>
    <w:rsid w:val="003B5975"/>
    <w:rsid w:val="003B5A66"/>
    <w:rsid w:val="003B6136"/>
    <w:rsid w:val="003B6410"/>
    <w:rsid w:val="003B6681"/>
    <w:rsid w:val="003B69C5"/>
    <w:rsid w:val="003C156F"/>
    <w:rsid w:val="003C1FCC"/>
    <w:rsid w:val="003C2191"/>
    <w:rsid w:val="003C28C1"/>
    <w:rsid w:val="003C2B83"/>
    <w:rsid w:val="003C408F"/>
    <w:rsid w:val="003C4FE6"/>
    <w:rsid w:val="003C5FB0"/>
    <w:rsid w:val="003C617D"/>
    <w:rsid w:val="003D10F0"/>
    <w:rsid w:val="003D11ED"/>
    <w:rsid w:val="003D1AE5"/>
    <w:rsid w:val="003D1E4F"/>
    <w:rsid w:val="003D2797"/>
    <w:rsid w:val="003D2E32"/>
    <w:rsid w:val="003D3D58"/>
    <w:rsid w:val="003D4337"/>
    <w:rsid w:val="003D5075"/>
    <w:rsid w:val="003D528E"/>
    <w:rsid w:val="003D53D2"/>
    <w:rsid w:val="003D5D8A"/>
    <w:rsid w:val="003D6043"/>
    <w:rsid w:val="003D7E6D"/>
    <w:rsid w:val="003E0A5F"/>
    <w:rsid w:val="003E12BF"/>
    <w:rsid w:val="003E187B"/>
    <w:rsid w:val="003E18ED"/>
    <w:rsid w:val="003E1903"/>
    <w:rsid w:val="003E2273"/>
    <w:rsid w:val="003E33D4"/>
    <w:rsid w:val="003E3521"/>
    <w:rsid w:val="003E42F3"/>
    <w:rsid w:val="003E50D5"/>
    <w:rsid w:val="003E5262"/>
    <w:rsid w:val="003E5268"/>
    <w:rsid w:val="003E592B"/>
    <w:rsid w:val="003E73C1"/>
    <w:rsid w:val="003E7647"/>
    <w:rsid w:val="003F012F"/>
    <w:rsid w:val="003F11BF"/>
    <w:rsid w:val="003F13DB"/>
    <w:rsid w:val="003F14B1"/>
    <w:rsid w:val="003F2798"/>
    <w:rsid w:val="003F3843"/>
    <w:rsid w:val="003F3BF8"/>
    <w:rsid w:val="003F6FE7"/>
    <w:rsid w:val="00400444"/>
    <w:rsid w:val="00400507"/>
    <w:rsid w:val="00401203"/>
    <w:rsid w:val="00401284"/>
    <w:rsid w:val="004014BC"/>
    <w:rsid w:val="004021A3"/>
    <w:rsid w:val="0040291D"/>
    <w:rsid w:val="00402969"/>
    <w:rsid w:val="004035D6"/>
    <w:rsid w:val="004037CF"/>
    <w:rsid w:val="00403CAA"/>
    <w:rsid w:val="00404632"/>
    <w:rsid w:val="004050B4"/>
    <w:rsid w:val="00405549"/>
    <w:rsid w:val="00405F85"/>
    <w:rsid w:val="0040678C"/>
    <w:rsid w:val="0041117A"/>
    <w:rsid w:val="00411449"/>
    <w:rsid w:val="004116B0"/>
    <w:rsid w:val="00411B3D"/>
    <w:rsid w:val="00411E8E"/>
    <w:rsid w:val="004122B7"/>
    <w:rsid w:val="00413156"/>
    <w:rsid w:val="00413E73"/>
    <w:rsid w:val="0041400C"/>
    <w:rsid w:val="00414346"/>
    <w:rsid w:val="004144ED"/>
    <w:rsid w:val="00414A6E"/>
    <w:rsid w:val="00414E80"/>
    <w:rsid w:val="004152FD"/>
    <w:rsid w:val="0041572D"/>
    <w:rsid w:val="00415D80"/>
    <w:rsid w:val="0041714E"/>
    <w:rsid w:val="00417410"/>
    <w:rsid w:val="004177FE"/>
    <w:rsid w:val="004200C6"/>
    <w:rsid w:val="004205AB"/>
    <w:rsid w:val="00420F4D"/>
    <w:rsid w:val="004213DA"/>
    <w:rsid w:val="00421B04"/>
    <w:rsid w:val="00421DC9"/>
    <w:rsid w:val="00422D13"/>
    <w:rsid w:val="00422F33"/>
    <w:rsid w:val="00423078"/>
    <w:rsid w:val="00423890"/>
    <w:rsid w:val="00424485"/>
    <w:rsid w:val="00424D17"/>
    <w:rsid w:val="00424D50"/>
    <w:rsid w:val="00424F89"/>
    <w:rsid w:val="00425B9E"/>
    <w:rsid w:val="00425C9E"/>
    <w:rsid w:val="00426C48"/>
    <w:rsid w:val="004271B6"/>
    <w:rsid w:val="00427466"/>
    <w:rsid w:val="00430E11"/>
    <w:rsid w:val="00431F2F"/>
    <w:rsid w:val="0043286D"/>
    <w:rsid w:val="00432968"/>
    <w:rsid w:val="00434BE0"/>
    <w:rsid w:val="004352D9"/>
    <w:rsid w:val="00436001"/>
    <w:rsid w:val="00436108"/>
    <w:rsid w:val="004364C2"/>
    <w:rsid w:val="00436577"/>
    <w:rsid w:val="00437654"/>
    <w:rsid w:val="004377C7"/>
    <w:rsid w:val="00437A70"/>
    <w:rsid w:val="00437A93"/>
    <w:rsid w:val="00437CD6"/>
    <w:rsid w:val="00440045"/>
    <w:rsid w:val="00440970"/>
    <w:rsid w:val="00440B31"/>
    <w:rsid w:val="00440E2F"/>
    <w:rsid w:val="00441415"/>
    <w:rsid w:val="00442560"/>
    <w:rsid w:val="00442EC3"/>
    <w:rsid w:val="004439FD"/>
    <w:rsid w:val="00443A32"/>
    <w:rsid w:val="00443ABE"/>
    <w:rsid w:val="00443D3B"/>
    <w:rsid w:val="004443E5"/>
    <w:rsid w:val="004447BC"/>
    <w:rsid w:val="00444A61"/>
    <w:rsid w:val="004452D9"/>
    <w:rsid w:val="00445856"/>
    <w:rsid w:val="00445D09"/>
    <w:rsid w:val="004470BD"/>
    <w:rsid w:val="00447643"/>
    <w:rsid w:val="004517A5"/>
    <w:rsid w:val="0045317B"/>
    <w:rsid w:val="00453467"/>
    <w:rsid w:val="0045366B"/>
    <w:rsid w:val="00453E0C"/>
    <w:rsid w:val="00454B9E"/>
    <w:rsid w:val="00454D83"/>
    <w:rsid w:val="004551A9"/>
    <w:rsid w:val="00455945"/>
    <w:rsid w:val="0045632A"/>
    <w:rsid w:val="00456AA3"/>
    <w:rsid w:val="00456CA4"/>
    <w:rsid w:val="004602B1"/>
    <w:rsid w:val="00461130"/>
    <w:rsid w:val="00461399"/>
    <w:rsid w:val="004617C8"/>
    <w:rsid w:val="00461AC7"/>
    <w:rsid w:val="00461E9A"/>
    <w:rsid w:val="00462C39"/>
    <w:rsid w:val="00462FA6"/>
    <w:rsid w:val="0046306A"/>
    <w:rsid w:val="004651CB"/>
    <w:rsid w:val="004657CE"/>
    <w:rsid w:val="00466107"/>
    <w:rsid w:val="004664EB"/>
    <w:rsid w:val="004669E0"/>
    <w:rsid w:val="00467894"/>
    <w:rsid w:val="00470DE9"/>
    <w:rsid w:val="0047141C"/>
    <w:rsid w:val="00471A54"/>
    <w:rsid w:val="00471C4D"/>
    <w:rsid w:val="004720B4"/>
    <w:rsid w:val="00472764"/>
    <w:rsid w:val="00473026"/>
    <w:rsid w:val="00473AAC"/>
    <w:rsid w:val="004744BD"/>
    <w:rsid w:val="00474A04"/>
    <w:rsid w:val="00475023"/>
    <w:rsid w:val="00476225"/>
    <w:rsid w:val="00477701"/>
    <w:rsid w:val="004779DE"/>
    <w:rsid w:val="004800F3"/>
    <w:rsid w:val="00481261"/>
    <w:rsid w:val="004816E9"/>
    <w:rsid w:val="004819B7"/>
    <w:rsid w:val="00482365"/>
    <w:rsid w:val="00483F3D"/>
    <w:rsid w:val="00484358"/>
    <w:rsid w:val="00484F7F"/>
    <w:rsid w:val="00484FA7"/>
    <w:rsid w:val="004861E4"/>
    <w:rsid w:val="004863BF"/>
    <w:rsid w:val="0048651A"/>
    <w:rsid w:val="00486D11"/>
    <w:rsid w:val="00486E5F"/>
    <w:rsid w:val="00487528"/>
    <w:rsid w:val="00487973"/>
    <w:rsid w:val="00490279"/>
    <w:rsid w:val="004908FE"/>
    <w:rsid w:val="00490B5D"/>
    <w:rsid w:val="00490EA7"/>
    <w:rsid w:val="004921BC"/>
    <w:rsid w:val="0049257B"/>
    <w:rsid w:val="004927CC"/>
    <w:rsid w:val="00492A24"/>
    <w:rsid w:val="00492B44"/>
    <w:rsid w:val="00492D7C"/>
    <w:rsid w:val="00493025"/>
    <w:rsid w:val="0049305E"/>
    <w:rsid w:val="00494871"/>
    <w:rsid w:val="00494B9E"/>
    <w:rsid w:val="00494DC4"/>
    <w:rsid w:val="00494DCA"/>
    <w:rsid w:val="00495A58"/>
    <w:rsid w:val="00496056"/>
    <w:rsid w:val="00496FFD"/>
    <w:rsid w:val="00497303"/>
    <w:rsid w:val="004974B8"/>
    <w:rsid w:val="00497990"/>
    <w:rsid w:val="004A1AB5"/>
    <w:rsid w:val="004A1BF9"/>
    <w:rsid w:val="004A1DE3"/>
    <w:rsid w:val="004A21BC"/>
    <w:rsid w:val="004A21EE"/>
    <w:rsid w:val="004A230F"/>
    <w:rsid w:val="004A35BB"/>
    <w:rsid w:val="004A3767"/>
    <w:rsid w:val="004A3AA3"/>
    <w:rsid w:val="004A3ADE"/>
    <w:rsid w:val="004A3F26"/>
    <w:rsid w:val="004A42D4"/>
    <w:rsid w:val="004A44F9"/>
    <w:rsid w:val="004A4B22"/>
    <w:rsid w:val="004A4FFA"/>
    <w:rsid w:val="004A5309"/>
    <w:rsid w:val="004A6B9B"/>
    <w:rsid w:val="004A712A"/>
    <w:rsid w:val="004A747B"/>
    <w:rsid w:val="004B0B37"/>
    <w:rsid w:val="004B0D99"/>
    <w:rsid w:val="004B10CB"/>
    <w:rsid w:val="004B1112"/>
    <w:rsid w:val="004B11DB"/>
    <w:rsid w:val="004B2646"/>
    <w:rsid w:val="004B2A5D"/>
    <w:rsid w:val="004B4FE3"/>
    <w:rsid w:val="004B50CA"/>
    <w:rsid w:val="004B5C3C"/>
    <w:rsid w:val="004B5EF3"/>
    <w:rsid w:val="004B644A"/>
    <w:rsid w:val="004B653F"/>
    <w:rsid w:val="004B66D9"/>
    <w:rsid w:val="004B6A33"/>
    <w:rsid w:val="004B739C"/>
    <w:rsid w:val="004C01F7"/>
    <w:rsid w:val="004C02AE"/>
    <w:rsid w:val="004C0D07"/>
    <w:rsid w:val="004C199E"/>
    <w:rsid w:val="004C1C1E"/>
    <w:rsid w:val="004C2181"/>
    <w:rsid w:val="004C2B2C"/>
    <w:rsid w:val="004C2F9C"/>
    <w:rsid w:val="004C308B"/>
    <w:rsid w:val="004C47B4"/>
    <w:rsid w:val="004C4B7E"/>
    <w:rsid w:val="004C62A0"/>
    <w:rsid w:val="004C6959"/>
    <w:rsid w:val="004C7887"/>
    <w:rsid w:val="004C788A"/>
    <w:rsid w:val="004D041A"/>
    <w:rsid w:val="004D065D"/>
    <w:rsid w:val="004D089E"/>
    <w:rsid w:val="004D0EFC"/>
    <w:rsid w:val="004D1EBE"/>
    <w:rsid w:val="004D1FDA"/>
    <w:rsid w:val="004D2BD1"/>
    <w:rsid w:val="004D3FFB"/>
    <w:rsid w:val="004D42EA"/>
    <w:rsid w:val="004D437B"/>
    <w:rsid w:val="004D499A"/>
    <w:rsid w:val="004D4B13"/>
    <w:rsid w:val="004D54BB"/>
    <w:rsid w:val="004D5C25"/>
    <w:rsid w:val="004D6D7B"/>
    <w:rsid w:val="004D6DB7"/>
    <w:rsid w:val="004D71BD"/>
    <w:rsid w:val="004D71CF"/>
    <w:rsid w:val="004D7682"/>
    <w:rsid w:val="004D7D3C"/>
    <w:rsid w:val="004E0350"/>
    <w:rsid w:val="004E1093"/>
    <w:rsid w:val="004E152C"/>
    <w:rsid w:val="004E158D"/>
    <w:rsid w:val="004E1673"/>
    <w:rsid w:val="004E1932"/>
    <w:rsid w:val="004E214E"/>
    <w:rsid w:val="004E2B3B"/>
    <w:rsid w:val="004E2C49"/>
    <w:rsid w:val="004E4D8B"/>
    <w:rsid w:val="004E4DB7"/>
    <w:rsid w:val="004E4F51"/>
    <w:rsid w:val="004E53EC"/>
    <w:rsid w:val="004E6897"/>
    <w:rsid w:val="004E6C72"/>
    <w:rsid w:val="004E7382"/>
    <w:rsid w:val="004E7B44"/>
    <w:rsid w:val="004E7D87"/>
    <w:rsid w:val="004F0539"/>
    <w:rsid w:val="004F059E"/>
    <w:rsid w:val="004F0854"/>
    <w:rsid w:val="004F09FC"/>
    <w:rsid w:val="004F0C08"/>
    <w:rsid w:val="004F10C6"/>
    <w:rsid w:val="004F12E6"/>
    <w:rsid w:val="004F1436"/>
    <w:rsid w:val="004F144D"/>
    <w:rsid w:val="004F17BF"/>
    <w:rsid w:val="004F180D"/>
    <w:rsid w:val="004F2C88"/>
    <w:rsid w:val="004F349C"/>
    <w:rsid w:val="004F418F"/>
    <w:rsid w:val="004F608B"/>
    <w:rsid w:val="004F60E3"/>
    <w:rsid w:val="004F77AC"/>
    <w:rsid w:val="004F7D69"/>
    <w:rsid w:val="005002D9"/>
    <w:rsid w:val="005007DF"/>
    <w:rsid w:val="00501662"/>
    <w:rsid w:val="0050169F"/>
    <w:rsid w:val="00501BF8"/>
    <w:rsid w:val="00501E67"/>
    <w:rsid w:val="00502FA8"/>
    <w:rsid w:val="005034C3"/>
    <w:rsid w:val="00503F40"/>
    <w:rsid w:val="005053E3"/>
    <w:rsid w:val="005061DA"/>
    <w:rsid w:val="0050685E"/>
    <w:rsid w:val="00506CE1"/>
    <w:rsid w:val="005074AF"/>
    <w:rsid w:val="005108D3"/>
    <w:rsid w:val="005120F5"/>
    <w:rsid w:val="005125D1"/>
    <w:rsid w:val="005125D3"/>
    <w:rsid w:val="00513246"/>
    <w:rsid w:val="00514BE1"/>
    <w:rsid w:val="005151EE"/>
    <w:rsid w:val="00516586"/>
    <w:rsid w:val="00516B40"/>
    <w:rsid w:val="00516FD9"/>
    <w:rsid w:val="00516FF3"/>
    <w:rsid w:val="00517072"/>
    <w:rsid w:val="0052075C"/>
    <w:rsid w:val="00521114"/>
    <w:rsid w:val="00521900"/>
    <w:rsid w:val="00521AD7"/>
    <w:rsid w:val="00521B30"/>
    <w:rsid w:val="00521F14"/>
    <w:rsid w:val="00522E2F"/>
    <w:rsid w:val="00522F76"/>
    <w:rsid w:val="005234ED"/>
    <w:rsid w:val="005241B7"/>
    <w:rsid w:val="0052448A"/>
    <w:rsid w:val="00524492"/>
    <w:rsid w:val="005247DC"/>
    <w:rsid w:val="00524BDB"/>
    <w:rsid w:val="00524C99"/>
    <w:rsid w:val="00524FDC"/>
    <w:rsid w:val="00525362"/>
    <w:rsid w:val="00525EFD"/>
    <w:rsid w:val="00526335"/>
    <w:rsid w:val="00526637"/>
    <w:rsid w:val="00526929"/>
    <w:rsid w:val="00526BF1"/>
    <w:rsid w:val="0052742C"/>
    <w:rsid w:val="005274E5"/>
    <w:rsid w:val="00530CE4"/>
    <w:rsid w:val="00530F8D"/>
    <w:rsid w:val="00531EC3"/>
    <w:rsid w:val="00531F7F"/>
    <w:rsid w:val="00532001"/>
    <w:rsid w:val="0053366B"/>
    <w:rsid w:val="00533D9D"/>
    <w:rsid w:val="00533EC4"/>
    <w:rsid w:val="00534086"/>
    <w:rsid w:val="0053461D"/>
    <w:rsid w:val="00536183"/>
    <w:rsid w:val="005369DB"/>
    <w:rsid w:val="005406A0"/>
    <w:rsid w:val="0054165C"/>
    <w:rsid w:val="005429D3"/>
    <w:rsid w:val="005441D8"/>
    <w:rsid w:val="0054445E"/>
    <w:rsid w:val="0054530E"/>
    <w:rsid w:val="00545484"/>
    <w:rsid w:val="00545AEA"/>
    <w:rsid w:val="00545CC3"/>
    <w:rsid w:val="00545D6C"/>
    <w:rsid w:val="00545FA8"/>
    <w:rsid w:val="00546455"/>
    <w:rsid w:val="00547EAA"/>
    <w:rsid w:val="005522E7"/>
    <w:rsid w:val="0055242D"/>
    <w:rsid w:val="00552D81"/>
    <w:rsid w:val="00554344"/>
    <w:rsid w:val="00555259"/>
    <w:rsid w:val="00555578"/>
    <w:rsid w:val="00555726"/>
    <w:rsid w:val="00556164"/>
    <w:rsid w:val="00557341"/>
    <w:rsid w:val="005574E7"/>
    <w:rsid w:val="0055769D"/>
    <w:rsid w:val="00560959"/>
    <w:rsid w:val="00560F0E"/>
    <w:rsid w:val="005615AC"/>
    <w:rsid w:val="00561B76"/>
    <w:rsid w:val="00561FCB"/>
    <w:rsid w:val="00563187"/>
    <w:rsid w:val="005639D7"/>
    <w:rsid w:val="00563CF3"/>
    <w:rsid w:val="005640C0"/>
    <w:rsid w:val="005704F1"/>
    <w:rsid w:val="0057097A"/>
    <w:rsid w:val="0057191C"/>
    <w:rsid w:val="00571B90"/>
    <w:rsid w:val="00571D0C"/>
    <w:rsid w:val="0057299C"/>
    <w:rsid w:val="00572B90"/>
    <w:rsid w:val="0057419E"/>
    <w:rsid w:val="00574588"/>
    <w:rsid w:val="005750B5"/>
    <w:rsid w:val="0057622A"/>
    <w:rsid w:val="00576339"/>
    <w:rsid w:val="0057697F"/>
    <w:rsid w:val="00576A1D"/>
    <w:rsid w:val="0057704A"/>
    <w:rsid w:val="00577248"/>
    <w:rsid w:val="005773AE"/>
    <w:rsid w:val="00577E81"/>
    <w:rsid w:val="005800A9"/>
    <w:rsid w:val="00580CBB"/>
    <w:rsid w:val="00580EFB"/>
    <w:rsid w:val="00581005"/>
    <w:rsid w:val="005811B2"/>
    <w:rsid w:val="00581D1C"/>
    <w:rsid w:val="0058223F"/>
    <w:rsid w:val="0058249A"/>
    <w:rsid w:val="00583C2C"/>
    <w:rsid w:val="00583EDB"/>
    <w:rsid w:val="00583F3F"/>
    <w:rsid w:val="005846E9"/>
    <w:rsid w:val="00584C0C"/>
    <w:rsid w:val="005863C0"/>
    <w:rsid w:val="00586B62"/>
    <w:rsid w:val="00586EE5"/>
    <w:rsid w:val="00587C3B"/>
    <w:rsid w:val="00587D20"/>
    <w:rsid w:val="005902C5"/>
    <w:rsid w:val="0059030E"/>
    <w:rsid w:val="00590D77"/>
    <w:rsid w:val="0059171C"/>
    <w:rsid w:val="0059173F"/>
    <w:rsid w:val="00591F37"/>
    <w:rsid w:val="005923FC"/>
    <w:rsid w:val="00593DBE"/>
    <w:rsid w:val="00593DC6"/>
    <w:rsid w:val="005942FB"/>
    <w:rsid w:val="005944F6"/>
    <w:rsid w:val="005945A2"/>
    <w:rsid w:val="0059484F"/>
    <w:rsid w:val="005959E4"/>
    <w:rsid w:val="00596D09"/>
    <w:rsid w:val="00596DD6"/>
    <w:rsid w:val="00597B3E"/>
    <w:rsid w:val="005A0758"/>
    <w:rsid w:val="005A076F"/>
    <w:rsid w:val="005A1588"/>
    <w:rsid w:val="005A1851"/>
    <w:rsid w:val="005A1A30"/>
    <w:rsid w:val="005A1B8A"/>
    <w:rsid w:val="005A293A"/>
    <w:rsid w:val="005A4296"/>
    <w:rsid w:val="005A48D5"/>
    <w:rsid w:val="005A4D46"/>
    <w:rsid w:val="005A4ED2"/>
    <w:rsid w:val="005A525C"/>
    <w:rsid w:val="005A5854"/>
    <w:rsid w:val="005A6CAB"/>
    <w:rsid w:val="005A6EB5"/>
    <w:rsid w:val="005A7100"/>
    <w:rsid w:val="005A7FB0"/>
    <w:rsid w:val="005B0391"/>
    <w:rsid w:val="005B06ED"/>
    <w:rsid w:val="005B070C"/>
    <w:rsid w:val="005B14B8"/>
    <w:rsid w:val="005B32B1"/>
    <w:rsid w:val="005B4719"/>
    <w:rsid w:val="005B49A8"/>
    <w:rsid w:val="005B4C3C"/>
    <w:rsid w:val="005B556C"/>
    <w:rsid w:val="005B5E8A"/>
    <w:rsid w:val="005B7017"/>
    <w:rsid w:val="005B7B76"/>
    <w:rsid w:val="005B7E7F"/>
    <w:rsid w:val="005B7F90"/>
    <w:rsid w:val="005C373D"/>
    <w:rsid w:val="005C3E2F"/>
    <w:rsid w:val="005C4252"/>
    <w:rsid w:val="005C4C19"/>
    <w:rsid w:val="005C57F4"/>
    <w:rsid w:val="005C619E"/>
    <w:rsid w:val="005C65D4"/>
    <w:rsid w:val="005C6FCF"/>
    <w:rsid w:val="005C78A3"/>
    <w:rsid w:val="005C797A"/>
    <w:rsid w:val="005C7FA3"/>
    <w:rsid w:val="005CDA2D"/>
    <w:rsid w:val="005D05A3"/>
    <w:rsid w:val="005D06F4"/>
    <w:rsid w:val="005D1A5C"/>
    <w:rsid w:val="005D2384"/>
    <w:rsid w:val="005D2B48"/>
    <w:rsid w:val="005D39E1"/>
    <w:rsid w:val="005D3AA0"/>
    <w:rsid w:val="005D4406"/>
    <w:rsid w:val="005D4ABE"/>
    <w:rsid w:val="005D50F1"/>
    <w:rsid w:val="005D535D"/>
    <w:rsid w:val="005D5684"/>
    <w:rsid w:val="005D6560"/>
    <w:rsid w:val="005D668D"/>
    <w:rsid w:val="005D67C5"/>
    <w:rsid w:val="005D748B"/>
    <w:rsid w:val="005E0710"/>
    <w:rsid w:val="005E09F5"/>
    <w:rsid w:val="005E0BFD"/>
    <w:rsid w:val="005E0DFC"/>
    <w:rsid w:val="005E0E08"/>
    <w:rsid w:val="005E14DE"/>
    <w:rsid w:val="005E1A3D"/>
    <w:rsid w:val="005E1C2B"/>
    <w:rsid w:val="005E21A9"/>
    <w:rsid w:val="005E3265"/>
    <w:rsid w:val="005E6092"/>
    <w:rsid w:val="005E78A4"/>
    <w:rsid w:val="005E7A1D"/>
    <w:rsid w:val="005E7A38"/>
    <w:rsid w:val="005F0561"/>
    <w:rsid w:val="005F08F3"/>
    <w:rsid w:val="005F0A20"/>
    <w:rsid w:val="005F0C2E"/>
    <w:rsid w:val="005F1922"/>
    <w:rsid w:val="005F1A89"/>
    <w:rsid w:val="005F1E26"/>
    <w:rsid w:val="005F29CE"/>
    <w:rsid w:val="005F2B09"/>
    <w:rsid w:val="005F3712"/>
    <w:rsid w:val="005F40CB"/>
    <w:rsid w:val="005F42E4"/>
    <w:rsid w:val="005F43CA"/>
    <w:rsid w:val="005F5464"/>
    <w:rsid w:val="005F5EBF"/>
    <w:rsid w:val="005F68EF"/>
    <w:rsid w:val="005F6F26"/>
    <w:rsid w:val="005F7AB7"/>
    <w:rsid w:val="00600495"/>
    <w:rsid w:val="006008B4"/>
    <w:rsid w:val="00600B22"/>
    <w:rsid w:val="0060132D"/>
    <w:rsid w:val="006013CB"/>
    <w:rsid w:val="0060286C"/>
    <w:rsid w:val="00602A4D"/>
    <w:rsid w:val="00603CA1"/>
    <w:rsid w:val="00604DF6"/>
    <w:rsid w:val="006051D6"/>
    <w:rsid w:val="006060F4"/>
    <w:rsid w:val="00607FFA"/>
    <w:rsid w:val="00610DF4"/>
    <w:rsid w:val="00611A42"/>
    <w:rsid w:val="00612D6F"/>
    <w:rsid w:val="006134DB"/>
    <w:rsid w:val="006136B1"/>
    <w:rsid w:val="00613C15"/>
    <w:rsid w:val="006142F0"/>
    <w:rsid w:val="00614633"/>
    <w:rsid w:val="00614758"/>
    <w:rsid w:val="00614CB0"/>
    <w:rsid w:val="00615165"/>
    <w:rsid w:val="0061532C"/>
    <w:rsid w:val="00615554"/>
    <w:rsid w:val="0061643F"/>
    <w:rsid w:val="00616990"/>
    <w:rsid w:val="006170CA"/>
    <w:rsid w:val="00617382"/>
    <w:rsid w:val="00617C67"/>
    <w:rsid w:val="0062006D"/>
    <w:rsid w:val="006202C7"/>
    <w:rsid w:val="006210CA"/>
    <w:rsid w:val="006222E7"/>
    <w:rsid w:val="00622304"/>
    <w:rsid w:val="006228B7"/>
    <w:rsid w:val="0062357F"/>
    <w:rsid w:val="00624CB0"/>
    <w:rsid w:val="00624E4C"/>
    <w:rsid w:val="00624EF4"/>
    <w:rsid w:val="00624F75"/>
    <w:rsid w:val="00625B48"/>
    <w:rsid w:val="00625C18"/>
    <w:rsid w:val="00626C02"/>
    <w:rsid w:val="00626F75"/>
    <w:rsid w:val="00627876"/>
    <w:rsid w:val="00630526"/>
    <w:rsid w:val="00630699"/>
    <w:rsid w:val="00630955"/>
    <w:rsid w:val="0063231E"/>
    <w:rsid w:val="006329FC"/>
    <w:rsid w:val="00632FFF"/>
    <w:rsid w:val="00633406"/>
    <w:rsid w:val="0063464F"/>
    <w:rsid w:val="00634B12"/>
    <w:rsid w:val="006350CC"/>
    <w:rsid w:val="0063538C"/>
    <w:rsid w:val="006399BF"/>
    <w:rsid w:val="0064063F"/>
    <w:rsid w:val="00641345"/>
    <w:rsid w:val="00641FB7"/>
    <w:rsid w:val="00641FE3"/>
    <w:rsid w:val="0064242D"/>
    <w:rsid w:val="0064295F"/>
    <w:rsid w:val="0064481B"/>
    <w:rsid w:val="00645547"/>
    <w:rsid w:val="006467D6"/>
    <w:rsid w:val="00646E28"/>
    <w:rsid w:val="00646FCB"/>
    <w:rsid w:val="00647C72"/>
    <w:rsid w:val="00647F52"/>
    <w:rsid w:val="00650495"/>
    <w:rsid w:val="0065054C"/>
    <w:rsid w:val="006506E7"/>
    <w:rsid w:val="0065101F"/>
    <w:rsid w:val="00651710"/>
    <w:rsid w:val="00651C43"/>
    <w:rsid w:val="00651E51"/>
    <w:rsid w:val="00651F52"/>
    <w:rsid w:val="0065348D"/>
    <w:rsid w:val="00653CC5"/>
    <w:rsid w:val="00654333"/>
    <w:rsid w:val="00654460"/>
    <w:rsid w:val="006547C2"/>
    <w:rsid w:val="00655C53"/>
    <w:rsid w:val="006561CD"/>
    <w:rsid w:val="00656DBC"/>
    <w:rsid w:val="00657A6F"/>
    <w:rsid w:val="006603BA"/>
    <w:rsid w:val="00662D7E"/>
    <w:rsid w:val="0066358B"/>
    <w:rsid w:val="006640AF"/>
    <w:rsid w:val="00664382"/>
    <w:rsid w:val="00664F01"/>
    <w:rsid w:val="00665964"/>
    <w:rsid w:val="00665F17"/>
    <w:rsid w:val="00666A2D"/>
    <w:rsid w:val="00666B95"/>
    <w:rsid w:val="00667846"/>
    <w:rsid w:val="00670A83"/>
    <w:rsid w:val="00671531"/>
    <w:rsid w:val="0067196F"/>
    <w:rsid w:val="006719FC"/>
    <w:rsid w:val="00671AB7"/>
    <w:rsid w:val="00672303"/>
    <w:rsid w:val="00672381"/>
    <w:rsid w:val="00673959"/>
    <w:rsid w:val="00673B1F"/>
    <w:rsid w:val="00673B35"/>
    <w:rsid w:val="0067428B"/>
    <w:rsid w:val="006745F2"/>
    <w:rsid w:val="00675339"/>
    <w:rsid w:val="00675646"/>
    <w:rsid w:val="0067564C"/>
    <w:rsid w:val="00675742"/>
    <w:rsid w:val="00675AE8"/>
    <w:rsid w:val="00676735"/>
    <w:rsid w:val="00676CF5"/>
    <w:rsid w:val="006772AB"/>
    <w:rsid w:val="0067780F"/>
    <w:rsid w:val="00677A80"/>
    <w:rsid w:val="00677FFD"/>
    <w:rsid w:val="0068004F"/>
    <w:rsid w:val="00680221"/>
    <w:rsid w:val="0068132D"/>
    <w:rsid w:val="00681522"/>
    <w:rsid w:val="0068170F"/>
    <w:rsid w:val="00681971"/>
    <w:rsid w:val="00681C11"/>
    <w:rsid w:val="00682229"/>
    <w:rsid w:val="0068225F"/>
    <w:rsid w:val="00683103"/>
    <w:rsid w:val="006839B0"/>
    <w:rsid w:val="00684BEF"/>
    <w:rsid w:val="00686547"/>
    <w:rsid w:val="00686E19"/>
    <w:rsid w:val="0068752B"/>
    <w:rsid w:val="00687629"/>
    <w:rsid w:val="00687A50"/>
    <w:rsid w:val="00690028"/>
    <w:rsid w:val="0069102D"/>
    <w:rsid w:val="00691C5D"/>
    <w:rsid w:val="0069310A"/>
    <w:rsid w:val="006951EB"/>
    <w:rsid w:val="00695364"/>
    <w:rsid w:val="00695F57"/>
    <w:rsid w:val="00696D57"/>
    <w:rsid w:val="006972C1"/>
    <w:rsid w:val="00697377"/>
    <w:rsid w:val="00697743"/>
    <w:rsid w:val="00697965"/>
    <w:rsid w:val="00697AA4"/>
    <w:rsid w:val="00697D65"/>
    <w:rsid w:val="006A055A"/>
    <w:rsid w:val="006A0B95"/>
    <w:rsid w:val="006A101C"/>
    <w:rsid w:val="006A21CF"/>
    <w:rsid w:val="006A2612"/>
    <w:rsid w:val="006A38A0"/>
    <w:rsid w:val="006A4E36"/>
    <w:rsid w:val="006A51D1"/>
    <w:rsid w:val="006A5842"/>
    <w:rsid w:val="006A6238"/>
    <w:rsid w:val="006A63B1"/>
    <w:rsid w:val="006A7473"/>
    <w:rsid w:val="006B004B"/>
    <w:rsid w:val="006B0B13"/>
    <w:rsid w:val="006B0B6E"/>
    <w:rsid w:val="006B109E"/>
    <w:rsid w:val="006B140E"/>
    <w:rsid w:val="006B1533"/>
    <w:rsid w:val="006B1617"/>
    <w:rsid w:val="006B1F56"/>
    <w:rsid w:val="006B1F5D"/>
    <w:rsid w:val="006B204E"/>
    <w:rsid w:val="006B2133"/>
    <w:rsid w:val="006B232B"/>
    <w:rsid w:val="006B29CF"/>
    <w:rsid w:val="006B3A4F"/>
    <w:rsid w:val="006B4643"/>
    <w:rsid w:val="006B520D"/>
    <w:rsid w:val="006B5649"/>
    <w:rsid w:val="006B59CF"/>
    <w:rsid w:val="006B5EAD"/>
    <w:rsid w:val="006B6614"/>
    <w:rsid w:val="006B729F"/>
    <w:rsid w:val="006B743F"/>
    <w:rsid w:val="006B79A2"/>
    <w:rsid w:val="006C0A75"/>
    <w:rsid w:val="006C0AE7"/>
    <w:rsid w:val="006C2377"/>
    <w:rsid w:val="006C2D47"/>
    <w:rsid w:val="006C2DFE"/>
    <w:rsid w:val="006C4FE7"/>
    <w:rsid w:val="006C62C1"/>
    <w:rsid w:val="006C6721"/>
    <w:rsid w:val="006C6750"/>
    <w:rsid w:val="006C6BF4"/>
    <w:rsid w:val="006C6F49"/>
    <w:rsid w:val="006C70A0"/>
    <w:rsid w:val="006C7705"/>
    <w:rsid w:val="006C79D8"/>
    <w:rsid w:val="006C7C62"/>
    <w:rsid w:val="006D0C6B"/>
    <w:rsid w:val="006D21DF"/>
    <w:rsid w:val="006D2783"/>
    <w:rsid w:val="006D35AE"/>
    <w:rsid w:val="006D3EFE"/>
    <w:rsid w:val="006D4718"/>
    <w:rsid w:val="006D5226"/>
    <w:rsid w:val="006D5C46"/>
    <w:rsid w:val="006D5E42"/>
    <w:rsid w:val="006D6D87"/>
    <w:rsid w:val="006D78C4"/>
    <w:rsid w:val="006D7A96"/>
    <w:rsid w:val="006D7F09"/>
    <w:rsid w:val="006E025D"/>
    <w:rsid w:val="006E0BCD"/>
    <w:rsid w:val="006E18F7"/>
    <w:rsid w:val="006E1F4E"/>
    <w:rsid w:val="006E3F77"/>
    <w:rsid w:val="006E3FAA"/>
    <w:rsid w:val="006E5586"/>
    <w:rsid w:val="006E586A"/>
    <w:rsid w:val="006E5E97"/>
    <w:rsid w:val="006E5FEB"/>
    <w:rsid w:val="006E628A"/>
    <w:rsid w:val="006E62FF"/>
    <w:rsid w:val="006E6383"/>
    <w:rsid w:val="006E7D77"/>
    <w:rsid w:val="006E7E31"/>
    <w:rsid w:val="006E7FE4"/>
    <w:rsid w:val="006F0897"/>
    <w:rsid w:val="006F0F32"/>
    <w:rsid w:val="006F1734"/>
    <w:rsid w:val="006F21C3"/>
    <w:rsid w:val="006F293F"/>
    <w:rsid w:val="006F2B8E"/>
    <w:rsid w:val="006F309F"/>
    <w:rsid w:val="006F333E"/>
    <w:rsid w:val="006F3DE8"/>
    <w:rsid w:val="006F4DF0"/>
    <w:rsid w:val="006F5E06"/>
    <w:rsid w:val="006F61AC"/>
    <w:rsid w:val="006F6450"/>
    <w:rsid w:val="007018B1"/>
    <w:rsid w:val="007022BE"/>
    <w:rsid w:val="0070263B"/>
    <w:rsid w:val="00702B53"/>
    <w:rsid w:val="00703B51"/>
    <w:rsid w:val="00704992"/>
    <w:rsid w:val="007049E2"/>
    <w:rsid w:val="00704BEE"/>
    <w:rsid w:val="00704D43"/>
    <w:rsid w:val="00704F71"/>
    <w:rsid w:val="00706044"/>
    <w:rsid w:val="00706E8A"/>
    <w:rsid w:val="007100B1"/>
    <w:rsid w:val="00710155"/>
    <w:rsid w:val="00711F33"/>
    <w:rsid w:val="00712426"/>
    <w:rsid w:val="007127F8"/>
    <w:rsid w:val="0071381E"/>
    <w:rsid w:val="00713D6B"/>
    <w:rsid w:val="00713F79"/>
    <w:rsid w:val="007140FA"/>
    <w:rsid w:val="00714637"/>
    <w:rsid w:val="00715438"/>
    <w:rsid w:val="007160E1"/>
    <w:rsid w:val="00716EBA"/>
    <w:rsid w:val="007171D2"/>
    <w:rsid w:val="0071763B"/>
    <w:rsid w:val="007179F8"/>
    <w:rsid w:val="00717DE2"/>
    <w:rsid w:val="007207F4"/>
    <w:rsid w:val="00721945"/>
    <w:rsid w:val="00721DC9"/>
    <w:rsid w:val="007220A2"/>
    <w:rsid w:val="0072297F"/>
    <w:rsid w:val="00722F5C"/>
    <w:rsid w:val="00723188"/>
    <w:rsid w:val="00723403"/>
    <w:rsid w:val="0072374D"/>
    <w:rsid w:val="00723B1B"/>
    <w:rsid w:val="007261A3"/>
    <w:rsid w:val="007274E3"/>
    <w:rsid w:val="00727B55"/>
    <w:rsid w:val="00727EE3"/>
    <w:rsid w:val="00730219"/>
    <w:rsid w:val="00730EB8"/>
    <w:rsid w:val="00731442"/>
    <w:rsid w:val="00732211"/>
    <w:rsid w:val="0073239A"/>
    <w:rsid w:val="007338B6"/>
    <w:rsid w:val="00733CBB"/>
    <w:rsid w:val="00733F56"/>
    <w:rsid w:val="00735383"/>
    <w:rsid w:val="00735C56"/>
    <w:rsid w:val="00736E25"/>
    <w:rsid w:val="0073740F"/>
    <w:rsid w:val="00737578"/>
    <w:rsid w:val="007406E2"/>
    <w:rsid w:val="00741536"/>
    <w:rsid w:val="00741594"/>
    <w:rsid w:val="0074170B"/>
    <w:rsid w:val="007418C3"/>
    <w:rsid w:val="00741C15"/>
    <w:rsid w:val="00741EC3"/>
    <w:rsid w:val="007422AF"/>
    <w:rsid w:val="007422FE"/>
    <w:rsid w:val="007426E3"/>
    <w:rsid w:val="00742B27"/>
    <w:rsid w:val="00742C8E"/>
    <w:rsid w:val="00743157"/>
    <w:rsid w:val="007442CF"/>
    <w:rsid w:val="007447B7"/>
    <w:rsid w:val="00744EFB"/>
    <w:rsid w:val="0074532B"/>
    <w:rsid w:val="00745B54"/>
    <w:rsid w:val="0074687D"/>
    <w:rsid w:val="0074712E"/>
    <w:rsid w:val="007477E7"/>
    <w:rsid w:val="007501D2"/>
    <w:rsid w:val="00751B9C"/>
    <w:rsid w:val="00751C15"/>
    <w:rsid w:val="00752A17"/>
    <w:rsid w:val="00752C79"/>
    <w:rsid w:val="00752F7D"/>
    <w:rsid w:val="00753E56"/>
    <w:rsid w:val="00753F78"/>
    <w:rsid w:val="00755995"/>
    <w:rsid w:val="0075778D"/>
    <w:rsid w:val="007578CD"/>
    <w:rsid w:val="00757A30"/>
    <w:rsid w:val="00757B68"/>
    <w:rsid w:val="00760730"/>
    <w:rsid w:val="00761224"/>
    <w:rsid w:val="00761588"/>
    <w:rsid w:val="00762279"/>
    <w:rsid w:val="00762376"/>
    <w:rsid w:val="0076257D"/>
    <w:rsid w:val="00763D44"/>
    <w:rsid w:val="00764759"/>
    <w:rsid w:val="00764956"/>
    <w:rsid w:val="00765261"/>
    <w:rsid w:val="00765BDB"/>
    <w:rsid w:val="00765ED0"/>
    <w:rsid w:val="00766182"/>
    <w:rsid w:val="00767614"/>
    <w:rsid w:val="0076784F"/>
    <w:rsid w:val="00770274"/>
    <w:rsid w:val="0077085F"/>
    <w:rsid w:val="007710EB"/>
    <w:rsid w:val="007713C1"/>
    <w:rsid w:val="0077455B"/>
    <w:rsid w:val="007745D1"/>
    <w:rsid w:val="0077595A"/>
    <w:rsid w:val="00776E2E"/>
    <w:rsid w:val="00777147"/>
    <w:rsid w:val="00777A5D"/>
    <w:rsid w:val="00780ED7"/>
    <w:rsid w:val="0078167A"/>
    <w:rsid w:val="0078177C"/>
    <w:rsid w:val="00781AEB"/>
    <w:rsid w:val="007820B2"/>
    <w:rsid w:val="0078216E"/>
    <w:rsid w:val="007823AF"/>
    <w:rsid w:val="00782834"/>
    <w:rsid w:val="00782F83"/>
    <w:rsid w:val="007836A5"/>
    <w:rsid w:val="00783C24"/>
    <w:rsid w:val="00783CCC"/>
    <w:rsid w:val="00784161"/>
    <w:rsid w:val="00784562"/>
    <w:rsid w:val="007851C7"/>
    <w:rsid w:val="0078627C"/>
    <w:rsid w:val="0078673F"/>
    <w:rsid w:val="00786EAE"/>
    <w:rsid w:val="0078739A"/>
    <w:rsid w:val="00787DD5"/>
    <w:rsid w:val="00790115"/>
    <w:rsid w:val="00791677"/>
    <w:rsid w:val="0079180C"/>
    <w:rsid w:val="0079271F"/>
    <w:rsid w:val="007930A2"/>
    <w:rsid w:val="00793204"/>
    <w:rsid w:val="00793F11"/>
    <w:rsid w:val="00795861"/>
    <w:rsid w:val="00795DFF"/>
    <w:rsid w:val="007964C0"/>
    <w:rsid w:val="00797116"/>
    <w:rsid w:val="00797488"/>
    <w:rsid w:val="007979A7"/>
    <w:rsid w:val="007A011A"/>
    <w:rsid w:val="007A026C"/>
    <w:rsid w:val="007A0476"/>
    <w:rsid w:val="007A0822"/>
    <w:rsid w:val="007A1053"/>
    <w:rsid w:val="007A1467"/>
    <w:rsid w:val="007A1F81"/>
    <w:rsid w:val="007A22EC"/>
    <w:rsid w:val="007A2A92"/>
    <w:rsid w:val="007A33D2"/>
    <w:rsid w:val="007A3CAF"/>
    <w:rsid w:val="007A4CE8"/>
    <w:rsid w:val="007A502D"/>
    <w:rsid w:val="007A50AD"/>
    <w:rsid w:val="007A52BC"/>
    <w:rsid w:val="007A56B2"/>
    <w:rsid w:val="007A6660"/>
    <w:rsid w:val="007A66AA"/>
    <w:rsid w:val="007A70F5"/>
    <w:rsid w:val="007A7D65"/>
    <w:rsid w:val="007B0139"/>
    <w:rsid w:val="007B09BB"/>
    <w:rsid w:val="007B1D21"/>
    <w:rsid w:val="007B1D56"/>
    <w:rsid w:val="007B23AE"/>
    <w:rsid w:val="007B28CC"/>
    <w:rsid w:val="007B29F4"/>
    <w:rsid w:val="007B2C54"/>
    <w:rsid w:val="007B2D0A"/>
    <w:rsid w:val="007B3CD5"/>
    <w:rsid w:val="007B50E2"/>
    <w:rsid w:val="007B5368"/>
    <w:rsid w:val="007B5B3F"/>
    <w:rsid w:val="007B5F3A"/>
    <w:rsid w:val="007B6C86"/>
    <w:rsid w:val="007B7F7B"/>
    <w:rsid w:val="007C0849"/>
    <w:rsid w:val="007C08BD"/>
    <w:rsid w:val="007C09C5"/>
    <w:rsid w:val="007C1377"/>
    <w:rsid w:val="007C18C7"/>
    <w:rsid w:val="007C22A0"/>
    <w:rsid w:val="007C27DC"/>
    <w:rsid w:val="007C2D0B"/>
    <w:rsid w:val="007C3043"/>
    <w:rsid w:val="007C347E"/>
    <w:rsid w:val="007C35AC"/>
    <w:rsid w:val="007C3AC5"/>
    <w:rsid w:val="007C44E9"/>
    <w:rsid w:val="007C4562"/>
    <w:rsid w:val="007C4E52"/>
    <w:rsid w:val="007C5178"/>
    <w:rsid w:val="007C5667"/>
    <w:rsid w:val="007C6131"/>
    <w:rsid w:val="007C6722"/>
    <w:rsid w:val="007C6799"/>
    <w:rsid w:val="007C6C47"/>
    <w:rsid w:val="007D05E1"/>
    <w:rsid w:val="007D08B5"/>
    <w:rsid w:val="007D0E8F"/>
    <w:rsid w:val="007D1610"/>
    <w:rsid w:val="007D1991"/>
    <w:rsid w:val="007D1C41"/>
    <w:rsid w:val="007D1E7F"/>
    <w:rsid w:val="007D24BD"/>
    <w:rsid w:val="007D2AA7"/>
    <w:rsid w:val="007D3009"/>
    <w:rsid w:val="007D3160"/>
    <w:rsid w:val="007D31E7"/>
    <w:rsid w:val="007D336C"/>
    <w:rsid w:val="007D4605"/>
    <w:rsid w:val="007D4994"/>
    <w:rsid w:val="007D4AE0"/>
    <w:rsid w:val="007D4DC4"/>
    <w:rsid w:val="007D5144"/>
    <w:rsid w:val="007D5A72"/>
    <w:rsid w:val="007D7094"/>
    <w:rsid w:val="007E0C5D"/>
    <w:rsid w:val="007E15DA"/>
    <w:rsid w:val="007E1F9C"/>
    <w:rsid w:val="007E20C1"/>
    <w:rsid w:val="007E2C8D"/>
    <w:rsid w:val="007E2DF9"/>
    <w:rsid w:val="007E36E8"/>
    <w:rsid w:val="007E394B"/>
    <w:rsid w:val="007E3F4A"/>
    <w:rsid w:val="007E4932"/>
    <w:rsid w:val="007E663B"/>
    <w:rsid w:val="007F05CD"/>
    <w:rsid w:val="007F196B"/>
    <w:rsid w:val="007F19BF"/>
    <w:rsid w:val="007F1E13"/>
    <w:rsid w:val="007F2224"/>
    <w:rsid w:val="007F22C1"/>
    <w:rsid w:val="007F24F0"/>
    <w:rsid w:val="007F2767"/>
    <w:rsid w:val="007F27A7"/>
    <w:rsid w:val="007F2C0E"/>
    <w:rsid w:val="007F31C5"/>
    <w:rsid w:val="007F33C2"/>
    <w:rsid w:val="007F392A"/>
    <w:rsid w:val="007F3BE2"/>
    <w:rsid w:val="007F3E5E"/>
    <w:rsid w:val="007F50BF"/>
    <w:rsid w:val="007F571A"/>
    <w:rsid w:val="007F57E6"/>
    <w:rsid w:val="007F6012"/>
    <w:rsid w:val="007F63A9"/>
    <w:rsid w:val="007F6585"/>
    <w:rsid w:val="007F6E14"/>
    <w:rsid w:val="0080014A"/>
    <w:rsid w:val="00800C53"/>
    <w:rsid w:val="00801730"/>
    <w:rsid w:val="00801BEE"/>
    <w:rsid w:val="00802CEB"/>
    <w:rsid w:val="00803494"/>
    <w:rsid w:val="0080355B"/>
    <w:rsid w:val="00803C9B"/>
    <w:rsid w:val="0080411E"/>
    <w:rsid w:val="0080432F"/>
    <w:rsid w:val="00804B83"/>
    <w:rsid w:val="00806187"/>
    <w:rsid w:val="008069CA"/>
    <w:rsid w:val="008071FD"/>
    <w:rsid w:val="008072C9"/>
    <w:rsid w:val="00807D4F"/>
    <w:rsid w:val="0081101D"/>
    <w:rsid w:val="0081119C"/>
    <w:rsid w:val="00811CC7"/>
    <w:rsid w:val="008124E0"/>
    <w:rsid w:val="008125C5"/>
    <w:rsid w:val="00812C11"/>
    <w:rsid w:val="00813162"/>
    <w:rsid w:val="0081428C"/>
    <w:rsid w:val="00814376"/>
    <w:rsid w:val="00814539"/>
    <w:rsid w:val="00814E35"/>
    <w:rsid w:val="008151D8"/>
    <w:rsid w:val="008152C2"/>
    <w:rsid w:val="0081551D"/>
    <w:rsid w:val="0081568C"/>
    <w:rsid w:val="00815D2F"/>
    <w:rsid w:val="008165EC"/>
    <w:rsid w:val="00816EBC"/>
    <w:rsid w:val="00816FF8"/>
    <w:rsid w:val="008176BA"/>
    <w:rsid w:val="0082091D"/>
    <w:rsid w:val="00822130"/>
    <w:rsid w:val="00822835"/>
    <w:rsid w:val="00822955"/>
    <w:rsid w:val="00823844"/>
    <w:rsid w:val="00823A49"/>
    <w:rsid w:val="00825711"/>
    <w:rsid w:val="00825C67"/>
    <w:rsid w:val="00826E38"/>
    <w:rsid w:val="00826F73"/>
    <w:rsid w:val="00827BFF"/>
    <w:rsid w:val="00830C44"/>
    <w:rsid w:val="0083128D"/>
    <w:rsid w:val="00831488"/>
    <w:rsid w:val="0083288B"/>
    <w:rsid w:val="00833155"/>
    <w:rsid w:val="0083553D"/>
    <w:rsid w:val="0083589E"/>
    <w:rsid w:val="00835F88"/>
    <w:rsid w:val="00836A2D"/>
    <w:rsid w:val="00837806"/>
    <w:rsid w:val="00840448"/>
    <w:rsid w:val="00840B5A"/>
    <w:rsid w:val="00841F2C"/>
    <w:rsid w:val="00842255"/>
    <w:rsid w:val="0084233F"/>
    <w:rsid w:val="008426CD"/>
    <w:rsid w:val="008427A3"/>
    <w:rsid w:val="00842992"/>
    <w:rsid w:val="008434B7"/>
    <w:rsid w:val="008435C7"/>
    <w:rsid w:val="00843A58"/>
    <w:rsid w:val="00843E55"/>
    <w:rsid w:val="0084467D"/>
    <w:rsid w:val="00844F44"/>
    <w:rsid w:val="0084623A"/>
    <w:rsid w:val="0084748E"/>
    <w:rsid w:val="008474DB"/>
    <w:rsid w:val="00847C14"/>
    <w:rsid w:val="008501D5"/>
    <w:rsid w:val="00850448"/>
    <w:rsid w:val="008507F0"/>
    <w:rsid w:val="00851229"/>
    <w:rsid w:val="00851601"/>
    <w:rsid w:val="0085261B"/>
    <w:rsid w:val="008538B3"/>
    <w:rsid w:val="00853944"/>
    <w:rsid w:val="008539C5"/>
    <w:rsid w:val="00853EC2"/>
    <w:rsid w:val="008540AF"/>
    <w:rsid w:val="00854E75"/>
    <w:rsid w:val="00855298"/>
    <w:rsid w:val="008556C9"/>
    <w:rsid w:val="00857117"/>
    <w:rsid w:val="008573DE"/>
    <w:rsid w:val="00857831"/>
    <w:rsid w:val="008611D6"/>
    <w:rsid w:val="0086199A"/>
    <w:rsid w:val="00864084"/>
    <w:rsid w:val="008653B3"/>
    <w:rsid w:val="008665CC"/>
    <w:rsid w:val="00866BFC"/>
    <w:rsid w:val="00866F5D"/>
    <w:rsid w:val="00867443"/>
    <w:rsid w:val="008674C2"/>
    <w:rsid w:val="008679EA"/>
    <w:rsid w:val="008702A2"/>
    <w:rsid w:val="00870468"/>
    <w:rsid w:val="00870CE3"/>
    <w:rsid w:val="0087320B"/>
    <w:rsid w:val="00873AB8"/>
    <w:rsid w:val="008744BF"/>
    <w:rsid w:val="0087460F"/>
    <w:rsid w:val="0087535A"/>
    <w:rsid w:val="00875D10"/>
    <w:rsid w:val="00876631"/>
    <w:rsid w:val="00877D3B"/>
    <w:rsid w:val="008804CB"/>
    <w:rsid w:val="00880606"/>
    <w:rsid w:val="008806DF"/>
    <w:rsid w:val="008808F6"/>
    <w:rsid w:val="00880A03"/>
    <w:rsid w:val="00880E3C"/>
    <w:rsid w:val="008825D6"/>
    <w:rsid w:val="008837E0"/>
    <w:rsid w:val="00883FC2"/>
    <w:rsid w:val="008842DF"/>
    <w:rsid w:val="00884316"/>
    <w:rsid w:val="0088458C"/>
    <w:rsid w:val="008847E7"/>
    <w:rsid w:val="00885747"/>
    <w:rsid w:val="00885F3C"/>
    <w:rsid w:val="00886102"/>
    <w:rsid w:val="00886A7B"/>
    <w:rsid w:val="00886C98"/>
    <w:rsid w:val="0088739E"/>
    <w:rsid w:val="00887D8C"/>
    <w:rsid w:val="00890984"/>
    <w:rsid w:val="008913C7"/>
    <w:rsid w:val="00891541"/>
    <w:rsid w:val="00891666"/>
    <w:rsid w:val="00892687"/>
    <w:rsid w:val="00892F8B"/>
    <w:rsid w:val="00893BED"/>
    <w:rsid w:val="00893FA4"/>
    <w:rsid w:val="00894183"/>
    <w:rsid w:val="00894830"/>
    <w:rsid w:val="00895F96"/>
    <w:rsid w:val="0089605D"/>
    <w:rsid w:val="00896A08"/>
    <w:rsid w:val="00896AFE"/>
    <w:rsid w:val="0089708A"/>
    <w:rsid w:val="00897EA7"/>
    <w:rsid w:val="008A0393"/>
    <w:rsid w:val="008A06E9"/>
    <w:rsid w:val="008A0B68"/>
    <w:rsid w:val="008A23A7"/>
    <w:rsid w:val="008A25DB"/>
    <w:rsid w:val="008A2C38"/>
    <w:rsid w:val="008A3313"/>
    <w:rsid w:val="008A4033"/>
    <w:rsid w:val="008A45C1"/>
    <w:rsid w:val="008A4D34"/>
    <w:rsid w:val="008A4D47"/>
    <w:rsid w:val="008A50F5"/>
    <w:rsid w:val="008A5738"/>
    <w:rsid w:val="008A5CF3"/>
    <w:rsid w:val="008A6038"/>
    <w:rsid w:val="008A660C"/>
    <w:rsid w:val="008A689B"/>
    <w:rsid w:val="008A7409"/>
    <w:rsid w:val="008A75DC"/>
    <w:rsid w:val="008B154E"/>
    <w:rsid w:val="008B1A74"/>
    <w:rsid w:val="008B1E05"/>
    <w:rsid w:val="008B24BE"/>
    <w:rsid w:val="008B37C6"/>
    <w:rsid w:val="008B5156"/>
    <w:rsid w:val="008B6132"/>
    <w:rsid w:val="008B6395"/>
    <w:rsid w:val="008C025E"/>
    <w:rsid w:val="008C0BF9"/>
    <w:rsid w:val="008C1353"/>
    <w:rsid w:val="008C1979"/>
    <w:rsid w:val="008C1CEE"/>
    <w:rsid w:val="008C229C"/>
    <w:rsid w:val="008C2843"/>
    <w:rsid w:val="008C2964"/>
    <w:rsid w:val="008C2BF1"/>
    <w:rsid w:val="008C2FA1"/>
    <w:rsid w:val="008C3311"/>
    <w:rsid w:val="008C33D7"/>
    <w:rsid w:val="008C3492"/>
    <w:rsid w:val="008C45E0"/>
    <w:rsid w:val="008C49B2"/>
    <w:rsid w:val="008C524F"/>
    <w:rsid w:val="008C5345"/>
    <w:rsid w:val="008C6F7B"/>
    <w:rsid w:val="008C7346"/>
    <w:rsid w:val="008C76B0"/>
    <w:rsid w:val="008C7992"/>
    <w:rsid w:val="008D00B1"/>
    <w:rsid w:val="008D06C0"/>
    <w:rsid w:val="008D0ADC"/>
    <w:rsid w:val="008D0D39"/>
    <w:rsid w:val="008D0F35"/>
    <w:rsid w:val="008D16F1"/>
    <w:rsid w:val="008D2381"/>
    <w:rsid w:val="008D2803"/>
    <w:rsid w:val="008D4126"/>
    <w:rsid w:val="008D4308"/>
    <w:rsid w:val="008D4551"/>
    <w:rsid w:val="008D48A9"/>
    <w:rsid w:val="008D48FF"/>
    <w:rsid w:val="008D5663"/>
    <w:rsid w:val="008D5BE9"/>
    <w:rsid w:val="008D5E25"/>
    <w:rsid w:val="008D66DC"/>
    <w:rsid w:val="008D6E9E"/>
    <w:rsid w:val="008D7361"/>
    <w:rsid w:val="008D7A3E"/>
    <w:rsid w:val="008D7F41"/>
    <w:rsid w:val="008E01E2"/>
    <w:rsid w:val="008E047F"/>
    <w:rsid w:val="008E0B80"/>
    <w:rsid w:val="008E0D04"/>
    <w:rsid w:val="008E0E20"/>
    <w:rsid w:val="008E2014"/>
    <w:rsid w:val="008E2605"/>
    <w:rsid w:val="008E2F2F"/>
    <w:rsid w:val="008E3639"/>
    <w:rsid w:val="008E499C"/>
    <w:rsid w:val="008E52FB"/>
    <w:rsid w:val="008E5C6F"/>
    <w:rsid w:val="008E5CCE"/>
    <w:rsid w:val="008E662F"/>
    <w:rsid w:val="008E682D"/>
    <w:rsid w:val="008E6D39"/>
    <w:rsid w:val="008F01E0"/>
    <w:rsid w:val="008F0775"/>
    <w:rsid w:val="008F1D61"/>
    <w:rsid w:val="008F1D67"/>
    <w:rsid w:val="008F2E17"/>
    <w:rsid w:val="008F3057"/>
    <w:rsid w:val="008F3E42"/>
    <w:rsid w:val="008F4D23"/>
    <w:rsid w:val="008F59DD"/>
    <w:rsid w:val="008F6675"/>
    <w:rsid w:val="008F7198"/>
    <w:rsid w:val="008F7AC0"/>
    <w:rsid w:val="008F7E3E"/>
    <w:rsid w:val="008F7EBB"/>
    <w:rsid w:val="00900525"/>
    <w:rsid w:val="00900540"/>
    <w:rsid w:val="00902873"/>
    <w:rsid w:val="00902D80"/>
    <w:rsid w:val="009037F1"/>
    <w:rsid w:val="00903CC6"/>
    <w:rsid w:val="00903D12"/>
    <w:rsid w:val="009054E5"/>
    <w:rsid w:val="00905991"/>
    <w:rsid w:val="0090619E"/>
    <w:rsid w:val="00906374"/>
    <w:rsid w:val="00906AE6"/>
    <w:rsid w:val="00907A74"/>
    <w:rsid w:val="00907C74"/>
    <w:rsid w:val="00907CB9"/>
    <w:rsid w:val="009103F7"/>
    <w:rsid w:val="009110EC"/>
    <w:rsid w:val="0091223C"/>
    <w:rsid w:val="00912B2A"/>
    <w:rsid w:val="009131A3"/>
    <w:rsid w:val="00913643"/>
    <w:rsid w:val="0091373E"/>
    <w:rsid w:val="0091382B"/>
    <w:rsid w:val="00913913"/>
    <w:rsid w:val="00913AB3"/>
    <w:rsid w:val="00913ABA"/>
    <w:rsid w:val="00914545"/>
    <w:rsid w:val="009145B6"/>
    <w:rsid w:val="00914CDD"/>
    <w:rsid w:val="00914ED5"/>
    <w:rsid w:val="0091506B"/>
    <w:rsid w:val="00915346"/>
    <w:rsid w:val="00915AFB"/>
    <w:rsid w:val="00915E5A"/>
    <w:rsid w:val="0091673C"/>
    <w:rsid w:val="00917A00"/>
    <w:rsid w:val="00917A1C"/>
    <w:rsid w:val="00921CEA"/>
    <w:rsid w:val="00923B09"/>
    <w:rsid w:val="009246D1"/>
    <w:rsid w:val="009249EC"/>
    <w:rsid w:val="00924BCF"/>
    <w:rsid w:val="00924F4A"/>
    <w:rsid w:val="00925804"/>
    <w:rsid w:val="0092662A"/>
    <w:rsid w:val="009266F3"/>
    <w:rsid w:val="00926E9E"/>
    <w:rsid w:val="009270D3"/>
    <w:rsid w:val="00927318"/>
    <w:rsid w:val="00927BF3"/>
    <w:rsid w:val="00930062"/>
    <w:rsid w:val="009302A7"/>
    <w:rsid w:val="009308E8"/>
    <w:rsid w:val="009309F8"/>
    <w:rsid w:val="00931028"/>
    <w:rsid w:val="009311AC"/>
    <w:rsid w:val="00931925"/>
    <w:rsid w:val="009319B6"/>
    <w:rsid w:val="009327FC"/>
    <w:rsid w:val="00933025"/>
    <w:rsid w:val="009332C9"/>
    <w:rsid w:val="009338AE"/>
    <w:rsid w:val="00933B40"/>
    <w:rsid w:val="00933E32"/>
    <w:rsid w:val="009340E5"/>
    <w:rsid w:val="00934420"/>
    <w:rsid w:val="00935E75"/>
    <w:rsid w:val="009360B5"/>
    <w:rsid w:val="009362D1"/>
    <w:rsid w:val="00936A7F"/>
    <w:rsid w:val="00936F9B"/>
    <w:rsid w:val="00937790"/>
    <w:rsid w:val="009407C3"/>
    <w:rsid w:val="00940BF0"/>
    <w:rsid w:val="00940D7C"/>
    <w:rsid w:val="009412C2"/>
    <w:rsid w:val="0094160D"/>
    <w:rsid w:val="00941C32"/>
    <w:rsid w:val="0094221F"/>
    <w:rsid w:val="00942900"/>
    <w:rsid w:val="00943387"/>
    <w:rsid w:val="00943850"/>
    <w:rsid w:val="00943EF7"/>
    <w:rsid w:val="009447B7"/>
    <w:rsid w:val="00944815"/>
    <w:rsid w:val="00944BF8"/>
    <w:rsid w:val="00944D49"/>
    <w:rsid w:val="009459BA"/>
    <w:rsid w:val="00946211"/>
    <w:rsid w:val="00946566"/>
    <w:rsid w:val="0094769B"/>
    <w:rsid w:val="00947BAE"/>
    <w:rsid w:val="00947BAF"/>
    <w:rsid w:val="00947E9D"/>
    <w:rsid w:val="009503CC"/>
    <w:rsid w:val="00950670"/>
    <w:rsid w:val="009509C8"/>
    <w:rsid w:val="00950F54"/>
    <w:rsid w:val="00953630"/>
    <w:rsid w:val="00953696"/>
    <w:rsid w:val="00955A39"/>
    <w:rsid w:val="009560B9"/>
    <w:rsid w:val="00956158"/>
    <w:rsid w:val="009565C2"/>
    <w:rsid w:val="00956F84"/>
    <w:rsid w:val="0095784C"/>
    <w:rsid w:val="00957865"/>
    <w:rsid w:val="00957C92"/>
    <w:rsid w:val="00957EE5"/>
    <w:rsid w:val="0096069F"/>
    <w:rsid w:val="009623AC"/>
    <w:rsid w:val="00962B74"/>
    <w:rsid w:val="009636A2"/>
    <w:rsid w:val="00964DDB"/>
    <w:rsid w:val="00964F28"/>
    <w:rsid w:val="00965216"/>
    <w:rsid w:val="00966232"/>
    <w:rsid w:val="00966E51"/>
    <w:rsid w:val="0096716D"/>
    <w:rsid w:val="00970A5D"/>
    <w:rsid w:val="0097186B"/>
    <w:rsid w:val="00971F4F"/>
    <w:rsid w:val="009723ED"/>
    <w:rsid w:val="0097266D"/>
    <w:rsid w:val="00972C5F"/>
    <w:rsid w:val="00972D86"/>
    <w:rsid w:val="00972EF0"/>
    <w:rsid w:val="00973901"/>
    <w:rsid w:val="00973960"/>
    <w:rsid w:val="00975BA1"/>
    <w:rsid w:val="00975C8B"/>
    <w:rsid w:val="00976595"/>
    <w:rsid w:val="00981DDE"/>
    <w:rsid w:val="00981EB1"/>
    <w:rsid w:val="009827B9"/>
    <w:rsid w:val="00983441"/>
    <w:rsid w:val="009834A4"/>
    <w:rsid w:val="009836E0"/>
    <w:rsid w:val="00983913"/>
    <w:rsid w:val="00983CCA"/>
    <w:rsid w:val="009852B7"/>
    <w:rsid w:val="0098557B"/>
    <w:rsid w:val="0098559F"/>
    <w:rsid w:val="00985809"/>
    <w:rsid w:val="00985E87"/>
    <w:rsid w:val="00985EDB"/>
    <w:rsid w:val="0098642A"/>
    <w:rsid w:val="00986DA7"/>
    <w:rsid w:val="00986EAC"/>
    <w:rsid w:val="009871F4"/>
    <w:rsid w:val="00987297"/>
    <w:rsid w:val="0099038B"/>
    <w:rsid w:val="00990750"/>
    <w:rsid w:val="00990A8B"/>
    <w:rsid w:val="00991A27"/>
    <w:rsid w:val="00991D6D"/>
    <w:rsid w:val="009923DD"/>
    <w:rsid w:val="009924FD"/>
    <w:rsid w:val="00992515"/>
    <w:rsid w:val="00992606"/>
    <w:rsid w:val="0099274E"/>
    <w:rsid w:val="00993FF6"/>
    <w:rsid w:val="0099483D"/>
    <w:rsid w:val="00994A7D"/>
    <w:rsid w:val="00994AB5"/>
    <w:rsid w:val="00995A96"/>
    <w:rsid w:val="00996241"/>
    <w:rsid w:val="00996449"/>
    <w:rsid w:val="00996C58"/>
    <w:rsid w:val="00997314"/>
    <w:rsid w:val="0099749E"/>
    <w:rsid w:val="00997601"/>
    <w:rsid w:val="00997C09"/>
    <w:rsid w:val="009A0843"/>
    <w:rsid w:val="009A0A7A"/>
    <w:rsid w:val="009A0D48"/>
    <w:rsid w:val="009A228C"/>
    <w:rsid w:val="009A3180"/>
    <w:rsid w:val="009A37CE"/>
    <w:rsid w:val="009A3B8B"/>
    <w:rsid w:val="009A49F2"/>
    <w:rsid w:val="009A5812"/>
    <w:rsid w:val="009A6859"/>
    <w:rsid w:val="009A6D81"/>
    <w:rsid w:val="009A7255"/>
    <w:rsid w:val="009B2115"/>
    <w:rsid w:val="009B3718"/>
    <w:rsid w:val="009B41BB"/>
    <w:rsid w:val="009B42AB"/>
    <w:rsid w:val="009B4871"/>
    <w:rsid w:val="009B4938"/>
    <w:rsid w:val="009B5E99"/>
    <w:rsid w:val="009B5EB7"/>
    <w:rsid w:val="009B5FFC"/>
    <w:rsid w:val="009B74E6"/>
    <w:rsid w:val="009B7668"/>
    <w:rsid w:val="009B7BE2"/>
    <w:rsid w:val="009B7D74"/>
    <w:rsid w:val="009C0196"/>
    <w:rsid w:val="009C154C"/>
    <w:rsid w:val="009C21E8"/>
    <w:rsid w:val="009C27F8"/>
    <w:rsid w:val="009C288C"/>
    <w:rsid w:val="009C3ECC"/>
    <w:rsid w:val="009C41E7"/>
    <w:rsid w:val="009C47E0"/>
    <w:rsid w:val="009C4A2A"/>
    <w:rsid w:val="009C56F8"/>
    <w:rsid w:val="009C5763"/>
    <w:rsid w:val="009C5BAE"/>
    <w:rsid w:val="009C676C"/>
    <w:rsid w:val="009C7728"/>
    <w:rsid w:val="009C7AD3"/>
    <w:rsid w:val="009C7D58"/>
    <w:rsid w:val="009D01BD"/>
    <w:rsid w:val="009D0683"/>
    <w:rsid w:val="009D080E"/>
    <w:rsid w:val="009D0C3D"/>
    <w:rsid w:val="009D0C97"/>
    <w:rsid w:val="009D0F93"/>
    <w:rsid w:val="009D1199"/>
    <w:rsid w:val="009D11C5"/>
    <w:rsid w:val="009D1689"/>
    <w:rsid w:val="009D1860"/>
    <w:rsid w:val="009D2245"/>
    <w:rsid w:val="009D2B1C"/>
    <w:rsid w:val="009D555B"/>
    <w:rsid w:val="009D5FD5"/>
    <w:rsid w:val="009D752C"/>
    <w:rsid w:val="009D7ADF"/>
    <w:rsid w:val="009E0572"/>
    <w:rsid w:val="009E08BF"/>
    <w:rsid w:val="009E0950"/>
    <w:rsid w:val="009E1A97"/>
    <w:rsid w:val="009E25CE"/>
    <w:rsid w:val="009E2B26"/>
    <w:rsid w:val="009E31B5"/>
    <w:rsid w:val="009E498E"/>
    <w:rsid w:val="009E4DE4"/>
    <w:rsid w:val="009E4E2F"/>
    <w:rsid w:val="009E503D"/>
    <w:rsid w:val="009E530C"/>
    <w:rsid w:val="009E5700"/>
    <w:rsid w:val="009E5849"/>
    <w:rsid w:val="009E6C74"/>
    <w:rsid w:val="009E7B2E"/>
    <w:rsid w:val="009E7EC2"/>
    <w:rsid w:val="009F0C13"/>
    <w:rsid w:val="009F0ED5"/>
    <w:rsid w:val="009F129D"/>
    <w:rsid w:val="009F1311"/>
    <w:rsid w:val="009F331F"/>
    <w:rsid w:val="009F46EC"/>
    <w:rsid w:val="009F4DD8"/>
    <w:rsid w:val="009F5AFD"/>
    <w:rsid w:val="009F643D"/>
    <w:rsid w:val="009F6EDD"/>
    <w:rsid w:val="009F7248"/>
    <w:rsid w:val="009F79C9"/>
    <w:rsid w:val="00A006F0"/>
    <w:rsid w:val="00A007E3"/>
    <w:rsid w:val="00A00E77"/>
    <w:rsid w:val="00A02675"/>
    <w:rsid w:val="00A04934"/>
    <w:rsid w:val="00A04988"/>
    <w:rsid w:val="00A052CD"/>
    <w:rsid w:val="00A052F3"/>
    <w:rsid w:val="00A05E25"/>
    <w:rsid w:val="00A063A0"/>
    <w:rsid w:val="00A06666"/>
    <w:rsid w:val="00A06A5C"/>
    <w:rsid w:val="00A0751B"/>
    <w:rsid w:val="00A1004D"/>
    <w:rsid w:val="00A11E8F"/>
    <w:rsid w:val="00A11F44"/>
    <w:rsid w:val="00A12FA2"/>
    <w:rsid w:val="00A14001"/>
    <w:rsid w:val="00A148AF"/>
    <w:rsid w:val="00A15267"/>
    <w:rsid w:val="00A152E0"/>
    <w:rsid w:val="00A15DA4"/>
    <w:rsid w:val="00A163CD"/>
    <w:rsid w:val="00A1641F"/>
    <w:rsid w:val="00A166F5"/>
    <w:rsid w:val="00A169C2"/>
    <w:rsid w:val="00A16BA0"/>
    <w:rsid w:val="00A16C35"/>
    <w:rsid w:val="00A1716D"/>
    <w:rsid w:val="00A17243"/>
    <w:rsid w:val="00A1771E"/>
    <w:rsid w:val="00A21758"/>
    <w:rsid w:val="00A2289D"/>
    <w:rsid w:val="00A22CCC"/>
    <w:rsid w:val="00A2327C"/>
    <w:rsid w:val="00A237FB"/>
    <w:rsid w:val="00A23FE3"/>
    <w:rsid w:val="00A25336"/>
    <w:rsid w:val="00A25B99"/>
    <w:rsid w:val="00A26270"/>
    <w:rsid w:val="00A26433"/>
    <w:rsid w:val="00A26ADA"/>
    <w:rsid w:val="00A279E4"/>
    <w:rsid w:val="00A30012"/>
    <w:rsid w:val="00A3011C"/>
    <w:rsid w:val="00A3017C"/>
    <w:rsid w:val="00A30958"/>
    <w:rsid w:val="00A30BA5"/>
    <w:rsid w:val="00A31C09"/>
    <w:rsid w:val="00A31D2A"/>
    <w:rsid w:val="00A32C31"/>
    <w:rsid w:val="00A33553"/>
    <w:rsid w:val="00A33D4C"/>
    <w:rsid w:val="00A3446A"/>
    <w:rsid w:val="00A356CE"/>
    <w:rsid w:val="00A360EC"/>
    <w:rsid w:val="00A370C7"/>
    <w:rsid w:val="00A3739C"/>
    <w:rsid w:val="00A3759B"/>
    <w:rsid w:val="00A375A6"/>
    <w:rsid w:val="00A37629"/>
    <w:rsid w:val="00A376B7"/>
    <w:rsid w:val="00A40CB3"/>
    <w:rsid w:val="00A417F0"/>
    <w:rsid w:val="00A41C80"/>
    <w:rsid w:val="00A42122"/>
    <w:rsid w:val="00A42618"/>
    <w:rsid w:val="00A4293A"/>
    <w:rsid w:val="00A42F53"/>
    <w:rsid w:val="00A4372E"/>
    <w:rsid w:val="00A43A11"/>
    <w:rsid w:val="00A43E0D"/>
    <w:rsid w:val="00A43F3A"/>
    <w:rsid w:val="00A44085"/>
    <w:rsid w:val="00A44576"/>
    <w:rsid w:val="00A45918"/>
    <w:rsid w:val="00A45922"/>
    <w:rsid w:val="00A45E42"/>
    <w:rsid w:val="00A460A9"/>
    <w:rsid w:val="00A46580"/>
    <w:rsid w:val="00A465D3"/>
    <w:rsid w:val="00A47277"/>
    <w:rsid w:val="00A47943"/>
    <w:rsid w:val="00A479DE"/>
    <w:rsid w:val="00A47E97"/>
    <w:rsid w:val="00A50280"/>
    <w:rsid w:val="00A504E8"/>
    <w:rsid w:val="00A5059B"/>
    <w:rsid w:val="00A51796"/>
    <w:rsid w:val="00A51AC5"/>
    <w:rsid w:val="00A51F7F"/>
    <w:rsid w:val="00A520CE"/>
    <w:rsid w:val="00A52913"/>
    <w:rsid w:val="00A532AA"/>
    <w:rsid w:val="00A53E50"/>
    <w:rsid w:val="00A5411F"/>
    <w:rsid w:val="00A5463F"/>
    <w:rsid w:val="00A5481B"/>
    <w:rsid w:val="00A548E1"/>
    <w:rsid w:val="00A556A0"/>
    <w:rsid w:val="00A5578D"/>
    <w:rsid w:val="00A55A40"/>
    <w:rsid w:val="00A55DA5"/>
    <w:rsid w:val="00A56BE4"/>
    <w:rsid w:val="00A607A2"/>
    <w:rsid w:val="00A610A1"/>
    <w:rsid w:val="00A61AAA"/>
    <w:rsid w:val="00A61E47"/>
    <w:rsid w:val="00A61EED"/>
    <w:rsid w:val="00A6297D"/>
    <w:rsid w:val="00A640B8"/>
    <w:rsid w:val="00A6503D"/>
    <w:rsid w:val="00A65EB1"/>
    <w:rsid w:val="00A66A45"/>
    <w:rsid w:val="00A702F4"/>
    <w:rsid w:val="00A70312"/>
    <w:rsid w:val="00A70595"/>
    <w:rsid w:val="00A71E76"/>
    <w:rsid w:val="00A72F01"/>
    <w:rsid w:val="00A73099"/>
    <w:rsid w:val="00A744B3"/>
    <w:rsid w:val="00A74A3A"/>
    <w:rsid w:val="00A74FEC"/>
    <w:rsid w:val="00A7524E"/>
    <w:rsid w:val="00A75304"/>
    <w:rsid w:val="00A75E64"/>
    <w:rsid w:val="00A76189"/>
    <w:rsid w:val="00A768F2"/>
    <w:rsid w:val="00A76B70"/>
    <w:rsid w:val="00A77172"/>
    <w:rsid w:val="00A77569"/>
    <w:rsid w:val="00A80B76"/>
    <w:rsid w:val="00A81550"/>
    <w:rsid w:val="00A8177E"/>
    <w:rsid w:val="00A8200B"/>
    <w:rsid w:val="00A82279"/>
    <w:rsid w:val="00A836DE"/>
    <w:rsid w:val="00A846F7"/>
    <w:rsid w:val="00A84778"/>
    <w:rsid w:val="00A84C48"/>
    <w:rsid w:val="00A85089"/>
    <w:rsid w:val="00A85AE2"/>
    <w:rsid w:val="00A85DED"/>
    <w:rsid w:val="00A86F25"/>
    <w:rsid w:val="00A87069"/>
    <w:rsid w:val="00A87559"/>
    <w:rsid w:val="00A87A3F"/>
    <w:rsid w:val="00A9114A"/>
    <w:rsid w:val="00A929CD"/>
    <w:rsid w:val="00A92CB2"/>
    <w:rsid w:val="00A93355"/>
    <w:rsid w:val="00A93465"/>
    <w:rsid w:val="00A93A40"/>
    <w:rsid w:val="00A93D2D"/>
    <w:rsid w:val="00A93E34"/>
    <w:rsid w:val="00A93F35"/>
    <w:rsid w:val="00A94472"/>
    <w:rsid w:val="00A945D2"/>
    <w:rsid w:val="00A94F56"/>
    <w:rsid w:val="00A96018"/>
    <w:rsid w:val="00A964B6"/>
    <w:rsid w:val="00A96A36"/>
    <w:rsid w:val="00A97B27"/>
    <w:rsid w:val="00AA0505"/>
    <w:rsid w:val="00AA08D6"/>
    <w:rsid w:val="00AA2131"/>
    <w:rsid w:val="00AA2806"/>
    <w:rsid w:val="00AA2E5B"/>
    <w:rsid w:val="00AA2E7F"/>
    <w:rsid w:val="00AA330A"/>
    <w:rsid w:val="00AA335E"/>
    <w:rsid w:val="00AA46E9"/>
    <w:rsid w:val="00AA49F8"/>
    <w:rsid w:val="00AA5A42"/>
    <w:rsid w:val="00AA5DB7"/>
    <w:rsid w:val="00AA5F7C"/>
    <w:rsid w:val="00AA6B32"/>
    <w:rsid w:val="00AB0625"/>
    <w:rsid w:val="00AB0685"/>
    <w:rsid w:val="00AB0773"/>
    <w:rsid w:val="00AB089C"/>
    <w:rsid w:val="00AB089D"/>
    <w:rsid w:val="00AB1970"/>
    <w:rsid w:val="00AB319B"/>
    <w:rsid w:val="00AB3266"/>
    <w:rsid w:val="00AB4111"/>
    <w:rsid w:val="00AB528C"/>
    <w:rsid w:val="00AB5DCF"/>
    <w:rsid w:val="00AB5EE3"/>
    <w:rsid w:val="00AB6327"/>
    <w:rsid w:val="00AB67AD"/>
    <w:rsid w:val="00AB6AC9"/>
    <w:rsid w:val="00AB7033"/>
    <w:rsid w:val="00AC0570"/>
    <w:rsid w:val="00AC0784"/>
    <w:rsid w:val="00AC193C"/>
    <w:rsid w:val="00AC1CC6"/>
    <w:rsid w:val="00AC30E8"/>
    <w:rsid w:val="00AC3242"/>
    <w:rsid w:val="00AC3B49"/>
    <w:rsid w:val="00AC3F85"/>
    <w:rsid w:val="00AC4B6F"/>
    <w:rsid w:val="00AC4E5D"/>
    <w:rsid w:val="00AC4FFD"/>
    <w:rsid w:val="00AC51D8"/>
    <w:rsid w:val="00AC5B81"/>
    <w:rsid w:val="00AC5BF4"/>
    <w:rsid w:val="00AC6340"/>
    <w:rsid w:val="00AC6884"/>
    <w:rsid w:val="00AC702A"/>
    <w:rsid w:val="00AC7036"/>
    <w:rsid w:val="00AC76BD"/>
    <w:rsid w:val="00AD0D0A"/>
    <w:rsid w:val="00AD13A3"/>
    <w:rsid w:val="00AD1AD4"/>
    <w:rsid w:val="00AD27F9"/>
    <w:rsid w:val="00AD2C31"/>
    <w:rsid w:val="00AD309E"/>
    <w:rsid w:val="00AD553F"/>
    <w:rsid w:val="00AD5540"/>
    <w:rsid w:val="00AD5C00"/>
    <w:rsid w:val="00AD5E6E"/>
    <w:rsid w:val="00AD79DA"/>
    <w:rsid w:val="00AD7B55"/>
    <w:rsid w:val="00AD7B83"/>
    <w:rsid w:val="00AE00AA"/>
    <w:rsid w:val="00AE04A7"/>
    <w:rsid w:val="00AE0939"/>
    <w:rsid w:val="00AE0A27"/>
    <w:rsid w:val="00AE1ACB"/>
    <w:rsid w:val="00AE1DE2"/>
    <w:rsid w:val="00AE3F53"/>
    <w:rsid w:val="00AE4479"/>
    <w:rsid w:val="00AE453E"/>
    <w:rsid w:val="00AE5053"/>
    <w:rsid w:val="00AE5162"/>
    <w:rsid w:val="00AE5663"/>
    <w:rsid w:val="00AE588C"/>
    <w:rsid w:val="00AE6C73"/>
    <w:rsid w:val="00AE6CA1"/>
    <w:rsid w:val="00AE75EB"/>
    <w:rsid w:val="00AF068F"/>
    <w:rsid w:val="00AF0ADA"/>
    <w:rsid w:val="00AF0FB3"/>
    <w:rsid w:val="00AF1173"/>
    <w:rsid w:val="00AF155C"/>
    <w:rsid w:val="00AF1FFA"/>
    <w:rsid w:val="00AF2B15"/>
    <w:rsid w:val="00AF2C9C"/>
    <w:rsid w:val="00AF32C9"/>
    <w:rsid w:val="00AF3487"/>
    <w:rsid w:val="00AF36BF"/>
    <w:rsid w:val="00AF37EC"/>
    <w:rsid w:val="00AF3AEE"/>
    <w:rsid w:val="00AF42A5"/>
    <w:rsid w:val="00AF48B9"/>
    <w:rsid w:val="00AF77EE"/>
    <w:rsid w:val="00AF7B0C"/>
    <w:rsid w:val="00B00A04"/>
    <w:rsid w:val="00B00C30"/>
    <w:rsid w:val="00B0105E"/>
    <w:rsid w:val="00B011C0"/>
    <w:rsid w:val="00B01332"/>
    <w:rsid w:val="00B0133D"/>
    <w:rsid w:val="00B0193B"/>
    <w:rsid w:val="00B01DEE"/>
    <w:rsid w:val="00B024B2"/>
    <w:rsid w:val="00B03174"/>
    <w:rsid w:val="00B032E7"/>
    <w:rsid w:val="00B03807"/>
    <w:rsid w:val="00B03B4A"/>
    <w:rsid w:val="00B03C93"/>
    <w:rsid w:val="00B03E02"/>
    <w:rsid w:val="00B03E87"/>
    <w:rsid w:val="00B059BF"/>
    <w:rsid w:val="00B05F94"/>
    <w:rsid w:val="00B06881"/>
    <w:rsid w:val="00B06AC2"/>
    <w:rsid w:val="00B06ADA"/>
    <w:rsid w:val="00B06B81"/>
    <w:rsid w:val="00B073A0"/>
    <w:rsid w:val="00B073FD"/>
    <w:rsid w:val="00B1104C"/>
    <w:rsid w:val="00B11FAB"/>
    <w:rsid w:val="00B12286"/>
    <w:rsid w:val="00B12FAF"/>
    <w:rsid w:val="00B1459D"/>
    <w:rsid w:val="00B149EA"/>
    <w:rsid w:val="00B14B7F"/>
    <w:rsid w:val="00B17138"/>
    <w:rsid w:val="00B1759E"/>
    <w:rsid w:val="00B17E81"/>
    <w:rsid w:val="00B20AF4"/>
    <w:rsid w:val="00B22870"/>
    <w:rsid w:val="00B25F90"/>
    <w:rsid w:val="00B262D6"/>
    <w:rsid w:val="00B2678F"/>
    <w:rsid w:val="00B279D4"/>
    <w:rsid w:val="00B27BA8"/>
    <w:rsid w:val="00B27F3A"/>
    <w:rsid w:val="00B31346"/>
    <w:rsid w:val="00B314B3"/>
    <w:rsid w:val="00B319DF"/>
    <w:rsid w:val="00B34597"/>
    <w:rsid w:val="00B346BA"/>
    <w:rsid w:val="00B34F13"/>
    <w:rsid w:val="00B35941"/>
    <w:rsid w:val="00B359B1"/>
    <w:rsid w:val="00B361C8"/>
    <w:rsid w:val="00B36A84"/>
    <w:rsid w:val="00B371C2"/>
    <w:rsid w:val="00B37243"/>
    <w:rsid w:val="00B37262"/>
    <w:rsid w:val="00B4092A"/>
    <w:rsid w:val="00B416E8"/>
    <w:rsid w:val="00B41F17"/>
    <w:rsid w:val="00B42146"/>
    <w:rsid w:val="00B4266C"/>
    <w:rsid w:val="00B4307D"/>
    <w:rsid w:val="00B448C8"/>
    <w:rsid w:val="00B44A44"/>
    <w:rsid w:val="00B44B63"/>
    <w:rsid w:val="00B45AAF"/>
    <w:rsid w:val="00B45E52"/>
    <w:rsid w:val="00B4602E"/>
    <w:rsid w:val="00B462AF"/>
    <w:rsid w:val="00B468F5"/>
    <w:rsid w:val="00B4692B"/>
    <w:rsid w:val="00B46CF8"/>
    <w:rsid w:val="00B47462"/>
    <w:rsid w:val="00B47622"/>
    <w:rsid w:val="00B47B3C"/>
    <w:rsid w:val="00B4D64D"/>
    <w:rsid w:val="00B504BB"/>
    <w:rsid w:val="00B50845"/>
    <w:rsid w:val="00B510C6"/>
    <w:rsid w:val="00B5162C"/>
    <w:rsid w:val="00B517BA"/>
    <w:rsid w:val="00B51828"/>
    <w:rsid w:val="00B51DDA"/>
    <w:rsid w:val="00B52012"/>
    <w:rsid w:val="00B52610"/>
    <w:rsid w:val="00B526D3"/>
    <w:rsid w:val="00B52B5D"/>
    <w:rsid w:val="00B5330A"/>
    <w:rsid w:val="00B53930"/>
    <w:rsid w:val="00B53BF6"/>
    <w:rsid w:val="00B5537A"/>
    <w:rsid w:val="00B5543C"/>
    <w:rsid w:val="00B55644"/>
    <w:rsid w:val="00B56B69"/>
    <w:rsid w:val="00B56BC6"/>
    <w:rsid w:val="00B571E5"/>
    <w:rsid w:val="00B57B7F"/>
    <w:rsid w:val="00B57E46"/>
    <w:rsid w:val="00B60088"/>
    <w:rsid w:val="00B6016D"/>
    <w:rsid w:val="00B60A51"/>
    <w:rsid w:val="00B60BCB"/>
    <w:rsid w:val="00B60BDA"/>
    <w:rsid w:val="00B60E40"/>
    <w:rsid w:val="00B611F0"/>
    <w:rsid w:val="00B619E6"/>
    <w:rsid w:val="00B62AA9"/>
    <w:rsid w:val="00B62CBD"/>
    <w:rsid w:val="00B6339F"/>
    <w:rsid w:val="00B63FF9"/>
    <w:rsid w:val="00B64157"/>
    <w:rsid w:val="00B64342"/>
    <w:rsid w:val="00B64CB3"/>
    <w:rsid w:val="00B660B3"/>
    <w:rsid w:val="00B669F5"/>
    <w:rsid w:val="00B670D2"/>
    <w:rsid w:val="00B7216D"/>
    <w:rsid w:val="00B724F6"/>
    <w:rsid w:val="00B72573"/>
    <w:rsid w:val="00B72B0A"/>
    <w:rsid w:val="00B72B53"/>
    <w:rsid w:val="00B74C06"/>
    <w:rsid w:val="00B754C2"/>
    <w:rsid w:val="00B75895"/>
    <w:rsid w:val="00B75F6D"/>
    <w:rsid w:val="00B76861"/>
    <w:rsid w:val="00B777E4"/>
    <w:rsid w:val="00B77B6B"/>
    <w:rsid w:val="00B77FED"/>
    <w:rsid w:val="00B802CB"/>
    <w:rsid w:val="00B802E2"/>
    <w:rsid w:val="00B80410"/>
    <w:rsid w:val="00B80B1D"/>
    <w:rsid w:val="00B80F91"/>
    <w:rsid w:val="00B81466"/>
    <w:rsid w:val="00B81ABF"/>
    <w:rsid w:val="00B81DEF"/>
    <w:rsid w:val="00B82358"/>
    <w:rsid w:val="00B82842"/>
    <w:rsid w:val="00B82921"/>
    <w:rsid w:val="00B83092"/>
    <w:rsid w:val="00B8327B"/>
    <w:rsid w:val="00B8396F"/>
    <w:rsid w:val="00B83A63"/>
    <w:rsid w:val="00B83E3D"/>
    <w:rsid w:val="00B840E3"/>
    <w:rsid w:val="00B84788"/>
    <w:rsid w:val="00B87320"/>
    <w:rsid w:val="00B8765E"/>
    <w:rsid w:val="00B87849"/>
    <w:rsid w:val="00B879CD"/>
    <w:rsid w:val="00B87A52"/>
    <w:rsid w:val="00B87AA3"/>
    <w:rsid w:val="00B9090C"/>
    <w:rsid w:val="00B910C1"/>
    <w:rsid w:val="00B910F8"/>
    <w:rsid w:val="00B9129F"/>
    <w:rsid w:val="00B91647"/>
    <w:rsid w:val="00B91698"/>
    <w:rsid w:val="00B91804"/>
    <w:rsid w:val="00B92182"/>
    <w:rsid w:val="00B924C2"/>
    <w:rsid w:val="00B92C9D"/>
    <w:rsid w:val="00B92FFF"/>
    <w:rsid w:val="00B93DFB"/>
    <w:rsid w:val="00B94192"/>
    <w:rsid w:val="00B94793"/>
    <w:rsid w:val="00B94B27"/>
    <w:rsid w:val="00B94D4E"/>
    <w:rsid w:val="00B9594D"/>
    <w:rsid w:val="00B95BFA"/>
    <w:rsid w:val="00B9734D"/>
    <w:rsid w:val="00B9797B"/>
    <w:rsid w:val="00B97CD9"/>
    <w:rsid w:val="00BA0603"/>
    <w:rsid w:val="00BA0749"/>
    <w:rsid w:val="00BA0761"/>
    <w:rsid w:val="00BA3692"/>
    <w:rsid w:val="00BA3C6E"/>
    <w:rsid w:val="00BA4093"/>
    <w:rsid w:val="00BA5DBA"/>
    <w:rsid w:val="00BA71A7"/>
    <w:rsid w:val="00BA721A"/>
    <w:rsid w:val="00BA79B6"/>
    <w:rsid w:val="00BA7ADC"/>
    <w:rsid w:val="00BA7DA3"/>
    <w:rsid w:val="00BA7F7C"/>
    <w:rsid w:val="00BB13C8"/>
    <w:rsid w:val="00BB16B7"/>
    <w:rsid w:val="00BB2075"/>
    <w:rsid w:val="00BB2602"/>
    <w:rsid w:val="00BB2F0D"/>
    <w:rsid w:val="00BB3054"/>
    <w:rsid w:val="00BB44C1"/>
    <w:rsid w:val="00BB5091"/>
    <w:rsid w:val="00BB5687"/>
    <w:rsid w:val="00BB67F6"/>
    <w:rsid w:val="00BB6C3A"/>
    <w:rsid w:val="00BB75FB"/>
    <w:rsid w:val="00BB76F5"/>
    <w:rsid w:val="00BB77E4"/>
    <w:rsid w:val="00BC049F"/>
    <w:rsid w:val="00BC05AE"/>
    <w:rsid w:val="00BC11AE"/>
    <w:rsid w:val="00BC1875"/>
    <w:rsid w:val="00BC1CE5"/>
    <w:rsid w:val="00BC1DC9"/>
    <w:rsid w:val="00BC2321"/>
    <w:rsid w:val="00BC28D7"/>
    <w:rsid w:val="00BC2B0A"/>
    <w:rsid w:val="00BC2DF8"/>
    <w:rsid w:val="00BC3F1B"/>
    <w:rsid w:val="00BC4A4A"/>
    <w:rsid w:val="00BC4B29"/>
    <w:rsid w:val="00BC4C57"/>
    <w:rsid w:val="00BC52DE"/>
    <w:rsid w:val="00BC6C2A"/>
    <w:rsid w:val="00BC70E5"/>
    <w:rsid w:val="00BC71AC"/>
    <w:rsid w:val="00BC789A"/>
    <w:rsid w:val="00BC7D9D"/>
    <w:rsid w:val="00BD03EC"/>
    <w:rsid w:val="00BD0D32"/>
    <w:rsid w:val="00BD18A1"/>
    <w:rsid w:val="00BD1AF0"/>
    <w:rsid w:val="00BD1D4B"/>
    <w:rsid w:val="00BD2A8B"/>
    <w:rsid w:val="00BD3891"/>
    <w:rsid w:val="00BD3D40"/>
    <w:rsid w:val="00BD432A"/>
    <w:rsid w:val="00BD45AC"/>
    <w:rsid w:val="00BD4E0C"/>
    <w:rsid w:val="00BD6337"/>
    <w:rsid w:val="00BD674D"/>
    <w:rsid w:val="00BD6C1A"/>
    <w:rsid w:val="00BD6E3E"/>
    <w:rsid w:val="00BD7705"/>
    <w:rsid w:val="00BD7C45"/>
    <w:rsid w:val="00BE0008"/>
    <w:rsid w:val="00BE03C5"/>
    <w:rsid w:val="00BE1844"/>
    <w:rsid w:val="00BE29AE"/>
    <w:rsid w:val="00BE2F16"/>
    <w:rsid w:val="00BE3381"/>
    <w:rsid w:val="00BE346A"/>
    <w:rsid w:val="00BE36EB"/>
    <w:rsid w:val="00BE58E5"/>
    <w:rsid w:val="00BE5900"/>
    <w:rsid w:val="00BE5DD1"/>
    <w:rsid w:val="00BE61FD"/>
    <w:rsid w:val="00BE646C"/>
    <w:rsid w:val="00BE66ED"/>
    <w:rsid w:val="00BE6710"/>
    <w:rsid w:val="00BE6CCF"/>
    <w:rsid w:val="00BE6E9A"/>
    <w:rsid w:val="00BE7A7F"/>
    <w:rsid w:val="00BE7C3C"/>
    <w:rsid w:val="00BF007F"/>
    <w:rsid w:val="00BF081F"/>
    <w:rsid w:val="00BF102E"/>
    <w:rsid w:val="00BF1746"/>
    <w:rsid w:val="00BF199E"/>
    <w:rsid w:val="00BF3482"/>
    <w:rsid w:val="00BF3529"/>
    <w:rsid w:val="00BF3AD7"/>
    <w:rsid w:val="00BF4278"/>
    <w:rsid w:val="00BF525E"/>
    <w:rsid w:val="00BF5D92"/>
    <w:rsid w:val="00BF62E8"/>
    <w:rsid w:val="00BF6A5D"/>
    <w:rsid w:val="00BF6C75"/>
    <w:rsid w:val="00BF7CF1"/>
    <w:rsid w:val="00C00074"/>
    <w:rsid w:val="00C00A7A"/>
    <w:rsid w:val="00C00E53"/>
    <w:rsid w:val="00C00F8E"/>
    <w:rsid w:val="00C013FD"/>
    <w:rsid w:val="00C01A35"/>
    <w:rsid w:val="00C01AD0"/>
    <w:rsid w:val="00C038F6"/>
    <w:rsid w:val="00C03D87"/>
    <w:rsid w:val="00C03E7F"/>
    <w:rsid w:val="00C04496"/>
    <w:rsid w:val="00C04FF3"/>
    <w:rsid w:val="00C0524D"/>
    <w:rsid w:val="00C06722"/>
    <w:rsid w:val="00C06AC8"/>
    <w:rsid w:val="00C06B31"/>
    <w:rsid w:val="00C078D6"/>
    <w:rsid w:val="00C10394"/>
    <w:rsid w:val="00C1121C"/>
    <w:rsid w:val="00C12CB4"/>
    <w:rsid w:val="00C12DA3"/>
    <w:rsid w:val="00C13626"/>
    <w:rsid w:val="00C14C86"/>
    <w:rsid w:val="00C1614F"/>
    <w:rsid w:val="00C167D3"/>
    <w:rsid w:val="00C172EC"/>
    <w:rsid w:val="00C207F7"/>
    <w:rsid w:val="00C21264"/>
    <w:rsid w:val="00C21619"/>
    <w:rsid w:val="00C21D7B"/>
    <w:rsid w:val="00C21EFD"/>
    <w:rsid w:val="00C2243C"/>
    <w:rsid w:val="00C22666"/>
    <w:rsid w:val="00C226CC"/>
    <w:rsid w:val="00C2275B"/>
    <w:rsid w:val="00C2319C"/>
    <w:rsid w:val="00C231D8"/>
    <w:rsid w:val="00C2434C"/>
    <w:rsid w:val="00C24378"/>
    <w:rsid w:val="00C247A0"/>
    <w:rsid w:val="00C2601B"/>
    <w:rsid w:val="00C2665E"/>
    <w:rsid w:val="00C276C9"/>
    <w:rsid w:val="00C309A3"/>
    <w:rsid w:val="00C309DB"/>
    <w:rsid w:val="00C3184E"/>
    <w:rsid w:val="00C318C2"/>
    <w:rsid w:val="00C31FA8"/>
    <w:rsid w:val="00C327AB"/>
    <w:rsid w:val="00C32B9F"/>
    <w:rsid w:val="00C3335E"/>
    <w:rsid w:val="00C337D1"/>
    <w:rsid w:val="00C33B11"/>
    <w:rsid w:val="00C33B1E"/>
    <w:rsid w:val="00C34242"/>
    <w:rsid w:val="00C3575F"/>
    <w:rsid w:val="00C35904"/>
    <w:rsid w:val="00C3595E"/>
    <w:rsid w:val="00C36046"/>
    <w:rsid w:val="00C36662"/>
    <w:rsid w:val="00C37C88"/>
    <w:rsid w:val="00C40321"/>
    <w:rsid w:val="00C4097A"/>
    <w:rsid w:val="00C4098A"/>
    <w:rsid w:val="00C417A3"/>
    <w:rsid w:val="00C419F9"/>
    <w:rsid w:val="00C41DD1"/>
    <w:rsid w:val="00C41E27"/>
    <w:rsid w:val="00C42151"/>
    <w:rsid w:val="00C42C3C"/>
    <w:rsid w:val="00C43DD7"/>
    <w:rsid w:val="00C43E0F"/>
    <w:rsid w:val="00C44320"/>
    <w:rsid w:val="00C44D95"/>
    <w:rsid w:val="00C4509B"/>
    <w:rsid w:val="00C450EA"/>
    <w:rsid w:val="00C4512D"/>
    <w:rsid w:val="00C452AB"/>
    <w:rsid w:val="00C4542B"/>
    <w:rsid w:val="00C4552B"/>
    <w:rsid w:val="00C45854"/>
    <w:rsid w:val="00C46C72"/>
    <w:rsid w:val="00C47098"/>
    <w:rsid w:val="00C474D3"/>
    <w:rsid w:val="00C500EE"/>
    <w:rsid w:val="00C5197F"/>
    <w:rsid w:val="00C522A1"/>
    <w:rsid w:val="00C52816"/>
    <w:rsid w:val="00C52B68"/>
    <w:rsid w:val="00C52B81"/>
    <w:rsid w:val="00C53396"/>
    <w:rsid w:val="00C54351"/>
    <w:rsid w:val="00C54FAD"/>
    <w:rsid w:val="00C553DA"/>
    <w:rsid w:val="00C56BCE"/>
    <w:rsid w:val="00C56C98"/>
    <w:rsid w:val="00C573CB"/>
    <w:rsid w:val="00C5752A"/>
    <w:rsid w:val="00C60828"/>
    <w:rsid w:val="00C60DF0"/>
    <w:rsid w:val="00C60EFD"/>
    <w:rsid w:val="00C61675"/>
    <w:rsid w:val="00C61D9F"/>
    <w:rsid w:val="00C63E0D"/>
    <w:rsid w:val="00C646CF"/>
    <w:rsid w:val="00C64901"/>
    <w:rsid w:val="00C6490D"/>
    <w:rsid w:val="00C64EC1"/>
    <w:rsid w:val="00C65349"/>
    <w:rsid w:val="00C65DA8"/>
    <w:rsid w:val="00C65EA8"/>
    <w:rsid w:val="00C6607A"/>
    <w:rsid w:val="00C676D4"/>
    <w:rsid w:val="00C70DE3"/>
    <w:rsid w:val="00C70F89"/>
    <w:rsid w:val="00C7122F"/>
    <w:rsid w:val="00C72397"/>
    <w:rsid w:val="00C729B9"/>
    <w:rsid w:val="00C72FE4"/>
    <w:rsid w:val="00C73E0A"/>
    <w:rsid w:val="00C74663"/>
    <w:rsid w:val="00C74FF4"/>
    <w:rsid w:val="00C75108"/>
    <w:rsid w:val="00C7548C"/>
    <w:rsid w:val="00C755BF"/>
    <w:rsid w:val="00C76001"/>
    <w:rsid w:val="00C760C2"/>
    <w:rsid w:val="00C769A6"/>
    <w:rsid w:val="00C76B32"/>
    <w:rsid w:val="00C76C9E"/>
    <w:rsid w:val="00C7768F"/>
    <w:rsid w:val="00C777EA"/>
    <w:rsid w:val="00C77DE6"/>
    <w:rsid w:val="00C800DD"/>
    <w:rsid w:val="00C80300"/>
    <w:rsid w:val="00C814DF"/>
    <w:rsid w:val="00C8197C"/>
    <w:rsid w:val="00C81A53"/>
    <w:rsid w:val="00C81B30"/>
    <w:rsid w:val="00C81BF9"/>
    <w:rsid w:val="00C824C4"/>
    <w:rsid w:val="00C8317D"/>
    <w:rsid w:val="00C831EA"/>
    <w:rsid w:val="00C8332A"/>
    <w:rsid w:val="00C83AFE"/>
    <w:rsid w:val="00C84F98"/>
    <w:rsid w:val="00C8527C"/>
    <w:rsid w:val="00C8632C"/>
    <w:rsid w:val="00C865D0"/>
    <w:rsid w:val="00C869A8"/>
    <w:rsid w:val="00C86B12"/>
    <w:rsid w:val="00C87331"/>
    <w:rsid w:val="00C8735A"/>
    <w:rsid w:val="00C87483"/>
    <w:rsid w:val="00C87A2F"/>
    <w:rsid w:val="00C90607"/>
    <w:rsid w:val="00C90686"/>
    <w:rsid w:val="00C90D3C"/>
    <w:rsid w:val="00C9244D"/>
    <w:rsid w:val="00C9296A"/>
    <w:rsid w:val="00C92D45"/>
    <w:rsid w:val="00C93413"/>
    <w:rsid w:val="00C95A72"/>
    <w:rsid w:val="00C9652C"/>
    <w:rsid w:val="00C96FFD"/>
    <w:rsid w:val="00C9792E"/>
    <w:rsid w:val="00CA0190"/>
    <w:rsid w:val="00CA082F"/>
    <w:rsid w:val="00CA0EAC"/>
    <w:rsid w:val="00CA1023"/>
    <w:rsid w:val="00CA1C61"/>
    <w:rsid w:val="00CA224E"/>
    <w:rsid w:val="00CA27ED"/>
    <w:rsid w:val="00CA2CAE"/>
    <w:rsid w:val="00CA30DA"/>
    <w:rsid w:val="00CA329C"/>
    <w:rsid w:val="00CA3826"/>
    <w:rsid w:val="00CA3A32"/>
    <w:rsid w:val="00CA3B75"/>
    <w:rsid w:val="00CA415E"/>
    <w:rsid w:val="00CA54E8"/>
    <w:rsid w:val="00CA58E6"/>
    <w:rsid w:val="00CA668D"/>
    <w:rsid w:val="00CA6963"/>
    <w:rsid w:val="00CA6ED1"/>
    <w:rsid w:val="00CA705D"/>
    <w:rsid w:val="00CA79A7"/>
    <w:rsid w:val="00CA7F5B"/>
    <w:rsid w:val="00CB0183"/>
    <w:rsid w:val="00CB06D0"/>
    <w:rsid w:val="00CB1853"/>
    <w:rsid w:val="00CB1E65"/>
    <w:rsid w:val="00CB317D"/>
    <w:rsid w:val="00CB3503"/>
    <w:rsid w:val="00CB3D9E"/>
    <w:rsid w:val="00CB481B"/>
    <w:rsid w:val="00CB56D9"/>
    <w:rsid w:val="00CB58D5"/>
    <w:rsid w:val="00CB5A88"/>
    <w:rsid w:val="00CB61AE"/>
    <w:rsid w:val="00CB6CB7"/>
    <w:rsid w:val="00CB6D00"/>
    <w:rsid w:val="00CB7880"/>
    <w:rsid w:val="00CC0060"/>
    <w:rsid w:val="00CC0145"/>
    <w:rsid w:val="00CC06CE"/>
    <w:rsid w:val="00CC0922"/>
    <w:rsid w:val="00CC0D10"/>
    <w:rsid w:val="00CC10DA"/>
    <w:rsid w:val="00CC171A"/>
    <w:rsid w:val="00CC1F8D"/>
    <w:rsid w:val="00CC29A2"/>
    <w:rsid w:val="00CC2CBD"/>
    <w:rsid w:val="00CC2FF8"/>
    <w:rsid w:val="00CC3800"/>
    <w:rsid w:val="00CC3AB6"/>
    <w:rsid w:val="00CC4055"/>
    <w:rsid w:val="00CC452E"/>
    <w:rsid w:val="00CC47ED"/>
    <w:rsid w:val="00CC4C17"/>
    <w:rsid w:val="00CC554F"/>
    <w:rsid w:val="00CC5CD5"/>
    <w:rsid w:val="00CC610F"/>
    <w:rsid w:val="00CC6BBD"/>
    <w:rsid w:val="00CC6C5A"/>
    <w:rsid w:val="00CC6E7E"/>
    <w:rsid w:val="00CC7226"/>
    <w:rsid w:val="00CC7575"/>
    <w:rsid w:val="00CC7B5D"/>
    <w:rsid w:val="00CD0B94"/>
    <w:rsid w:val="00CD11E0"/>
    <w:rsid w:val="00CD16DF"/>
    <w:rsid w:val="00CD1BCB"/>
    <w:rsid w:val="00CD323D"/>
    <w:rsid w:val="00CD50B6"/>
    <w:rsid w:val="00CD64BD"/>
    <w:rsid w:val="00CD6734"/>
    <w:rsid w:val="00CD6A42"/>
    <w:rsid w:val="00CD797D"/>
    <w:rsid w:val="00CE1685"/>
    <w:rsid w:val="00CE1AC8"/>
    <w:rsid w:val="00CE1EF7"/>
    <w:rsid w:val="00CE2380"/>
    <w:rsid w:val="00CE263B"/>
    <w:rsid w:val="00CE2B9F"/>
    <w:rsid w:val="00CE3155"/>
    <w:rsid w:val="00CE4C04"/>
    <w:rsid w:val="00CE57A6"/>
    <w:rsid w:val="00CE596B"/>
    <w:rsid w:val="00CE5D65"/>
    <w:rsid w:val="00CE6714"/>
    <w:rsid w:val="00CE72F9"/>
    <w:rsid w:val="00CE7895"/>
    <w:rsid w:val="00CE7910"/>
    <w:rsid w:val="00CF0214"/>
    <w:rsid w:val="00CF0628"/>
    <w:rsid w:val="00CF0D81"/>
    <w:rsid w:val="00CF1942"/>
    <w:rsid w:val="00CF1B4B"/>
    <w:rsid w:val="00CF21A6"/>
    <w:rsid w:val="00CF25DF"/>
    <w:rsid w:val="00CF2882"/>
    <w:rsid w:val="00CF3402"/>
    <w:rsid w:val="00CF3A76"/>
    <w:rsid w:val="00CF3C98"/>
    <w:rsid w:val="00CF479E"/>
    <w:rsid w:val="00CF4D84"/>
    <w:rsid w:val="00CF524D"/>
    <w:rsid w:val="00CF571F"/>
    <w:rsid w:val="00CF5CA8"/>
    <w:rsid w:val="00CF701E"/>
    <w:rsid w:val="00CF7340"/>
    <w:rsid w:val="00D0014C"/>
    <w:rsid w:val="00D001F8"/>
    <w:rsid w:val="00D0084B"/>
    <w:rsid w:val="00D01456"/>
    <w:rsid w:val="00D01545"/>
    <w:rsid w:val="00D01BC4"/>
    <w:rsid w:val="00D022F1"/>
    <w:rsid w:val="00D02B04"/>
    <w:rsid w:val="00D02B25"/>
    <w:rsid w:val="00D031B6"/>
    <w:rsid w:val="00D03F5E"/>
    <w:rsid w:val="00D03FEC"/>
    <w:rsid w:val="00D05006"/>
    <w:rsid w:val="00D0621B"/>
    <w:rsid w:val="00D0646F"/>
    <w:rsid w:val="00D071DB"/>
    <w:rsid w:val="00D07323"/>
    <w:rsid w:val="00D07D69"/>
    <w:rsid w:val="00D1119B"/>
    <w:rsid w:val="00D119FA"/>
    <w:rsid w:val="00D11BE8"/>
    <w:rsid w:val="00D12C76"/>
    <w:rsid w:val="00D1317D"/>
    <w:rsid w:val="00D1319A"/>
    <w:rsid w:val="00D13CD5"/>
    <w:rsid w:val="00D15DF3"/>
    <w:rsid w:val="00D1623B"/>
    <w:rsid w:val="00D16FCA"/>
    <w:rsid w:val="00D17602"/>
    <w:rsid w:val="00D22A51"/>
    <w:rsid w:val="00D23C6E"/>
    <w:rsid w:val="00D2431F"/>
    <w:rsid w:val="00D252CD"/>
    <w:rsid w:val="00D25557"/>
    <w:rsid w:val="00D256F8"/>
    <w:rsid w:val="00D25A88"/>
    <w:rsid w:val="00D2798E"/>
    <w:rsid w:val="00D31935"/>
    <w:rsid w:val="00D31DD2"/>
    <w:rsid w:val="00D32A12"/>
    <w:rsid w:val="00D32F2B"/>
    <w:rsid w:val="00D347B7"/>
    <w:rsid w:val="00D35117"/>
    <w:rsid w:val="00D3576C"/>
    <w:rsid w:val="00D35BDC"/>
    <w:rsid w:val="00D360B6"/>
    <w:rsid w:val="00D3628C"/>
    <w:rsid w:val="00D364BE"/>
    <w:rsid w:val="00D36684"/>
    <w:rsid w:val="00D36D54"/>
    <w:rsid w:val="00D4073E"/>
    <w:rsid w:val="00D40A93"/>
    <w:rsid w:val="00D40BCF"/>
    <w:rsid w:val="00D41012"/>
    <w:rsid w:val="00D41268"/>
    <w:rsid w:val="00D41C97"/>
    <w:rsid w:val="00D420BC"/>
    <w:rsid w:val="00D429D0"/>
    <w:rsid w:val="00D435A4"/>
    <w:rsid w:val="00D4361C"/>
    <w:rsid w:val="00D450EC"/>
    <w:rsid w:val="00D4541D"/>
    <w:rsid w:val="00D4545F"/>
    <w:rsid w:val="00D459E2"/>
    <w:rsid w:val="00D45ABD"/>
    <w:rsid w:val="00D46118"/>
    <w:rsid w:val="00D4697B"/>
    <w:rsid w:val="00D469D3"/>
    <w:rsid w:val="00D46E01"/>
    <w:rsid w:val="00D46F2E"/>
    <w:rsid w:val="00D5019F"/>
    <w:rsid w:val="00D50981"/>
    <w:rsid w:val="00D517F9"/>
    <w:rsid w:val="00D51A1A"/>
    <w:rsid w:val="00D51C52"/>
    <w:rsid w:val="00D52206"/>
    <w:rsid w:val="00D522A0"/>
    <w:rsid w:val="00D526CA"/>
    <w:rsid w:val="00D534D5"/>
    <w:rsid w:val="00D54AF4"/>
    <w:rsid w:val="00D54E73"/>
    <w:rsid w:val="00D55370"/>
    <w:rsid w:val="00D559BE"/>
    <w:rsid w:val="00D55EF4"/>
    <w:rsid w:val="00D5646E"/>
    <w:rsid w:val="00D5656F"/>
    <w:rsid w:val="00D56BA6"/>
    <w:rsid w:val="00D56E10"/>
    <w:rsid w:val="00D56E11"/>
    <w:rsid w:val="00D601E8"/>
    <w:rsid w:val="00D6066A"/>
    <w:rsid w:val="00D607C1"/>
    <w:rsid w:val="00D609BD"/>
    <w:rsid w:val="00D60F3A"/>
    <w:rsid w:val="00D61E11"/>
    <w:rsid w:val="00D623F9"/>
    <w:rsid w:val="00D63781"/>
    <w:rsid w:val="00D64E1C"/>
    <w:rsid w:val="00D659B8"/>
    <w:rsid w:val="00D663D1"/>
    <w:rsid w:val="00D668F8"/>
    <w:rsid w:val="00D66967"/>
    <w:rsid w:val="00D67195"/>
    <w:rsid w:val="00D70A43"/>
    <w:rsid w:val="00D726A1"/>
    <w:rsid w:val="00D7415E"/>
    <w:rsid w:val="00D7493A"/>
    <w:rsid w:val="00D74A07"/>
    <w:rsid w:val="00D74D26"/>
    <w:rsid w:val="00D75840"/>
    <w:rsid w:val="00D76727"/>
    <w:rsid w:val="00D76FBF"/>
    <w:rsid w:val="00D779ED"/>
    <w:rsid w:val="00D77CEE"/>
    <w:rsid w:val="00D8065E"/>
    <w:rsid w:val="00D8092E"/>
    <w:rsid w:val="00D80B65"/>
    <w:rsid w:val="00D80B9C"/>
    <w:rsid w:val="00D80F3D"/>
    <w:rsid w:val="00D81BE6"/>
    <w:rsid w:val="00D82238"/>
    <w:rsid w:val="00D8228E"/>
    <w:rsid w:val="00D824EA"/>
    <w:rsid w:val="00D82F14"/>
    <w:rsid w:val="00D83FFC"/>
    <w:rsid w:val="00D84483"/>
    <w:rsid w:val="00D84EC1"/>
    <w:rsid w:val="00D8569D"/>
    <w:rsid w:val="00D85936"/>
    <w:rsid w:val="00D85C61"/>
    <w:rsid w:val="00D87149"/>
    <w:rsid w:val="00D871BC"/>
    <w:rsid w:val="00D875FE"/>
    <w:rsid w:val="00D878B9"/>
    <w:rsid w:val="00D90217"/>
    <w:rsid w:val="00D90B68"/>
    <w:rsid w:val="00D91198"/>
    <w:rsid w:val="00D913FE"/>
    <w:rsid w:val="00D92187"/>
    <w:rsid w:val="00D92566"/>
    <w:rsid w:val="00D925F3"/>
    <w:rsid w:val="00D927E4"/>
    <w:rsid w:val="00D92977"/>
    <w:rsid w:val="00D92AC7"/>
    <w:rsid w:val="00D946A0"/>
    <w:rsid w:val="00D95CB2"/>
    <w:rsid w:val="00D95D2B"/>
    <w:rsid w:val="00D95DA7"/>
    <w:rsid w:val="00D95EEF"/>
    <w:rsid w:val="00D96D5B"/>
    <w:rsid w:val="00D96F60"/>
    <w:rsid w:val="00D97187"/>
    <w:rsid w:val="00D9784B"/>
    <w:rsid w:val="00D97B43"/>
    <w:rsid w:val="00DA017A"/>
    <w:rsid w:val="00DA0CB2"/>
    <w:rsid w:val="00DA0F36"/>
    <w:rsid w:val="00DA14D0"/>
    <w:rsid w:val="00DA244D"/>
    <w:rsid w:val="00DA31B7"/>
    <w:rsid w:val="00DA3837"/>
    <w:rsid w:val="00DA3C0A"/>
    <w:rsid w:val="00DA4877"/>
    <w:rsid w:val="00DA4F1A"/>
    <w:rsid w:val="00DA500A"/>
    <w:rsid w:val="00DA5A9B"/>
    <w:rsid w:val="00DA61F7"/>
    <w:rsid w:val="00DA6FC6"/>
    <w:rsid w:val="00DA70C2"/>
    <w:rsid w:val="00DB072C"/>
    <w:rsid w:val="00DB0E18"/>
    <w:rsid w:val="00DB1B37"/>
    <w:rsid w:val="00DB2354"/>
    <w:rsid w:val="00DB2AC4"/>
    <w:rsid w:val="00DB2C1A"/>
    <w:rsid w:val="00DB339B"/>
    <w:rsid w:val="00DB35AB"/>
    <w:rsid w:val="00DB48B4"/>
    <w:rsid w:val="00DB4A6D"/>
    <w:rsid w:val="00DB525F"/>
    <w:rsid w:val="00DB5F45"/>
    <w:rsid w:val="00DB6A39"/>
    <w:rsid w:val="00DB748D"/>
    <w:rsid w:val="00DB757D"/>
    <w:rsid w:val="00DC043A"/>
    <w:rsid w:val="00DC0627"/>
    <w:rsid w:val="00DC075F"/>
    <w:rsid w:val="00DC1759"/>
    <w:rsid w:val="00DC20B7"/>
    <w:rsid w:val="00DC51E8"/>
    <w:rsid w:val="00DC5264"/>
    <w:rsid w:val="00DC57DE"/>
    <w:rsid w:val="00DC6148"/>
    <w:rsid w:val="00DD01F4"/>
    <w:rsid w:val="00DD03F5"/>
    <w:rsid w:val="00DD146C"/>
    <w:rsid w:val="00DD2012"/>
    <w:rsid w:val="00DD219F"/>
    <w:rsid w:val="00DD281F"/>
    <w:rsid w:val="00DD289D"/>
    <w:rsid w:val="00DD2A25"/>
    <w:rsid w:val="00DD3098"/>
    <w:rsid w:val="00DD3365"/>
    <w:rsid w:val="00DD34DF"/>
    <w:rsid w:val="00DD365E"/>
    <w:rsid w:val="00DD4E9E"/>
    <w:rsid w:val="00DD53BB"/>
    <w:rsid w:val="00DD6220"/>
    <w:rsid w:val="00DD662C"/>
    <w:rsid w:val="00DD6E8F"/>
    <w:rsid w:val="00DD6E93"/>
    <w:rsid w:val="00DD77B0"/>
    <w:rsid w:val="00DD79EF"/>
    <w:rsid w:val="00DE0291"/>
    <w:rsid w:val="00DE06A5"/>
    <w:rsid w:val="00DE13A3"/>
    <w:rsid w:val="00DE1684"/>
    <w:rsid w:val="00DE1842"/>
    <w:rsid w:val="00DE1EEB"/>
    <w:rsid w:val="00DE1F93"/>
    <w:rsid w:val="00DE2211"/>
    <w:rsid w:val="00DE3461"/>
    <w:rsid w:val="00DE34EE"/>
    <w:rsid w:val="00DE35B8"/>
    <w:rsid w:val="00DE3847"/>
    <w:rsid w:val="00DE3C81"/>
    <w:rsid w:val="00DE3CB2"/>
    <w:rsid w:val="00DE3DAA"/>
    <w:rsid w:val="00DE41E6"/>
    <w:rsid w:val="00DE485D"/>
    <w:rsid w:val="00DE50F8"/>
    <w:rsid w:val="00DE5667"/>
    <w:rsid w:val="00DE589C"/>
    <w:rsid w:val="00DE5F5D"/>
    <w:rsid w:val="00DE6103"/>
    <w:rsid w:val="00DE67FD"/>
    <w:rsid w:val="00DE6BDA"/>
    <w:rsid w:val="00DE6E83"/>
    <w:rsid w:val="00DE7ECC"/>
    <w:rsid w:val="00DF0254"/>
    <w:rsid w:val="00DF0FAD"/>
    <w:rsid w:val="00DF138C"/>
    <w:rsid w:val="00DF1754"/>
    <w:rsid w:val="00DF1CA7"/>
    <w:rsid w:val="00DF1CD5"/>
    <w:rsid w:val="00DF1D1F"/>
    <w:rsid w:val="00DF25F5"/>
    <w:rsid w:val="00DF5D11"/>
    <w:rsid w:val="00DF6571"/>
    <w:rsid w:val="00DF6F3E"/>
    <w:rsid w:val="00DF6F53"/>
    <w:rsid w:val="00DF78C9"/>
    <w:rsid w:val="00DF7DA0"/>
    <w:rsid w:val="00DF7DC7"/>
    <w:rsid w:val="00E00E82"/>
    <w:rsid w:val="00E00ECE"/>
    <w:rsid w:val="00E01082"/>
    <w:rsid w:val="00E01ABD"/>
    <w:rsid w:val="00E01DEC"/>
    <w:rsid w:val="00E02A05"/>
    <w:rsid w:val="00E02D4E"/>
    <w:rsid w:val="00E032E3"/>
    <w:rsid w:val="00E03548"/>
    <w:rsid w:val="00E036A1"/>
    <w:rsid w:val="00E04440"/>
    <w:rsid w:val="00E0567B"/>
    <w:rsid w:val="00E05957"/>
    <w:rsid w:val="00E05B5E"/>
    <w:rsid w:val="00E05BB0"/>
    <w:rsid w:val="00E05C60"/>
    <w:rsid w:val="00E06227"/>
    <w:rsid w:val="00E0685B"/>
    <w:rsid w:val="00E073A3"/>
    <w:rsid w:val="00E073E3"/>
    <w:rsid w:val="00E1053F"/>
    <w:rsid w:val="00E11AC4"/>
    <w:rsid w:val="00E11D22"/>
    <w:rsid w:val="00E11E96"/>
    <w:rsid w:val="00E11F76"/>
    <w:rsid w:val="00E11F77"/>
    <w:rsid w:val="00E1265B"/>
    <w:rsid w:val="00E12BB6"/>
    <w:rsid w:val="00E132AE"/>
    <w:rsid w:val="00E1487C"/>
    <w:rsid w:val="00E14D05"/>
    <w:rsid w:val="00E14E68"/>
    <w:rsid w:val="00E15071"/>
    <w:rsid w:val="00E154D3"/>
    <w:rsid w:val="00E15891"/>
    <w:rsid w:val="00E16395"/>
    <w:rsid w:val="00E1753B"/>
    <w:rsid w:val="00E17739"/>
    <w:rsid w:val="00E20905"/>
    <w:rsid w:val="00E20FE7"/>
    <w:rsid w:val="00E21B03"/>
    <w:rsid w:val="00E22275"/>
    <w:rsid w:val="00E228AE"/>
    <w:rsid w:val="00E238DE"/>
    <w:rsid w:val="00E240BB"/>
    <w:rsid w:val="00E24102"/>
    <w:rsid w:val="00E24687"/>
    <w:rsid w:val="00E24BF3"/>
    <w:rsid w:val="00E25664"/>
    <w:rsid w:val="00E2720F"/>
    <w:rsid w:val="00E27585"/>
    <w:rsid w:val="00E27E3B"/>
    <w:rsid w:val="00E3023F"/>
    <w:rsid w:val="00E3067A"/>
    <w:rsid w:val="00E306E5"/>
    <w:rsid w:val="00E312E3"/>
    <w:rsid w:val="00E31AF7"/>
    <w:rsid w:val="00E32077"/>
    <w:rsid w:val="00E321A7"/>
    <w:rsid w:val="00E32742"/>
    <w:rsid w:val="00E32A6E"/>
    <w:rsid w:val="00E32CC4"/>
    <w:rsid w:val="00E32F69"/>
    <w:rsid w:val="00E33E82"/>
    <w:rsid w:val="00E33F18"/>
    <w:rsid w:val="00E34563"/>
    <w:rsid w:val="00E34F1E"/>
    <w:rsid w:val="00E354D6"/>
    <w:rsid w:val="00E35A62"/>
    <w:rsid w:val="00E36319"/>
    <w:rsid w:val="00E365FE"/>
    <w:rsid w:val="00E3669F"/>
    <w:rsid w:val="00E36E2E"/>
    <w:rsid w:val="00E37878"/>
    <w:rsid w:val="00E37CA1"/>
    <w:rsid w:val="00E40727"/>
    <w:rsid w:val="00E41C51"/>
    <w:rsid w:val="00E4252E"/>
    <w:rsid w:val="00E426F9"/>
    <w:rsid w:val="00E42F67"/>
    <w:rsid w:val="00E43170"/>
    <w:rsid w:val="00E43D8D"/>
    <w:rsid w:val="00E43DF9"/>
    <w:rsid w:val="00E44F91"/>
    <w:rsid w:val="00E461A0"/>
    <w:rsid w:val="00E467B0"/>
    <w:rsid w:val="00E46D5F"/>
    <w:rsid w:val="00E471F8"/>
    <w:rsid w:val="00E47AFF"/>
    <w:rsid w:val="00E47EE0"/>
    <w:rsid w:val="00E50103"/>
    <w:rsid w:val="00E5020A"/>
    <w:rsid w:val="00E51013"/>
    <w:rsid w:val="00E512B4"/>
    <w:rsid w:val="00E512FB"/>
    <w:rsid w:val="00E513C4"/>
    <w:rsid w:val="00E51508"/>
    <w:rsid w:val="00E51FBA"/>
    <w:rsid w:val="00E52C5C"/>
    <w:rsid w:val="00E52E91"/>
    <w:rsid w:val="00E53066"/>
    <w:rsid w:val="00E531F9"/>
    <w:rsid w:val="00E53773"/>
    <w:rsid w:val="00E5389C"/>
    <w:rsid w:val="00E5396C"/>
    <w:rsid w:val="00E53BD1"/>
    <w:rsid w:val="00E53CCB"/>
    <w:rsid w:val="00E54617"/>
    <w:rsid w:val="00E55317"/>
    <w:rsid w:val="00E56C02"/>
    <w:rsid w:val="00E56D60"/>
    <w:rsid w:val="00E5758E"/>
    <w:rsid w:val="00E575AB"/>
    <w:rsid w:val="00E57EF6"/>
    <w:rsid w:val="00E60476"/>
    <w:rsid w:val="00E607D6"/>
    <w:rsid w:val="00E60C0A"/>
    <w:rsid w:val="00E6104F"/>
    <w:rsid w:val="00E614E6"/>
    <w:rsid w:val="00E61E96"/>
    <w:rsid w:val="00E622BB"/>
    <w:rsid w:val="00E6248D"/>
    <w:rsid w:val="00E6248E"/>
    <w:rsid w:val="00E638EC"/>
    <w:rsid w:val="00E63A8D"/>
    <w:rsid w:val="00E63BEE"/>
    <w:rsid w:val="00E6424E"/>
    <w:rsid w:val="00E652A0"/>
    <w:rsid w:val="00E65567"/>
    <w:rsid w:val="00E6562E"/>
    <w:rsid w:val="00E6576B"/>
    <w:rsid w:val="00E65F53"/>
    <w:rsid w:val="00E663CC"/>
    <w:rsid w:val="00E668E4"/>
    <w:rsid w:val="00E674B4"/>
    <w:rsid w:val="00E67649"/>
    <w:rsid w:val="00E70579"/>
    <w:rsid w:val="00E70A8E"/>
    <w:rsid w:val="00E71467"/>
    <w:rsid w:val="00E71889"/>
    <w:rsid w:val="00E727AE"/>
    <w:rsid w:val="00E72C39"/>
    <w:rsid w:val="00E73B93"/>
    <w:rsid w:val="00E73DA9"/>
    <w:rsid w:val="00E746AD"/>
    <w:rsid w:val="00E74BBA"/>
    <w:rsid w:val="00E74C9F"/>
    <w:rsid w:val="00E74DA9"/>
    <w:rsid w:val="00E75005"/>
    <w:rsid w:val="00E7512F"/>
    <w:rsid w:val="00E75265"/>
    <w:rsid w:val="00E75AE2"/>
    <w:rsid w:val="00E75AFA"/>
    <w:rsid w:val="00E75EF5"/>
    <w:rsid w:val="00E76826"/>
    <w:rsid w:val="00E76BC0"/>
    <w:rsid w:val="00E770F4"/>
    <w:rsid w:val="00E77339"/>
    <w:rsid w:val="00E77F2C"/>
    <w:rsid w:val="00E77FF4"/>
    <w:rsid w:val="00E80F63"/>
    <w:rsid w:val="00E81D69"/>
    <w:rsid w:val="00E821E5"/>
    <w:rsid w:val="00E82F5F"/>
    <w:rsid w:val="00E8324E"/>
    <w:rsid w:val="00E8479D"/>
    <w:rsid w:val="00E85454"/>
    <w:rsid w:val="00E854F4"/>
    <w:rsid w:val="00E85775"/>
    <w:rsid w:val="00E8654B"/>
    <w:rsid w:val="00E87149"/>
    <w:rsid w:val="00E8736C"/>
    <w:rsid w:val="00E903B1"/>
    <w:rsid w:val="00E908A1"/>
    <w:rsid w:val="00E90AC2"/>
    <w:rsid w:val="00E91FC6"/>
    <w:rsid w:val="00E92442"/>
    <w:rsid w:val="00E92467"/>
    <w:rsid w:val="00E925D9"/>
    <w:rsid w:val="00E93165"/>
    <w:rsid w:val="00E9456E"/>
    <w:rsid w:val="00E946A6"/>
    <w:rsid w:val="00E9499F"/>
    <w:rsid w:val="00E94F58"/>
    <w:rsid w:val="00E951BA"/>
    <w:rsid w:val="00E952D8"/>
    <w:rsid w:val="00E95EF8"/>
    <w:rsid w:val="00E96007"/>
    <w:rsid w:val="00E96606"/>
    <w:rsid w:val="00E96D9C"/>
    <w:rsid w:val="00E9711F"/>
    <w:rsid w:val="00E9733D"/>
    <w:rsid w:val="00E9740F"/>
    <w:rsid w:val="00E976A0"/>
    <w:rsid w:val="00E97743"/>
    <w:rsid w:val="00EA02B6"/>
    <w:rsid w:val="00EA0473"/>
    <w:rsid w:val="00EA07B3"/>
    <w:rsid w:val="00EA192C"/>
    <w:rsid w:val="00EA1A94"/>
    <w:rsid w:val="00EA1F9C"/>
    <w:rsid w:val="00EA1FD4"/>
    <w:rsid w:val="00EA20B0"/>
    <w:rsid w:val="00EA2879"/>
    <w:rsid w:val="00EA2CD6"/>
    <w:rsid w:val="00EA3EB4"/>
    <w:rsid w:val="00EA4529"/>
    <w:rsid w:val="00EA49C5"/>
    <w:rsid w:val="00EA4F9A"/>
    <w:rsid w:val="00EA4FD2"/>
    <w:rsid w:val="00EA6B5B"/>
    <w:rsid w:val="00EA700D"/>
    <w:rsid w:val="00EB08EF"/>
    <w:rsid w:val="00EB0960"/>
    <w:rsid w:val="00EB0E3A"/>
    <w:rsid w:val="00EB1402"/>
    <w:rsid w:val="00EB1602"/>
    <w:rsid w:val="00EB1E18"/>
    <w:rsid w:val="00EB2342"/>
    <w:rsid w:val="00EB2549"/>
    <w:rsid w:val="00EB2C48"/>
    <w:rsid w:val="00EB2F60"/>
    <w:rsid w:val="00EB2FB6"/>
    <w:rsid w:val="00EB329B"/>
    <w:rsid w:val="00EB384B"/>
    <w:rsid w:val="00EB3BF0"/>
    <w:rsid w:val="00EB3DF8"/>
    <w:rsid w:val="00EB47DC"/>
    <w:rsid w:val="00EB4F2C"/>
    <w:rsid w:val="00EB5782"/>
    <w:rsid w:val="00EB5FE2"/>
    <w:rsid w:val="00EB618A"/>
    <w:rsid w:val="00EB677D"/>
    <w:rsid w:val="00EB6895"/>
    <w:rsid w:val="00EB76D7"/>
    <w:rsid w:val="00EB772F"/>
    <w:rsid w:val="00EB77B6"/>
    <w:rsid w:val="00EB7C6F"/>
    <w:rsid w:val="00EB7DEC"/>
    <w:rsid w:val="00EB7F40"/>
    <w:rsid w:val="00EC08F5"/>
    <w:rsid w:val="00EC0D0E"/>
    <w:rsid w:val="00EC11DD"/>
    <w:rsid w:val="00EC1A8A"/>
    <w:rsid w:val="00EC1E8D"/>
    <w:rsid w:val="00EC26AC"/>
    <w:rsid w:val="00EC2CBC"/>
    <w:rsid w:val="00EC374D"/>
    <w:rsid w:val="00EC383B"/>
    <w:rsid w:val="00EC5BB7"/>
    <w:rsid w:val="00EC5FB2"/>
    <w:rsid w:val="00EC6356"/>
    <w:rsid w:val="00EC659F"/>
    <w:rsid w:val="00EC68F5"/>
    <w:rsid w:val="00EC7626"/>
    <w:rsid w:val="00EC7FAE"/>
    <w:rsid w:val="00ED0410"/>
    <w:rsid w:val="00ED0A5D"/>
    <w:rsid w:val="00ED0F77"/>
    <w:rsid w:val="00ED18BD"/>
    <w:rsid w:val="00ED18BF"/>
    <w:rsid w:val="00ED2569"/>
    <w:rsid w:val="00ED277A"/>
    <w:rsid w:val="00ED2D83"/>
    <w:rsid w:val="00ED30EF"/>
    <w:rsid w:val="00ED3AB2"/>
    <w:rsid w:val="00ED45DF"/>
    <w:rsid w:val="00ED4713"/>
    <w:rsid w:val="00ED4E45"/>
    <w:rsid w:val="00ED5A31"/>
    <w:rsid w:val="00ED67BD"/>
    <w:rsid w:val="00ED7216"/>
    <w:rsid w:val="00ED724B"/>
    <w:rsid w:val="00ED77D6"/>
    <w:rsid w:val="00ED798F"/>
    <w:rsid w:val="00ED7C73"/>
    <w:rsid w:val="00ED7FE6"/>
    <w:rsid w:val="00EE0488"/>
    <w:rsid w:val="00EE07CC"/>
    <w:rsid w:val="00EE1181"/>
    <w:rsid w:val="00EE128B"/>
    <w:rsid w:val="00EE1ECC"/>
    <w:rsid w:val="00EE2A09"/>
    <w:rsid w:val="00EE2B84"/>
    <w:rsid w:val="00EE3BD7"/>
    <w:rsid w:val="00EE4B6E"/>
    <w:rsid w:val="00EE51E5"/>
    <w:rsid w:val="00EE6A0D"/>
    <w:rsid w:val="00EE71D6"/>
    <w:rsid w:val="00EF0022"/>
    <w:rsid w:val="00EF1224"/>
    <w:rsid w:val="00EF1FB9"/>
    <w:rsid w:val="00EF3B99"/>
    <w:rsid w:val="00EF48A5"/>
    <w:rsid w:val="00EF5B09"/>
    <w:rsid w:val="00EF6000"/>
    <w:rsid w:val="00EF67E8"/>
    <w:rsid w:val="00EF6919"/>
    <w:rsid w:val="00EF7545"/>
    <w:rsid w:val="00F01597"/>
    <w:rsid w:val="00F01869"/>
    <w:rsid w:val="00F0187B"/>
    <w:rsid w:val="00F01D6E"/>
    <w:rsid w:val="00F0250D"/>
    <w:rsid w:val="00F02817"/>
    <w:rsid w:val="00F02959"/>
    <w:rsid w:val="00F02991"/>
    <w:rsid w:val="00F02E52"/>
    <w:rsid w:val="00F03523"/>
    <w:rsid w:val="00F03613"/>
    <w:rsid w:val="00F03BF2"/>
    <w:rsid w:val="00F04050"/>
    <w:rsid w:val="00F043C4"/>
    <w:rsid w:val="00F0466C"/>
    <w:rsid w:val="00F046BD"/>
    <w:rsid w:val="00F04ED1"/>
    <w:rsid w:val="00F05469"/>
    <w:rsid w:val="00F054FB"/>
    <w:rsid w:val="00F0597C"/>
    <w:rsid w:val="00F05DDB"/>
    <w:rsid w:val="00F05F41"/>
    <w:rsid w:val="00F05FAB"/>
    <w:rsid w:val="00F06042"/>
    <w:rsid w:val="00F064AF"/>
    <w:rsid w:val="00F072A2"/>
    <w:rsid w:val="00F078E4"/>
    <w:rsid w:val="00F07C1B"/>
    <w:rsid w:val="00F07D4B"/>
    <w:rsid w:val="00F106A4"/>
    <w:rsid w:val="00F1070E"/>
    <w:rsid w:val="00F110D4"/>
    <w:rsid w:val="00F12397"/>
    <w:rsid w:val="00F12709"/>
    <w:rsid w:val="00F12C34"/>
    <w:rsid w:val="00F13257"/>
    <w:rsid w:val="00F133A5"/>
    <w:rsid w:val="00F1398C"/>
    <w:rsid w:val="00F149D2"/>
    <w:rsid w:val="00F14D64"/>
    <w:rsid w:val="00F14EED"/>
    <w:rsid w:val="00F14F8A"/>
    <w:rsid w:val="00F15348"/>
    <w:rsid w:val="00F15EE0"/>
    <w:rsid w:val="00F1651B"/>
    <w:rsid w:val="00F165F6"/>
    <w:rsid w:val="00F167F1"/>
    <w:rsid w:val="00F16E44"/>
    <w:rsid w:val="00F17323"/>
    <w:rsid w:val="00F17391"/>
    <w:rsid w:val="00F17C1E"/>
    <w:rsid w:val="00F20B5E"/>
    <w:rsid w:val="00F2122E"/>
    <w:rsid w:val="00F218A8"/>
    <w:rsid w:val="00F228EB"/>
    <w:rsid w:val="00F22DD9"/>
    <w:rsid w:val="00F239EA"/>
    <w:rsid w:val="00F23B12"/>
    <w:rsid w:val="00F2407B"/>
    <w:rsid w:val="00F24B46"/>
    <w:rsid w:val="00F258D0"/>
    <w:rsid w:val="00F260FE"/>
    <w:rsid w:val="00F2650D"/>
    <w:rsid w:val="00F2662F"/>
    <w:rsid w:val="00F26EB8"/>
    <w:rsid w:val="00F27C1C"/>
    <w:rsid w:val="00F27E55"/>
    <w:rsid w:val="00F30737"/>
    <w:rsid w:val="00F3148D"/>
    <w:rsid w:val="00F317B3"/>
    <w:rsid w:val="00F3194A"/>
    <w:rsid w:val="00F3208F"/>
    <w:rsid w:val="00F326D9"/>
    <w:rsid w:val="00F3346F"/>
    <w:rsid w:val="00F34621"/>
    <w:rsid w:val="00F35963"/>
    <w:rsid w:val="00F368BC"/>
    <w:rsid w:val="00F36C65"/>
    <w:rsid w:val="00F3701A"/>
    <w:rsid w:val="00F3740E"/>
    <w:rsid w:val="00F374C0"/>
    <w:rsid w:val="00F37895"/>
    <w:rsid w:val="00F379F4"/>
    <w:rsid w:val="00F401F0"/>
    <w:rsid w:val="00F4058F"/>
    <w:rsid w:val="00F40DBC"/>
    <w:rsid w:val="00F418C1"/>
    <w:rsid w:val="00F41B67"/>
    <w:rsid w:val="00F41EAD"/>
    <w:rsid w:val="00F421A3"/>
    <w:rsid w:val="00F42DF5"/>
    <w:rsid w:val="00F43504"/>
    <w:rsid w:val="00F43D03"/>
    <w:rsid w:val="00F44634"/>
    <w:rsid w:val="00F44C0B"/>
    <w:rsid w:val="00F45B67"/>
    <w:rsid w:val="00F46CF2"/>
    <w:rsid w:val="00F470EE"/>
    <w:rsid w:val="00F4725B"/>
    <w:rsid w:val="00F47801"/>
    <w:rsid w:val="00F47B41"/>
    <w:rsid w:val="00F5048C"/>
    <w:rsid w:val="00F50589"/>
    <w:rsid w:val="00F50755"/>
    <w:rsid w:val="00F50F0B"/>
    <w:rsid w:val="00F523AA"/>
    <w:rsid w:val="00F52571"/>
    <w:rsid w:val="00F533D1"/>
    <w:rsid w:val="00F533D3"/>
    <w:rsid w:val="00F53525"/>
    <w:rsid w:val="00F53B43"/>
    <w:rsid w:val="00F543A9"/>
    <w:rsid w:val="00F54B84"/>
    <w:rsid w:val="00F5768E"/>
    <w:rsid w:val="00F57776"/>
    <w:rsid w:val="00F57884"/>
    <w:rsid w:val="00F603F1"/>
    <w:rsid w:val="00F61EB8"/>
    <w:rsid w:val="00F62B09"/>
    <w:rsid w:val="00F657C4"/>
    <w:rsid w:val="00F66AFC"/>
    <w:rsid w:val="00F66BA8"/>
    <w:rsid w:val="00F679F0"/>
    <w:rsid w:val="00F67D2D"/>
    <w:rsid w:val="00F700BF"/>
    <w:rsid w:val="00F704D2"/>
    <w:rsid w:val="00F71A9C"/>
    <w:rsid w:val="00F71DF0"/>
    <w:rsid w:val="00F72591"/>
    <w:rsid w:val="00F72776"/>
    <w:rsid w:val="00F73075"/>
    <w:rsid w:val="00F74545"/>
    <w:rsid w:val="00F746BB"/>
    <w:rsid w:val="00F748E6"/>
    <w:rsid w:val="00F74BC8"/>
    <w:rsid w:val="00F759DE"/>
    <w:rsid w:val="00F76118"/>
    <w:rsid w:val="00F76883"/>
    <w:rsid w:val="00F769B1"/>
    <w:rsid w:val="00F7727D"/>
    <w:rsid w:val="00F77509"/>
    <w:rsid w:val="00F77564"/>
    <w:rsid w:val="00F776E4"/>
    <w:rsid w:val="00F80C7D"/>
    <w:rsid w:val="00F80E84"/>
    <w:rsid w:val="00F81255"/>
    <w:rsid w:val="00F81AE9"/>
    <w:rsid w:val="00F8283D"/>
    <w:rsid w:val="00F83106"/>
    <w:rsid w:val="00F83F60"/>
    <w:rsid w:val="00F8404A"/>
    <w:rsid w:val="00F842E0"/>
    <w:rsid w:val="00F84BC3"/>
    <w:rsid w:val="00F85671"/>
    <w:rsid w:val="00F85809"/>
    <w:rsid w:val="00F862B5"/>
    <w:rsid w:val="00F866CC"/>
    <w:rsid w:val="00F878B5"/>
    <w:rsid w:val="00F900C5"/>
    <w:rsid w:val="00F90B39"/>
    <w:rsid w:val="00F91AAA"/>
    <w:rsid w:val="00F93FC9"/>
    <w:rsid w:val="00F947A7"/>
    <w:rsid w:val="00F94E6D"/>
    <w:rsid w:val="00F95241"/>
    <w:rsid w:val="00F9544F"/>
    <w:rsid w:val="00F96487"/>
    <w:rsid w:val="00F967D1"/>
    <w:rsid w:val="00F96CC0"/>
    <w:rsid w:val="00F97C24"/>
    <w:rsid w:val="00FA02E6"/>
    <w:rsid w:val="00FA0741"/>
    <w:rsid w:val="00FA08D5"/>
    <w:rsid w:val="00FA0CFB"/>
    <w:rsid w:val="00FA0FCE"/>
    <w:rsid w:val="00FA15CF"/>
    <w:rsid w:val="00FA1E2A"/>
    <w:rsid w:val="00FA2431"/>
    <w:rsid w:val="00FA3137"/>
    <w:rsid w:val="00FA35BA"/>
    <w:rsid w:val="00FA38B2"/>
    <w:rsid w:val="00FA397E"/>
    <w:rsid w:val="00FA467F"/>
    <w:rsid w:val="00FA4CFA"/>
    <w:rsid w:val="00FA5161"/>
    <w:rsid w:val="00FA5166"/>
    <w:rsid w:val="00FA58A8"/>
    <w:rsid w:val="00FA5C76"/>
    <w:rsid w:val="00FA5D65"/>
    <w:rsid w:val="00FA7E01"/>
    <w:rsid w:val="00FB00CE"/>
    <w:rsid w:val="00FB1185"/>
    <w:rsid w:val="00FB1899"/>
    <w:rsid w:val="00FB18BA"/>
    <w:rsid w:val="00FB1904"/>
    <w:rsid w:val="00FB1A09"/>
    <w:rsid w:val="00FB1CAC"/>
    <w:rsid w:val="00FB1F32"/>
    <w:rsid w:val="00FB2099"/>
    <w:rsid w:val="00FB2876"/>
    <w:rsid w:val="00FB29A4"/>
    <w:rsid w:val="00FB2F9F"/>
    <w:rsid w:val="00FB329C"/>
    <w:rsid w:val="00FB393E"/>
    <w:rsid w:val="00FB3EC3"/>
    <w:rsid w:val="00FB4BB3"/>
    <w:rsid w:val="00FB52A7"/>
    <w:rsid w:val="00FB55C7"/>
    <w:rsid w:val="00FB567C"/>
    <w:rsid w:val="00FB5D51"/>
    <w:rsid w:val="00FB6243"/>
    <w:rsid w:val="00FB73AE"/>
    <w:rsid w:val="00FC1709"/>
    <w:rsid w:val="00FC1ADA"/>
    <w:rsid w:val="00FC1B29"/>
    <w:rsid w:val="00FC2047"/>
    <w:rsid w:val="00FC4867"/>
    <w:rsid w:val="00FC4975"/>
    <w:rsid w:val="00FC4DA7"/>
    <w:rsid w:val="00FC5423"/>
    <w:rsid w:val="00FC5D82"/>
    <w:rsid w:val="00FC6A13"/>
    <w:rsid w:val="00FC6FF4"/>
    <w:rsid w:val="00FD0152"/>
    <w:rsid w:val="00FD0575"/>
    <w:rsid w:val="00FD1686"/>
    <w:rsid w:val="00FD2139"/>
    <w:rsid w:val="00FD2CD8"/>
    <w:rsid w:val="00FD384E"/>
    <w:rsid w:val="00FD3ED2"/>
    <w:rsid w:val="00FD400E"/>
    <w:rsid w:val="00FD44AB"/>
    <w:rsid w:val="00FD4560"/>
    <w:rsid w:val="00FD46AF"/>
    <w:rsid w:val="00FD50A5"/>
    <w:rsid w:val="00FD5287"/>
    <w:rsid w:val="00FD5508"/>
    <w:rsid w:val="00FD5682"/>
    <w:rsid w:val="00FD57AA"/>
    <w:rsid w:val="00FD62AB"/>
    <w:rsid w:val="00FD659E"/>
    <w:rsid w:val="00FD6B9D"/>
    <w:rsid w:val="00FE039B"/>
    <w:rsid w:val="00FE049A"/>
    <w:rsid w:val="00FE04F5"/>
    <w:rsid w:val="00FE0858"/>
    <w:rsid w:val="00FE2EBE"/>
    <w:rsid w:val="00FE3A10"/>
    <w:rsid w:val="00FE47B8"/>
    <w:rsid w:val="00FE5088"/>
    <w:rsid w:val="00FE5346"/>
    <w:rsid w:val="00FE5A6D"/>
    <w:rsid w:val="00FE5FDD"/>
    <w:rsid w:val="00FE6051"/>
    <w:rsid w:val="00FE6B70"/>
    <w:rsid w:val="00FE74C0"/>
    <w:rsid w:val="00FE771A"/>
    <w:rsid w:val="00FE7AF9"/>
    <w:rsid w:val="00FE7D91"/>
    <w:rsid w:val="00FF078B"/>
    <w:rsid w:val="00FF3059"/>
    <w:rsid w:val="00FF49D5"/>
    <w:rsid w:val="00FF4E31"/>
    <w:rsid w:val="00FF66B8"/>
    <w:rsid w:val="00FF6712"/>
    <w:rsid w:val="00FF67C2"/>
    <w:rsid w:val="014A2202"/>
    <w:rsid w:val="016D2D8B"/>
    <w:rsid w:val="01870C5D"/>
    <w:rsid w:val="01929D84"/>
    <w:rsid w:val="01E34F9C"/>
    <w:rsid w:val="01F781AD"/>
    <w:rsid w:val="020E2141"/>
    <w:rsid w:val="02184E73"/>
    <w:rsid w:val="022FEC49"/>
    <w:rsid w:val="0247D9DE"/>
    <w:rsid w:val="025A98BA"/>
    <w:rsid w:val="02D99AAB"/>
    <w:rsid w:val="02E70C9A"/>
    <w:rsid w:val="03232931"/>
    <w:rsid w:val="03373D37"/>
    <w:rsid w:val="034B8BF3"/>
    <w:rsid w:val="03509BFF"/>
    <w:rsid w:val="03529A38"/>
    <w:rsid w:val="0362E8B2"/>
    <w:rsid w:val="036D7B3F"/>
    <w:rsid w:val="03711166"/>
    <w:rsid w:val="0382DD4C"/>
    <w:rsid w:val="038D2F38"/>
    <w:rsid w:val="03A3449D"/>
    <w:rsid w:val="03B8D8DB"/>
    <w:rsid w:val="03DAB5FD"/>
    <w:rsid w:val="03DF580B"/>
    <w:rsid w:val="04067471"/>
    <w:rsid w:val="043989E9"/>
    <w:rsid w:val="04601E16"/>
    <w:rsid w:val="0466F3F2"/>
    <w:rsid w:val="04712CCC"/>
    <w:rsid w:val="04E84EAF"/>
    <w:rsid w:val="04F7F6AE"/>
    <w:rsid w:val="0532EE10"/>
    <w:rsid w:val="05499C66"/>
    <w:rsid w:val="0551A3E5"/>
    <w:rsid w:val="0555FD87"/>
    <w:rsid w:val="057A007A"/>
    <w:rsid w:val="0587E5DF"/>
    <w:rsid w:val="05A6D479"/>
    <w:rsid w:val="05B14F33"/>
    <w:rsid w:val="05EFF737"/>
    <w:rsid w:val="06166C39"/>
    <w:rsid w:val="061A29E8"/>
    <w:rsid w:val="063A7CB8"/>
    <w:rsid w:val="065A1A3B"/>
    <w:rsid w:val="06617706"/>
    <w:rsid w:val="0686D79E"/>
    <w:rsid w:val="06ED04EE"/>
    <w:rsid w:val="06F00DBD"/>
    <w:rsid w:val="07011FA7"/>
    <w:rsid w:val="0744E4F0"/>
    <w:rsid w:val="076F22D5"/>
    <w:rsid w:val="0774C5D4"/>
    <w:rsid w:val="07F5D408"/>
    <w:rsid w:val="07FF38EE"/>
    <w:rsid w:val="0807F0D9"/>
    <w:rsid w:val="085604F0"/>
    <w:rsid w:val="086E6017"/>
    <w:rsid w:val="08704DD7"/>
    <w:rsid w:val="0899472B"/>
    <w:rsid w:val="08A22CB2"/>
    <w:rsid w:val="08CF1BF0"/>
    <w:rsid w:val="08D635A0"/>
    <w:rsid w:val="08DDA386"/>
    <w:rsid w:val="09168747"/>
    <w:rsid w:val="0925DF83"/>
    <w:rsid w:val="095A99DF"/>
    <w:rsid w:val="096BE5AA"/>
    <w:rsid w:val="096E4C28"/>
    <w:rsid w:val="098480C6"/>
    <w:rsid w:val="0988109C"/>
    <w:rsid w:val="098F12FE"/>
    <w:rsid w:val="09A7D917"/>
    <w:rsid w:val="09AFED20"/>
    <w:rsid w:val="09EB7C8E"/>
    <w:rsid w:val="0A2A974E"/>
    <w:rsid w:val="0A5FED3F"/>
    <w:rsid w:val="0A985E75"/>
    <w:rsid w:val="0A999E40"/>
    <w:rsid w:val="0A9E4A94"/>
    <w:rsid w:val="0ACFEF03"/>
    <w:rsid w:val="0ADB9656"/>
    <w:rsid w:val="0B16C992"/>
    <w:rsid w:val="0B538F28"/>
    <w:rsid w:val="0B716DB6"/>
    <w:rsid w:val="0B87A490"/>
    <w:rsid w:val="0C2583D4"/>
    <w:rsid w:val="0C334FA6"/>
    <w:rsid w:val="0C38FBB6"/>
    <w:rsid w:val="0C54251F"/>
    <w:rsid w:val="0C97EBAD"/>
    <w:rsid w:val="0C9D1F85"/>
    <w:rsid w:val="0CA14EC1"/>
    <w:rsid w:val="0CCCE5C3"/>
    <w:rsid w:val="0CD8B900"/>
    <w:rsid w:val="0CE8AB2B"/>
    <w:rsid w:val="0D07E8BE"/>
    <w:rsid w:val="0D421005"/>
    <w:rsid w:val="0D553408"/>
    <w:rsid w:val="0D5B5ACD"/>
    <w:rsid w:val="0D62E7B0"/>
    <w:rsid w:val="0D86CF03"/>
    <w:rsid w:val="0DAFE74B"/>
    <w:rsid w:val="0DB67BB5"/>
    <w:rsid w:val="0DC0B6C7"/>
    <w:rsid w:val="0DC57AEB"/>
    <w:rsid w:val="0DD2559D"/>
    <w:rsid w:val="0E02C795"/>
    <w:rsid w:val="0E05CE5A"/>
    <w:rsid w:val="0E19B647"/>
    <w:rsid w:val="0E2224F4"/>
    <w:rsid w:val="0E247805"/>
    <w:rsid w:val="0E343BA1"/>
    <w:rsid w:val="0E6AD604"/>
    <w:rsid w:val="0E8708A3"/>
    <w:rsid w:val="0ECA0807"/>
    <w:rsid w:val="0EF62806"/>
    <w:rsid w:val="0FCAE878"/>
    <w:rsid w:val="0FE3BB62"/>
    <w:rsid w:val="1002E934"/>
    <w:rsid w:val="100868E7"/>
    <w:rsid w:val="104B4C26"/>
    <w:rsid w:val="1073CB1D"/>
    <w:rsid w:val="1076ECC1"/>
    <w:rsid w:val="108BFE25"/>
    <w:rsid w:val="10962538"/>
    <w:rsid w:val="10EAAF70"/>
    <w:rsid w:val="10FE5719"/>
    <w:rsid w:val="11090D24"/>
    <w:rsid w:val="1124ED46"/>
    <w:rsid w:val="11315232"/>
    <w:rsid w:val="11B4A112"/>
    <w:rsid w:val="11E1E6B6"/>
    <w:rsid w:val="11E54E69"/>
    <w:rsid w:val="11F0C33A"/>
    <w:rsid w:val="121F89BE"/>
    <w:rsid w:val="122F97C2"/>
    <w:rsid w:val="12365D7A"/>
    <w:rsid w:val="1292A7E7"/>
    <w:rsid w:val="1298FA36"/>
    <w:rsid w:val="12A8BBB0"/>
    <w:rsid w:val="12B5CD54"/>
    <w:rsid w:val="12BA306F"/>
    <w:rsid w:val="12CD0591"/>
    <w:rsid w:val="12CD3C47"/>
    <w:rsid w:val="1304834F"/>
    <w:rsid w:val="130C9F3E"/>
    <w:rsid w:val="1332EBFD"/>
    <w:rsid w:val="134F62E1"/>
    <w:rsid w:val="136700CF"/>
    <w:rsid w:val="1396FD51"/>
    <w:rsid w:val="13B1B786"/>
    <w:rsid w:val="13C53B69"/>
    <w:rsid w:val="13C76B4B"/>
    <w:rsid w:val="13C8D1D8"/>
    <w:rsid w:val="13EDFAEC"/>
    <w:rsid w:val="1402D992"/>
    <w:rsid w:val="1412CC7F"/>
    <w:rsid w:val="141E1D18"/>
    <w:rsid w:val="143C7730"/>
    <w:rsid w:val="143D8AF0"/>
    <w:rsid w:val="1483FFD5"/>
    <w:rsid w:val="14E349EB"/>
    <w:rsid w:val="1501B0CD"/>
    <w:rsid w:val="15028EAF"/>
    <w:rsid w:val="151985B8"/>
    <w:rsid w:val="1527EF33"/>
    <w:rsid w:val="154C4643"/>
    <w:rsid w:val="1554DDA5"/>
    <w:rsid w:val="1562A529"/>
    <w:rsid w:val="1562EFF5"/>
    <w:rsid w:val="1572A7BC"/>
    <w:rsid w:val="15854BE9"/>
    <w:rsid w:val="159EDDFC"/>
    <w:rsid w:val="15D0E7B8"/>
    <w:rsid w:val="15E5B751"/>
    <w:rsid w:val="160F087E"/>
    <w:rsid w:val="1613334F"/>
    <w:rsid w:val="162640DB"/>
    <w:rsid w:val="164717B4"/>
    <w:rsid w:val="164B918C"/>
    <w:rsid w:val="169F6A33"/>
    <w:rsid w:val="16E4EADE"/>
    <w:rsid w:val="16F740D3"/>
    <w:rsid w:val="1700D80F"/>
    <w:rsid w:val="170C5A7E"/>
    <w:rsid w:val="172034BB"/>
    <w:rsid w:val="1735E651"/>
    <w:rsid w:val="173A2007"/>
    <w:rsid w:val="175E9FDE"/>
    <w:rsid w:val="176D3FC6"/>
    <w:rsid w:val="17736538"/>
    <w:rsid w:val="17834DDC"/>
    <w:rsid w:val="178F21DE"/>
    <w:rsid w:val="17A303F6"/>
    <w:rsid w:val="17C1FC6C"/>
    <w:rsid w:val="17F9D59F"/>
    <w:rsid w:val="17FD3FA7"/>
    <w:rsid w:val="1819C8B9"/>
    <w:rsid w:val="1823B8F3"/>
    <w:rsid w:val="1827A80E"/>
    <w:rsid w:val="1871F265"/>
    <w:rsid w:val="188620F1"/>
    <w:rsid w:val="188E15CD"/>
    <w:rsid w:val="189197A0"/>
    <w:rsid w:val="1896991C"/>
    <w:rsid w:val="189B3CEC"/>
    <w:rsid w:val="18BDDB60"/>
    <w:rsid w:val="18D0B320"/>
    <w:rsid w:val="18DAB438"/>
    <w:rsid w:val="18ED7077"/>
    <w:rsid w:val="194333E8"/>
    <w:rsid w:val="199DC5F1"/>
    <w:rsid w:val="19B57415"/>
    <w:rsid w:val="19D4E9DC"/>
    <w:rsid w:val="19D5B9A6"/>
    <w:rsid w:val="19E52568"/>
    <w:rsid w:val="19EE9CF5"/>
    <w:rsid w:val="1A14AD94"/>
    <w:rsid w:val="1A795963"/>
    <w:rsid w:val="1AC2EFAE"/>
    <w:rsid w:val="1AC3F8D7"/>
    <w:rsid w:val="1ACF5683"/>
    <w:rsid w:val="1B0B33DB"/>
    <w:rsid w:val="1B200716"/>
    <w:rsid w:val="1B4FD348"/>
    <w:rsid w:val="1B71C226"/>
    <w:rsid w:val="1BCDC735"/>
    <w:rsid w:val="1BD72881"/>
    <w:rsid w:val="1BF28669"/>
    <w:rsid w:val="1C04285C"/>
    <w:rsid w:val="1C079CF0"/>
    <w:rsid w:val="1C3C92B7"/>
    <w:rsid w:val="1C4857B3"/>
    <w:rsid w:val="1C68D7DF"/>
    <w:rsid w:val="1CA31B1C"/>
    <w:rsid w:val="1CB142F0"/>
    <w:rsid w:val="1CF70BF0"/>
    <w:rsid w:val="1D3E728B"/>
    <w:rsid w:val="1D480611"/>
    <w:rsid w:val="1D7CB67C"/>
    <w:rsid w:val="1DD541D8"/>
    <w:rsid w:val="1DE4F5F4"/>
    <w:rsid w:val="1DEF09F5"/>
    <w:rsid w:val="1DFA31DE"/>
    <w:rsid w:val="1E1D8D84"/>
    <w:rsid w:val="1E41B58C"/>
    <w:rsid w:val="1E4B355F"/>
    <w:rsid w:val="1E5BF069"/>
    <w:rsid w:val="1E6C6488"/>
    <w:rsid w:val="1E808AB0"/>
    <w:rsid w:val="1EA5698A"/>
    <w:rsid w:val="1EE1847D"/>
    <w:rsid w:val="1F2544E3"/>
    <w:rsid w:val="1F2E9852"/>
    <w:rsid w:val="1F3F7E04"/>
    <w:rsid w:val="1FA38A77"/>
    <w:rsid w:val="1FC9F5AA"/>
    <w:rsid w:val="20125F8D"/>
    <w:rsid w:val="203C8A47"/>
    <w:rsid w:val="208D1342"/>
    <w:rsid w:val="20C4A30F"/>
    <w:rsid w:val="20CA591A"/>
    <w:rsid w:val="20DC22C1"/>
    <w:rsid w:val="20EDE7D7"/>
    <w:rsid w:val="20F08910"/>
    <w:rsid w:val="21093990"/>
    <w:rsid w:val="21252EEE"/>
    <w:rsid w:val="218591EC"/>
    <w:rsid w:val="21E56075"/>
    <w:rsid w:val="2222CCD9"/>
    <w:rsid w:val="222CDE43"/>
    <w:rsid w:val="224D3FF7"/>
    <w:rsid w:val="226F4C04"/>
    <w:rsid w:val="228062C4"/>
    <w:rsid w:val="22A3B012"/>
    <w:rsid w:val="22A73128"/>
    <w:rsid w:val="22AAEF87"/>
    <w:rsid w:val="22B9403A"/>
    <w:rsid w:val="22B9AA11"/>
    <w:rsid w:val="22D141D1"/>
    <w:rsid w:val="22D26F11"/>
    <w:rsid w:val="22E4DC6F"/>
    <w:rsid w:val="233FDA7F"/>
    <w:rsid w:val="236AD634"/>
    <w:rsid w:val="236C4755"/>
    <w:rsid w:val="23753479"/>
    <w:rsid w:val="237EC4AF"/>
    <w:rsid w:val="23809344"/>
    <w:rsid w:val="23A3F9B7"/>
    <w:rsid w:val="23C0A43D"/>
    <w:rsid w:val="241521DE"/>
    <w:rsid w:val="2424BC2A"/>
    <w:rsid w:val="245FA798"/>
    <w:rsid w:val="246ED3BE"/>
    <w:rsid w:val="24790F64"/>
    <w:rsid w:val="2479D861"/>
    <w:rsid w:val="247EF3A4"/>
    <w:rsid w:val="2481A8C8"/>
    <w:rsid w:val="249EF6D5"/>
    <w:rsid w:val="2503D3E9"/>
    <w:rsid w:val="2516ADCA"/>
    <w:rsid w:val="2579DBD7"/>
    <w:rsid w:val="25A105DB"/>
    <w:rsid w:val="25BA67F6"/>
    <w:rsid w:val="25CF1A36"/>
    <w:rsid w:val="25D8549B"/>
    <w:rsid w:val="25E5D1F3"/>
    <w:rsid w:val="25EFF6A0"/>
    <w:rsid w:val="25F432F8"/>
    <w:rsid w:val="25FDB5B8"/>
    <w:rsid w:val="26129F68"/>
    <w:rsid w:val="261A95C7"/>
    <w:rsid w:val="262293A4"/>
    <w:rsid w:val="263EA8E3"/>
    <w:rsid w:val="2656065D"/>
    <w:rsid w:val="265EC3FB"/>
    <w:rsid w:val="26746356"/>
    <w:rsid w:val="2689C66B"/>
    <w:rsid w:val="26BCFBF5"/>
    <w:rsid w:val="26C31CBA"/>
    <w:rsid w:val="26E7570C"/>
    <w:rsid w:val="271448B9"/>
    <w:rsid w:val="273E97A0"/>
    <w:rsid w:val="2752A0FE"/>
    <w:rsid w:val="2764E1F5"/>
    <w:rsid w:val="278B8C38"/>
    <w:rsid w:val="27902A51"/>
    <w:rsid w:val="27AB4E06"/>
    <w:rsid w:val="27B95DDC"/>
    <w:rsid w:val="2827344E"/>
    <w:rsid w:val="28433632"/>
    <w:rsid w:val="2852E871"/>
    <w:rsid w:val="287CA17E"/>
    <w:rsid w:val="28863CC0"/>
    <w:rsid w:val="2890CC46"/>
    <w:rsid w:val="28AEB6D5"/>
    <w:rsid w:val="28BA3F2E"/>
    <w:rsid w:val="28F18145"/>
    <w:rsid w:val="28F96A61"/>
    <w:rsid w:val="29025EE5"/>
    <w:rsid w:val="2911CD7E"/>
    <w:rsid w:val="29440BA9"/>
    <w:rsid w:val="2975FE77"/>
    <w:rsid w:val="29795878"/>
    <w:rsid w:val="2995BE10"/>
    <w:rsid w:val="29B1CCFA"/>
    <w:rsid w:val="29B2B1B5"/>
    <w:rsid w:val="29CFE4EC"/>
    <w:rsid w:val="29D853C0"/>
    <w:rsid w:val="29DE1996"/>
    <w:rsid w:val="29EC1D1F"/>
    <w:rsid w:val="2A3FDB04"/>
    <w:rsid w:val="2A4245D5"/>
    <w:rsid w:val="2A81FC60"/>
    <w:rsid w:val="2B0B03B2"/>
    <w:rsid w:val="2B0F0F5C"/>
    <w:rsid w:val="2B2F06A9"/>
    <w:rsid w:val="2B44C7B1"/>
    <w:rsid w:val="2B7D1CEA"/>
    <w:rsid w:val="2BCAECAD"/>
    <w:rsid w:val="2C00C40C"/>
    <w:rsid w:val="2C304AB7"/>
    <w:rsid w:val="2C3E784D"/>
    <w:rsid w:val="2C5F6CE2"/>
    <w:rsid w:val="2C8B4AC1"/>
    <w:rsid w:val="2CCE8EE7"/>
    <w:rsid w:val="2D023D10"/>
    <w:rsid w:val="2D0D155F"/>
    <w:rsid w:val="2D103FE2"/>
    <w:rsid w:val="2D17E34B"/>
    <w:rsid w:val="2D220C9A"/>
    <w:rsid w:val="2D585642"/>
    <w:rsid w:val="2D8E6B90"/>
    <w:rsid w:val="2DD8C3F7"/>
    <w:rsid w:val="2DDFB8D2"/>
    <w:rsid w:val="2DE0C414"/>
    <w:rsid w:val="2DF5AC4F"/>
    <w:rsid w:val="2DF8A4C6"/>
    <w:rsid w:val="2E2457DD"/>
    <w:rsid w:val="2E5C5468"/>
    <w:rsid w:val="2E5F2CD5"/>
    <w:rsid w:val="2E6D2088"/>
    <w:rsid w:val="2E6F8936"/>
    <w:rsid w:val="2E743845"/>
    <w:rsid w:val="2E7F8F26"/>
    <w:rsid w:val="2E87FE44"/>
    <w:rsid w:val="2EC457EF"/>
    <w:rsid w:val="2ECC0645"/>
    <w:rsid w:val="2ECDB23C"/>
    <w:rsid w:val="2ED31E9C"/>
    <w:rsid w:val="2F0E5DFF"/>
    <w:rsid w:val="2F3BA718"/>
    <w:rsid w:val="2F4339D2"/>
    <w:rsid w:val="2F694324"/>
    <w:rsid w:val="301D7143"/>
    <w:rsid w:val="3028A8DE"/>
    <w:rsid w:val="3053EC98"/>
    <w:rsid w:val="305B51A9"/>
    <w:rsid w:val="30821FC8"/>
    <w:rsid w:val="309EB0E2"/>
    <w:rsid w:val="30B3B2E8"/>
    <w:rsid w:val="30C0FEE3"/>
    <w:rsid w:val="30DE1A5A"/>
    <w:rsid w:val="30E962CE"/>
    <w:rsid w:val="312A05F7"/>
    <w:rsid w:val="312A82E0"/>
    <w:rsid w:val="31311D20"/>
    <w:rsid w:val="316A3557"/>
    <w:rsid w:val="318E9151"/>
    <w:rsid w:val="31AE3592"/>
    <w:rsid w:val="31D45FF9"/>
    <w:rsid w:val="31DCC42B"/>
    <w:rsid w:val="3200E491"/>
    <w:rsid w:val="3236A79C"/>
    <w:rsid w:val="32773BD4"/>
    <w:rsid w:val="32A55410"/>
    <w:rsid w:val="32B1ABFC"/>
    <w:rsid w:val="32D09067"/>
    <w:rsid w:val="32EB16E0"/>
    <w:rsid w:val="33360FE8"/>
    <w:rsid w:val="336C215F"/>
    <w:rsid w:val="336DDE9E"/>
    <w:rsid w:val="336FA869"/>
    <w:rsid w:val="33AC39FC"/>
    <w:rsid w:val="33F514B8"/>
    <w:rsid w:val="33FB8177"/>
    <w:rsid w:val="33FBF23C"/>
    <w:rsid w:val="344FB293"/>
    <w:rsid w:val="3451D177"/>
    <w:rsid w:val="347ACFDF"/>
    <w:rsid w:val="348A21D8"/>
    <w:rsid w:val="348DD828"/>
    <w:rsid w:val="34BEDA03"/>
    <w:rsid w:val="352EA80E"/>
    <w:rsid w:val="3538EC9F"/>
    <w:rsid w:val="35576AC9"/>
    <w:rsid w:val="35768C75"/>
    <w:rsid w:val="35953A49"/>
    <w:rsid w:val="35B3EE31"/>
    <w:rsid w:val="35ED587B"/>
    <w:rsid w:val="35EE02A6"/>
    <w:rsid w:val="3626E770"/>
    <w:rsid w:val="362B491D"/>
    <w:rsid w:val="36758F15"/>
    <w:rsid w:val="369360D1"/>
    <w:rsid w:val="3704A25B"/>
    <w:rsid w:val="375A79BE"/>
    <w:rsid w:val="37741383"/>
    <w:rsid w:val="379E38BD"/>
    <w:rsid w:val="37E5BFB7"/>
    <w:rsid w:val="37E70662"/>
    <w:rsid w:val="37F141DD"/>
    <w:rsid w:val="37F30A1D"/>
    <w:rsid w:val="381D5AED"/>
    <w:rsid w:val="38352473"/>
    <w:rsid w:val="3844A952"/>
    <w:rsid w:val="3867221A"/>
    <w:rsid w:val="389B378D"/>
    <w:rsid w:val="38FF06EA"/>
    <w:rsid w:val="3906B34B"/>
    <w:rsid w:val="39284B43"/>
    <w:rsid w:val="3934C18D"/>
    <w:rsid w:val="3951E05A"/>
    <w:rsid w:val="39AFB078"/>
    <w:rsid w:val="39D34E42"/>
    <w:rsid w:val="3A017409"/>
    <w:rsid w:val="3A2139A4"/>
    <w:rsid w:val="3A306853"/>
    <w:rsid w:val="3A7BE802"/>
    <w:rsid w:val="3A9EE6AD"/>
    <w:rsid w:val="3ABBE0F9"/>
    <w:rsid w:val="3ACDCEBE"/>
    <w:rsid w:val="3AE2149A"/>
    <w:rsid w:val="3AEB75FB"/>
    <w:rsid w:val="3AF509F1"/>
    <w:rsid w:val="3AF7D3B2"/>
    <w:rsid w:val="3B019A9F"/>
    <w:rsid w:val="3B14C804"/>
    <w:rsid w:val="3B15B31A"/>
    <w:rsid w:val="3B5E0361"/>
    <w:rsid w:val="3B7E06D0"/>
    <w:rsid w:val="3BF9A153"/>
    <w:rsid w:val="3C1E70A3"/>
    <w:rsid w:val="3C66E300"/>
    <w:rsid w:val="3C7C5A92"/>
    <w:rsid w:val="3C9CD0D0"/>
    <w:rsid w:val="3CA178B6"/>
    <w:rsid w:val="3CA87AB3"/>
    <w:rsid w:val="3CC8C8F1"/>
    <w:rsid w:val="3CCADBD1"/>
    <w:rsid w:val="3CF9179C"/>
    <w:rsid w:val="3D016458"/>
    <w:rsid w:val="3D693A8E"/>
    <w:rsid w:val="3D85CE7B"/>
    <w:rsid w:val="3DE42D73"/>
    <w:rsid w:val="3E084CC7"/>
    <w:rsid w:val="3E2965F6"/>
    <w:rsid w:val="3E3790B7"/>
    <w:rsid w:val="3E3D2D78"/>
    <w:rsid w:val="3E9030AA"/>
    <w:rsid w:val="3E95827D"/>
    <w:rsid w:val="3EFA4D39"/>
    <w:rsid w:val="3F220845"/>
    <w:rsid w:val="3F338A31"/>
    <w:rsid w:val="3F7D6D80"/>
    <w:rsid w:val="3FA2D0CE"/>
    <w:rsid w:val="3FA92DAF"/>
    <w:rsid w:val="3FC33D3F"/>
    <w:rsid w:val="3FDCE02F"/>
    <w:rsid w:val="3FE04D6F"/>
    <w:rsid w:val="40033A07"/>
    <w:rsid w:val="400D9AA7"/>
    <w:rsid w:val="40165054"/>
    <w:rsid w:val="40266399"/>
    <w:rsid w:val="40453715"/>
    <w:rsid w:val="4048870E"/>
    <w:rsid w:val="406920FB"/>
    <w:rsid w:val="407211BC"/>
    <w:rsid w:val="407B0D4D"/>
    <w:rsid w:val="4092B780"/>
    <w:rsid w:val="40C513DF"/>
    <w:rsid w:val="40C957FD"/>
    <w:rsid w:val="40CC4A08"/>
    <w:rsid w:val="40FBCE09"/>
    <w:rsid w:val="4100B9E0"/>
    <w:rsid w:val="4164F711"/>
    <w:rsid w:val="41963661"/>
    <w:rsid w:val="41C26F7B"/>
    <w:rsid w:val="41D18B74"/>
    <w:rsid w:val="41DF94D8"/>
    <w:rsid w:val="41F231F6"/>
    <w:rsid w:val="42008CEE"/>
    <w:rsid w:val="42143629"/>
    <w:rsid w:val="42258AF6"/>
    <w:rsid w:val="423BB592"/>
    <w:rsid w:val="4253E3F3"/>
    <w:rsid w:val="429173BF"/>
    <w:rsid w:val="42A98331"/>
    <w:rsid w:val="42BC06DF"/>
    <w:rsid w:val="42C8D726"/>
    <w:rsid w:val="42CC1DCC"/>
    <w:rsid w:val="42EFFF3B"/>
    <w:rsid w:val="431D1E54"/>
    <w:rsid w:val="431E01A0"/>
    <w:rsid w:val="433BB3FE"/>
    <w:rsid w:val="433EBD18"/>
    <w:rsid w:val="4340C14C"/>
    <w:rsid w:val="43448BD0"/>
    <w:rsid w:val="43577FC4"/>
    <w:rsid w:val="435D0A5C"/>
    <w:rsid w:val="43AA8640"/>
    <w:rsid w:val="43B46333"/>
    <w:rsid w:val="43DF3B3A"/>
    <w:rsid w:val="44144BDB"/>
    <w:rsid w:val="44256060"/>
    <w:rsid w:val="4438A020"/>
    <w:rsid w:val="44A0B31F"/>
    <w:rsid w:val="44AD4A51"/>
    <w:rsid w:val="44C68ADB"/>
    <w:rsid w:val="44F09570"/>
    <w:rsid w:val="45148085"/>
    <w:rsid w:val="451F1FD6"/>
    <w:rsid w:val="4527A159"/>
    <w:rsid w:val="452C394F"/>
    <w:rsid w:val="45B4151F"/>
    <w:rsid w:val="45C2E3CC"/>
    <w:rsid w:val="4627A295"/>
    <w:rsid w:val="465C8D79"/>
    <w:rsid w:val="4683F774"/>
    <w:rsid w:val="4687AA01"/>
    <w:rsid w:val="46903A38"/>
    <w:rsid w:val="46982474"/>
    <w:rsid w:val="46E3A90B"/>
    <w:rsid w:val="46E83358"/>
    <w:rsid w:val="470A6EB8"/>
    <w:rsid w:val="472A868F"/>
    <w:rsid w:val="472DF995"/>
    <w:rsid w:val="476B4B85"/>
    <w:rsid w:val="47914DBF"/>
    <w:rsid w:val="47A3FD23"/>
    <w:rsid w:val="47D4FD68"/>
    <w:rsid w:val="47D9E561"/>
    <w:rsid w:val="47FB606F"/>
    <w:rsid w:val="480907C4"/>
    <w:rsid w:val="48744259"/>
    <w:rsid w:val="48817CCD"/>
    <w:rsid w:val="489CB94A"/>
    <w:rsid w:val="48B0297C"/>
    <w:rsid w:val="48B0D32B"/>
    <w:rsid w:val="490ED408"/>
    <w:rsid w:val="491D9E99"/>
    <w:rsid w:val="493B45E1"/>
    <w:rsid w:val="4961CF21"/>
    <w:rsid w:val="496679F7"/>
    <w:rsid w:val="499A9248"/>
    <w:rsid w:val="49AA33E2"/>
    <w:rsid w:val="49D83810"/>
    <w:rsid w:val="49DBD5AD"/>
    <w:rsid w:val="49E6D183"/>
    <w:rsid w:val="4A0875C5"/>
    <w:rsid w:val="4A0E2E71"/>
    <w:rsid w:val="4A1D619A"/>
    <w:rsid w:val="4A2A7BE6"/>
    <w:rsid w:val="4A79D44D"/>
    <w:rsid w:val="4A88B0AF"/>
    <w:rsid w:val="4AD6D0D2"/>
    <w:rsid w:val="4AF608BE"/>
    <w:rsid w:val="4B0E76FA"/>
    <w:rsid w:val="4B2E6D8E"/>
    <w:rsid w:val="4B5314F8"/>
    <w:rsid w:val="4B77A1D8"/>
    <w:rsid w:val="4B82BD55"/>
    <w:rsid w:val="4BBAA9A1"/>
    <w:rsid w:val="4BD4739C"/>
    <w:rsid w:val="4BE4A7AF"/>
    <w:rsid w:val="4BF90BD5"/>
    <w:rsid w:val="4C228F50"/>
    <w:rsid w:val="4C3B440F"/>
    <w:rsid w:val="4C5CB8E9"/>
    <w:rsid w:val="4C7F9875"/>
    <w:rsid w:val="4CBC2C6E"/>
    <w:rsid w:val="4CC999D1"/>
    <w:rsid w:val="4CE7DF10"/>
    <w:rsid w:val="4CE9D5D6"/>
    <w:rsid w:val="4D17D84B"/>
    <w:rsid w:val="4D2B5000"/>
    <w:rsid w:val="4DD2ECE2"/>
    <w:rsid w:val="4DE4D8A7"/>
    <w:rsid w:val="4DFE1A8C"/>
    <w:rsid w:val="4E116C17"/>
    <w:rsid w:val="4E141890"/>
    <w:rsid w:val="4E17883C"/>
    <w:rsid w:val="4E3F4BC0"/>
    <w:rsid w:val="4E4541AF"/>
    <w:rsid w:val="4E63F46E"/>
    <w:rsid w:val="4E782E27"/>
    <w:rsid w:val="4E8A2250"/>
    <w:rsid w:val="4EC39718"/>
    <w:rsid w:val="4EDA0BB2"/>
    <w:rsid w:val="4EE2EA19"/>
    <w:rsid w:val="4EE62812"/>
    <w:rsid w:val="4EE838E2"/>
    <w:rsid w:val="4F9B17B8"/>
    <w:rsid w:val="4FA71EA1"/>
    <w:rsid w:val="4FAE5F43"/>
    <w:rsid w:val="4FC3C134"/>
    <w:rsid w:val="4FC4B0FC"/>
    <w:rsid w:val="4FC7702C"/>
    <w:rsid w:val="4FF3323A"/>
    <w:rsid w:val="4FF57095"/>
    <w:rsid w:val="4FFE1F51"/>
    <w:rsid w:val="50034565"/>
    <w:rsid w:val="50229158"/>
    <w:rsid w:val="5024AD58"/>
    <w:rsid w:val="502CB523"/>
    <w:rsid w:val="503C96C4"/>
    <w:rsid w:val="503EFCF7"/>
    <w:rsid w:val="504E5C6A"/>
    <w:rsid w:val="50592078"/>
    <w:rsid w:val="507E7BEA"/>
    <w:rsid w:val="510423BD"/>
    <w:rsid w:val="511DB1D4"/>
    <w:rsid w:val="5162FEF7"/>
    <w:rsid w:val="5178B356"/>
    <w:rsid w:val="517C4308"/>
    <w:rsid w:val="52242130"/>
    <w:rsid w:val="526330F7"/>
    <w:rsid w:val="528547EA"/>
    <w:rsid w:val="52C4C899"/>
    <w:rsid w:val="52CB353C"/>
    <w:rsid w:val="52FF9DEA"/>
    <w:rsid w:val="5318A94F"/>
    <w:rsid w:val="5348373D"/>
    <w:rsid w:val="5369464B"/>
    <w:rsid w:val="5383C3CC"/>
    <w:rsid w:val="53947D55"/>
    <w:rsid w:val="53AE3494"/>
    <w:rsid w:val="53D1DB6E"/>
    <w:rsid w:val="53E8C36A"/>
    <w:rsid w:val="543FD0E4"/>
    <w:rsid w:val="5440432B"/>
    <w:rsid w:val="5460FCD7"/>
    <w:rsid w:val="5486966C"/>
    <w:rsid w:val="54B5E0FD"/>
    <w:rsid w:val="54FA8ACB"/>
    <w:rsid w:val="5525E7A8"/>
    <w:rsid w:val="5561DCB7"/>
    <w:rsid w:val="5564DED6"/>
    <w:rsid w:val="55A54346"/>
    <w:rsid w:val="55BB4600"/>
    <w:rsid w:val="55BEF034"/>
    <w:rsid w:val="55CC121C"/>
    <w:rsid w:val="55D42DB1"/>
    <w:rsid w:val="55E48E16"/>
    <w:rsid w:val="56013941"/>
    <w:rsid w:val="56238BAD"/>
    <w:rsid w:val="5632090D"/>
    <w:rsid w:val="563407DD"/>
    <w:rsid w:val="5645F9FC"/>
    <w:rsid w:val="564688E1"/>
    <w:rsid w:val="56BD7920"/>
    <w:rsid w:val="572BFFCE"/>
    <w:rsid w:val="573B955A"/>
    <w:rsid w:val="5754B70E"/>
    <w:rsid w:val="575B6CDC"/>
    <w:rsid w:val="57698959"/>
    <w:rsid w:val="576B1434"/>
    <w:rsid w:val="577A37B7"/>
    <w:rsid w:val="5782E96A"/>
    <w:rsid w:val="579D20D8"/>
    <w:rsid w:val="57BACFF7"/>
    <w:rsid w:val="57CCEAB4"/>
    <w:rsid w:val="57D50954"/>
    <w:rsid w:val="57E47959"/>
    <w:rsid w:val="57EEEBAF"/>
    <w:rsid w:val="58E34099"/>
    <w:rsid w:val="58EB5644"/>
    <w:rsid w:val="58EFDAC6"/>
    <w:rsid w:val="59031F0B"/>
    <w:rsid w:val="5913DADF"/>
    <w:rsid w:val="5940679E"/>
    <w:rsid w:val="595CA216"/>
    <w:rsid w:val="59653CC8"/>
    <w:rsid w:val="597CB8FC"/>
    <w:rsid w:val="59A0B4E3"/>
    <w:rsid w:val="59A99FCC"/>
    <w:rsid w:val="59B05CEA"/>
    <w:rsid w:val="59DB4E21"/>
    <w:rsid w:val="5A137412"/>
    <w:rsid w:val="5A57516B"/>
    <w:rsid w:val="5A63DC56"/>
    <w:rsid w:val="5A887FF5"/>
    <w:rsid w:val="5AAC8A99"/>
    <w:rsid w:val="5B227842"/>
    <w:rsid w:val="5B51BDB5"/>
    <w:rsid w:val="5B7EAD2C"/>
    <w:rsid w:val="5BAEA854"/>
    <w:rsid w:val="5BAF9E1A"/>
    <w:rsid w:val="5C0CDDE3"/>
    <w:rsid w:val="5C1575C1"/>
    <w:rsid w:val="5C5EE23B"/>
    <w:rsid w:val="5C6216CB"/>
    <w:rsid w:val="5C70DF71"/>
    <w:rsid w:val="5C761200"/>
    <w:rsid w:val="5CA16AD4"/>
    <w:rsid w:val="5CCBD750"/>
    <w:rsid w:val="5CDBEAC4"/>
    <w:rsid w:val="5CEC4456"/>
    <w:rsid w:val="5D1BB58D"/>
    <w:rsid w:val="5D1E38E6"/>
    <w:rsid w:val="5D42C81C"/>
    <w:rsid w:val="5D898A4C"/>
    <w:rsid w:val="5D91D078"/>
    <w:rsid w:val="5DE22CB3"/>
    <w:rsid w:val="5DEA680F"/>
    <w:rsid w:val="5DEB4592"/>
    <w:rsid w:val="5E3A741C"/>
    <w:rsid w:val="5E575050"/>
    <w:rsid w:val="5E790021"/>
    <w:rsid w:val="5E8ABA66"/>
    <w:rsid w:val="5EC89106"/>
    <w:rsid w:val="5EE2A126"/>
    <w:rsid w:val="5EEEBA35"/>
    <w:rsid w:val="5F025012"/>
    <w:rsid w:val="5F638098"/>
    <w:rsid w:val="5F6DB23C"/>
    <w:rsid w:val="5F9A23E7"/>
    <w:rsid w:val="5FA592B5"/>
    <w:rsid w:val="5FD36029"/>
    <w:rsid w:val="5FD98FF7"/>
    <w:rsid w:val="5FE35772"/>
    <w:rsid w:val="60154671"/>
    <w:rsid w:val="602D2EE5"/>
    <w:rsid w:val="604AF77C"/>
    <w:rsid w:val="60555F9F"/>
    <w:rsid w:val="60732B77"/>
    <w:rsid w:val="60854485"/>
    <w:rsid w:val="60C5EA18"/>
    <w:rsid w:val="6100E2E6"/>
    <w:rsid w:val="610AAF68"/>
    <w:rsid w:val="613DFDE4"/>
    <w:rsid w:val="614B7D3C"/>
    <w:rsid w:val="61594260"/>
    <w:rsid w:val="61DCE6E7"/>
    <w:rsid w:val="61E44BA5"/>
    <w:rsid w:val="6211FF4D"/>
    <w:rsid w:val="62183308"/>
    <w:rsid w:val="623AAACD"/>
    <w:rsid w:val="626E577B"/>
    <w:rsid w:val="627C5847"/>
    <w:rsid w:val="62AB8957"/>
    <w:rsid w:val="62CE9ED3"/>
    <w:rsid w:val="62DD8BBA"/>
    <w:rsid w:val="62EFC241"/>
    <w:rsid w:val="63190ABA"/>
    <w:rsid w:val="63338271"/>
    <w:rsid w:val="6396CFDF"/>
    <w:rsid w:val="63A98A43"/>
    <w:rsid w:val="63DB02B9"/>
    <w:rsid w:val="63DB863E"/>
    <w:rsid w:val="63FE1790"/>
    <w:rsid w:val="64009354"/>
    <w:rsid w:val="64262ED4"/>
    <w:rsid w:val="642F0234"/>
    <w:rsid w:val="64428B07"/>
    <w:rsid w:val="6479A05F"/>
    <w:rsid w:val="65039817"/>
    <w:rsid w:val="6507BAFB"/>
    <w:rsid w:val="650E19C5"/>
    <w:rsid w:val="6546FF32"/>
    <w:rsid w:val="654D3231"/>
    <w:rsid w:val="655218AC"/>
    <w:rsid w:val="65574A0C"/>
    <w:rsid w:val="6572DD6B"/>
    <w:rsid w:val="6580BE08"/>
    <w:rsid w:val="6595ADDA"/>
    <w:rsid w:val="65AF1D3B"/>
    <w:rsid w:val="65DFFD77"/>
    <w:rsid w:val="66115A36"/>
    <w:rsid w:val="661CC43F"/>
    <w:rsid w:val="666BBEC9"/>
    <w:rsid w:val="6692249C"/>
    <w:rsid w:val="669C1650"/>
    <w:rsid w:val="66AB49EC"/>
    <w:rsid w:val="66ADEFF2"/>
    <w:rsid w:val="670C48D6"/>
    <w:rsid w:val="6776FECF"/>
    <w:rsid w:val="679CC8D1"/>
    <w:rsid w:val="67B187A2"/>
    <w:rsid w:val="67D69A3B"/>
    <w:rsid w:val="67EF11B6"/>
    <w:rsid w:val="680598A6"/>
    <w:rsid w:val="68119BF9"/>
    <w:rsid w:val="682C9AFD"/>
    <w:rsid w:val="682FB49F"/>
    <w:rsid w:val="6837C92C"/>
    <w:rsid w:val="686790D8"/>
    <w:rsid w:val="686D480D"/>
    <w:rsid w:val="68C25954"/>
    <w:rsid w:val="68D2C35F"/>
    <w:rsid w:val="68D6F0F3"/>
    <w:rsid w:val="68EE7529"/>
    <w:rsid w:val="68F4A83E"/>
    <w:rsid w:val="691B762D"/>
    <w:rsid w:val="6923574C"/>
    <w:rsid w:val="692586E1"/>
    <w:rsid w:val="6929D944"/>
    <w:rsid w:val="69728E06"/>
    <w:rsid w:val="69BC88EB"/>
    <w:rsid w:val="69CFD144"/>
    <w:rsid w:val="6A27979A"/>
    <w:rsid w:val="6A32C6C7"/>
    <w:rsid w:val="6A944388"/>
    <w:rsid w:val="6AB786CE"/>
    <w:rsid w:val="6AB7EB14"/>
    <w:rsid w:val="6AD46216"/>
    <w:rsid w:val="6AF7CF9A"/>
    <w:rsid w:val="6AFBCF40"/>
    <w:rsid w:val="6B3F7726"/>
    <w:rsid w:val="6B834E44"/>
    <w:rsid w:val="6B88F6F7"/>
    <w:rsid w:val="6B9785E2"/>
    <w:rsid w:val="6BA38DF8"/>
    <w:rsid w:val="6BB8BAEE"/>
    <w:rsid w:val="6BBC028E"/>
    <w:rsid w:val="6BCFFADC"/>
    <w:rsid w:val="6BFA8D2B"/>
    <w:rsid w:val="6C1037E9"/>
    <w:rsid w:val="6C1C4E17"/>
    <w:rsid w:val="6C3E9381"/>
    <w:rsid w:val="6C8C9ABF"/>
    <w:rsid w:val="6CA74E4D"/>
    <w:rsid w:val="6CE16F5B"/>
    <w:rsid w:val="6CF2C018"/>
    <w:rsid w:val="6D3F3A4A"/>
    <w:rsid w:val="6D653749"/>
    <w:rsid w:val="6D6F6733"/>
    <w:rsid w:val="6D8A5699"/>
    <w:rsid w:val="6D9E0209"/>
    <w:rsid w:val="6DA96D11"/>
    <w:rsid w:val="6DCFFE35"/>
    <w:rsid w:val="6DDCB366"/>
    <w:rsid w:val="6DF1F7C6"/>
    <w:rsid w:val="6E2FC340"/>
    <w:rsid w:val="6E355F6F"/>
    <w:rsid w:val="6E8332FA"/>
    <w:rsid w:val="6EA7EDB1"/>
    <w:rsid w:val="6EE47C54"/>
    <w:rsid w:val="6F647AF6"/>
    <w:rsid w:val="6F71E64E"/>
    <w:rsid w:val="6F82104B"/>
    <w:rsid w:val="6F888A1A"/>
    <w:rsid w:val="6FC76F43"/>
    <w:rsid w:val="6FD6BA26"/>
    <w:rsid w:val="6FF36068"/>
    <w:rsid w:val="7007666E"/>
    <w:rsid w:val="70393BE5"/>
    <w:rsid w:val="709072D6"/>
    <w:rsid w:val="70B586B8"/>
    <w:rsid w:val="70C2806D"/>
    <w:rsid w:val="70E1497C"/>
    <w:rsid w:val="70EEF0CE"/>
    <w:rsid w:val="7102268C"/>
    <w:rsid w:val="7122E37C"/>
    <w:rsid w:val="716104F9"/>
    <w:rsid w:val="71ACF7C8"/>
    <w:rsid w:val="71B9B9F9"/>
    <w:rsid w:val="71C296E3"/>
    <w:rsid w:val="71C56D3F"/>
    <w:rsid w:val="72095189"/>
    <w:rsid w:val="721DD103"/>
    <w:rsid w:val="7235F6E1"/>
    <w:rsid w:val="724A047E"/>
    <w:rsid w:val="7251DAD4"/>
    <w:rsid w:val="72797C97"/>
    <w:rsid w:val="72A0071C"/>
    <w:rsid w:val="72ADD5E9"/>
    <w:rsid w:val="73138C69"/>
    <w:rsid w:val="732C5C07"/>
    <w:rsid w:val="733B6CF3"/>
    <w:rsid w:val="735A3A44"/>
    <w:rsid w:val="73758530"/>
    <w:rsid w:val="73ABD38B"/>
    <w:rsid w:val="73B6C7C9"/>
    <w:rsid w:val="73D8FA89"/>
    <w:rsid w:val="73E2A638"/>
    <w:rsid w:val="73EE6009"/>
    <w:rsid w:val="74079636"/>
    <w:rsid w:val="740BA6A1"/>
    <w:rsid w:val="745F48D5"/>
    <w:rsid w:val="74C0AB5A"/>
    <w:rsid w:val="75469D68"/>
    <w:rsid w:val="754A6FA7"/>
    <w:rsid w:val="755F4B62"/>
    <w:rsid w:val="757AB27D"/>
    <w:rsid w:val="757CC2DE"/>
    <w:rsid w:val="75990BC8"/>
    <w:rsid w:val="75B3241F"/>
    <w:rsid w:val="75C3E6DB"/>
    <w:rsid w:val="75C71D4A"/>
    <w:rsid w:val="75CA8CFA"/>
    <w:rsid w:val="764C7BF2"/>
    <w:rsid w:val="76891307"/>
    <w:rsid w:val="768AD5CD"/>
    <w:rsid w:val="76911925"/>
    <w:rsid w:val="76B1D541"/>
    <w:rsid w:val="771710E5"/>
    <w:rsid w:val="7738A410"/>
    <w:rsid w:val="77578379"/>
    <w:rsid w:val="77598BB6"/>
    <w:rsid w:val="7797299E"/>
    <w:rsid w:val="77C79001"/>
    <w:rsid w:val="77E4BDE4"/>
    <w:rsid w:val="7809331E"/>
    <w:rsid w:val="7814D743"/>
    <w:rsid w:val="781BF2D1"/>
    <w:rsid w:val="78334EFC"/>
    <w:rsid w:val="786C55F7"/>
    <w:rsid w:val="78952E63"/>
    <w:rsid w:val="78A4FFB7"/>
    <w:rsid w:val="78ACAE06"/>
    <w:rsid w:val="78D3CF02"/>
    <w:rsid w:val="78DCE22E"/>
    <w:rsid w:val="78ED0D0E"/>
    <w:rsid w:val="78F88B21"/>
    <w:rsid w:val="78FC29B5"/>
    <w:rsid w:val="791AB6AD"/>
    <w:rsid w:val="795F3C73"/>
    <w:rsid w:val="7963D48F"/>
    <w:rsid w:val="79706C1F"/>
    <w:rsid w:val="7979B432"/>
    <w:rsid w:val="79C7B6FF"/>
    <w:rsid w:val="79EBA3B3"/>
    <w:rsid w:val="7A19ADD0"/>
    <w:rsid w:val="7A27B147"/>
    <w:rsid w:val="7A3478E7"/>
    <w:rsid w:val="7A36F97D"/>
    <w:rsid w:val="7A38C797"/>
    <w:rsid w:val="7A497A8A"/>
    <w:rsid w:val="7A4F6211"/>
    <w:rsid w:val="7A72FB97"/>
    <w:rsid w:val="7A90C8A3"/>
    <w:rsid w:val="7AAD9444"/>
    <w:rsid w:val="7ABC43F2"/>
    <w:rsid w:val="7AC14E18"/>
    <w:rsid w:val="7AD6598D"/>
    <w:rsid w:val="7AD6A80C"/>
    <w:rsid w:val="7ADC4746"/>
    <w:rsid w:val="7B259161"/>
    <w:rsid w:val="7B2EE3A9"/>
    <w:rsid w:val="7B37330D"/>
    <w:rsid w:val="7B3CF4DD"/>
    <w:rsid w:val="7B3F340B"/>
    <w:rsid w:val="7B763CB5"/>
    <w:rsid w:val="7BB93FCB"/>
    <w:rsid w:val="7BCFF268"/>
    <w:rsid w:val="7C1F1837"/>
    <w:rsid w:val="7C3F7060"/>
    <w:rsid w:val="7CA47E3D"/>
    <w:rsid w:val="7CB22AD7"/>
    <w:rsid w:val="7D0E48F4"/>
    <w:rsid w:val="7D1DA433"/>
    <w:rsid w:val="7D3589B3"/>
    <w:rsid w:val="7D774DEB"/>
    <w:rsid w:val="7E16897B"/>
    <w:rsid w:val="7E185E7D"/>
    <w:rsid w:val="7E2E63C0"/>
    <w:rsid w:val="7EAFB6A9"/>
    <w:rsid w:val="7EE7C4C8"/>
    <w:rsid w:val="7EF5CC0E"/>
    <w:rsid w:val="7EF8FAC1"/>
    <w:rsid w:val="7F05B587"/>
    <w:rsid w:val="7F138D33"/>
    <w:rsid w:val="7F16FF15"/>
    <w:rsid w:val="7F1E95CF"/>
    <w:rsid w:val="7F72FBD3"/>
    <w:rsid w:val="7F742653"/>
    <w:rsid w:val="7F7A8AA1"/>
    <w:rsid w:val="7FF14EB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0AC02"/>
  <w15:chartTrackingRefBased/>
  <w15:docId w15:val="{F176EC93-4079-4E64-8467-0A2DFBAF8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1" w:unhideWhenUsed="1" w:qFormat="1"/>
    <w:lsdException w:name="Signature" w:semiHidden="1" w:uiPriority="0" w:unhideWhenUsed="1" w:qFormat="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iPriority="1" w:unhideWhenUsed="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no spacing)"/>
    <w:rsid w:val="00B50845"/>
    <w:pPr>
      <w:spacing w:after="0" w:line="240" w:lineRule="auto"/>
    </w:pPr>
    <w:rPr>
      <w:rFonts w:ascii="Segoe UI" w:hAnsi="Segoe UI"/>
      <w:szCs w:val="24"/>
      <w:lang w:val="en-US" w:bidi="en-US"/>
    </w:rPr>
  </w:style>
  <w:style w:type="paragraph" w:styleId="Heading1">
    <w:name w:val="heading 1"/>
    <w:basedOn w:val="Normal"/>
    <w:next w:val="BodyText"/>
    <w:link w:val="Heading1Char"/>
    <w:qFormat/>
    <w:rsid w:val="00F14EED"/>
    <w:pPr>
      <w:keepNext/>
      <w:spacing w:before="240" w:after="240"/>
      <w:outlineLvl w:val="0"/>
    </w:pPr>
    <w:rPr>
      <w:rFonts w:ascii="Segoe UI Semibold" w:eastAsiaTheme="majorEastAsia" w:hAnsi="Segoe UI Semibold"/>
      <w:bCs/>
      <w:color w:val="0069B4"/>
      <w:kern w:val="32"/>
      <w:sz w:val="36"/>
      <w:szCs w:val="32"/>
      <w:lang w:val="en-GB" w:bidi="ar-SA"/>
    </w:rPr>
  </w:style>
  <w:style w:type="paragraph" w:styleId="Heading2">
    <w:name w:val="heading 2"/>
    <w:basedOn w:val="Normal"/>
    <w:next w:val="BodyText"/>
    <w:link w:val="Heading2Char"/>
    <w:qFormat/>
    <w:rsid w:val="00F14EED"/>
    <w:pPr>
      <w:keepNext/>
      <w:spacing w:before="240" w:after="120"/>
      <w:outlineLvl w:val="1"/>
    </w:pPr>
    <w:rPr>
      <w:rFonts w:ascii="Segoe UI Semibold" w:eastAsiaTheme="majorEastAsia" w:hAnsi="Segoe UI Semibold"/>
      <w:bCs/>
      <w:iCs/>
      <w:color w:val="009FE3"/>
      <w:sz w:val="28"/>
      <w:szCs w:val="28"/>
      <w:lang w:val="en-GB" w:bidi="ar-SA"/>
    </w:rPr>
  </w:style>
  <w:style w:type="paragraph" w:styleId="Heading3">
    <w:name w:val="heading 3"/>
    <w:basedOn w:val="Normal"/>
    <w:next w:val="BodyText"/>
    <w:link w:val="Heading3Char"/>
    <w:qFormat/>
    <w:rsid w:val="00292E61"/>
    <w:pPr>
      <w:keepNext/>
      <w:spacing w:before="240" w:after="60"/>
      <w:outlineLvl w:val="2"/>
    </w:pPr>
    <w:rPr>
      <w:rFonts w:ascii="Segoe UI Semibold" w:eastAsiaTheme="majorEastAsia" w:hAnsi="Segoe UI Semibold"/>
      <w:bCs/>
      <w:color w:val="68C0B5"/>
      <w:sz w:val="24"/>
      <w:szCs w:val="26"/>
      <w:lang w:val="en-GB" w:bidi="ar-SA"/>
    </w:rPr>
  </w:style>
  <w:style w:type="paragraph" w:styleId="Heading5">
    <w:name w:val="heading 5"/>
    <w:basedOn w:val="Normal"/>
    <w:next w:val="Normal"/>
    <w:link w:val="Heading5Char"/>
    <w:uiPriority w:val="9"/>
    <w:semiHidden/>
    <w:unhideWhenUsed/>
    <w:qFormat/>
    <w:rsid w:val="00F14EED"/>
    <w:pPr>
      <w:spacing w:before="240" w:after="60"/>
      <w:outlineLvl w:val="4"/>
    </w:pPr>
    <w:rPr>
      <w:b/>
      <w:bCs/>
      <w:i/>
      <w:iCs/>
      <w:sz w:val="26"/>
      <w:szCs w:val="26"/>
      <w:lang w:val="en-GB" w:bidi="ar-SA"/>
    </w:rPr>
  </w:style>
  <w:style w:type="paragraph" w:styleId="Heading6">
    <w:name w:val="heading 6"/>
    <w:basedOn w:val="Normal"/>
    <w:next w:val="Normal"/>
    <w:link w:val="Heading6Char"/>
    <w:uiPriority w:val="9"/>
    <w:semiHidden/>
    <w:unhideWhenUsed/>
    <w:qFormat/>
    <w:rsid w:val="00F14EED"/>
    <w:pPr>
      <w:spacing w:before="240" w:after="60"/>
      <w:outlineLvl w:val="5"/>
    </w:pPr>
    <w:rPr>
      <w:b/>
      <w:bCs/>
      <w:szCs w:val="20"/>
      <w:lang w:val="en-GB" w:bidi="ar-SA"/>
    </w:rPr>
  </w:style>
  <w:style w:type="paragraph" w:styleId="Heading7">
    <w:name w:val="heading 7"/>
    <w:basedOn w:val="Normal"/>
    <w:next w:val="Normal"/>
    <w:link w:val="Heading7Char"/>
    <w:uiPriority w:val="9"/>
    <w:semiHidden/>
    <w:unhideWhenUsed/>
    <w:qFormat/>
    <w:rsid w:val="00F14EED"/>
    <w:pPr>
      <w:spacing w:before="240" w:after="60"/>
      <w:outlineLvl w:val="6"/>
    </w:pPr>
    <w:rPr>
      <w:sz w:val="24"/>
      <w:lang w:val="en-GB" w:bidi="ar-SA"/>
    </w:rPr>
  </w:style>
  <w:style w:type="paragraph" w:styleId="Heading8">
    <w:name w:val="heading 8"/>
    <w:basedOn w:val="Normal"/>
    <w:next w:val="Normal"/>
    <w:link w:val="Heading8Char"/>
    <w:uiPriority w:val="9"/>
    <w:semiHidden/>
    <w:unhideWhenUsed/>
    <w:qFormat/>
    <w:rsid w:val="00F14EED"/>
    <w:pPr>
      <w:spacing w:before="240" w:after="60"/>
      <w:outlineLvl w:val="7"/>
    </w:pPr>
    <w:rPr>
      <w:i/>
      <w:iCs/>
      <w:sz w:val="24"/>
      <w:lang w:val="en-GB" w:bidi="ar-SA"/>
    </w:rPr>
  </w:style>
  <w:style w:type="paragraph" w:styleId="Heading9">
    <w:name w:val="heading 9"/>
    <w:basedOn w:val="Normal"/>
    <w:next w:val="Normal"/>
    <w:link w:val="Heading9Char"/>
    <w:uiPriority w:val="9"/>
    <w:semiHidden/>
    <w:unhideWhenUsed/>
    <w:qFormat/>
    <w:rsid w:val="00F14EED"/>
    <w:pPr>
      <w:spacing w:before="240" w:after="60"/>
      <w:outlineLvl w:val="8"/>
    </w:pPr>
    <w:rPr>
      <w:rFonts w:asciiTheme="majorHAnsi" w:eastAsiaTheme="majorEastAsia" w:hAnsiTheme="majorHAnsi"/>
      <w:szCs w:val="20"/>
      <w:lang w:val="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wFrontPageScheme">
    <w:name w:val="bwFrontPageScheme"/>
    <w:basedOn w:val="Normal"/>
    <w:uiPriority w:val="4"/>
    <w:rsid w:val="00B50845"/>
    <w:pPr>
      <w:jc w:val="right"/>
    </w:pPr>
    <w:rPr>
      <w:b/>
      <w:color w:val="00446A"/>
      <w:sz w:val="64"/>
    </w:rPr>
  </w:style>
  <w:style w:type="paragraph" w:customStyle="1" w:styleId="bwFrontPageJob">
    <w:name w:val="bwFrontPageJob"/>
    <w:basedOn w:val="Normal"/>
    <w:uiPriority w:val="4"/>
    <w:rsid w:val="00B50845"/>
    <w:pPr>
      <w:jc w:val="right"/>
    </w:pPr>
    <w:rPr>
      <w:color w:val="00446A"/>
      <w:sz w:val="36"/>
    </w:rPr>
  </w:style>
  <w:style w:type="paragraph" w:customStyle="1" w:styleId="bwFrontPageDetails">
    <w:name w:val="bwFrontPageDetails"/>
    <w:basedOn w:val="Normal"/>
    <w:uiPriority w:val="4"/>
    <w:rsid w:val="00B50845"/>
    <w:pPr>
      <w:spacing w:before="60"/>
      <w:jc w:val="right"/>
    </w:pPr>
    <w:rPr>
      <w:color w:val="00446A"/>
      <w:sz w:val="28"/>
    </w:rPr>
  </w:style>
  <w:style w:type="paragraph" w:customStyle="1" w:styleId="bwFrontPageDate">
    <w:name w:val="bwFrontPageDate"/>
    <w:basedOn w:val="Normal"/>
    <w:uiPriority w:val="4"/>
    <w:rsid w:val="00B50845"/>
    <w:pPr>
      <w:spacing w:before="240"/>
      <w:jc w:val="right"/>
    </w:pPr>
    <w:rPr>
      <w:color w:val="00446A"/>
    </w:rPr>
  </w:style>
  <w:style w:type="paragraph" w:customStyle="1" w:styleId="AppendixHeading">
    <w:name w:val="Appendix Heading"/>
    <w:basedOn w:val="Normal"/>
    <w:next w:val="AppendixBodyText"/>
    <w:uiPriority w:val="2"/>
    <w:rsid w:val="00F52571"/>
    <w:pPr>
      <w:pageBreakBefore/>
      <w:spacing w:before="240" w:after="240"/>
    </w:pPr>
    <w:rPr>
      <w:b/>
      <w:color w:val="009FE3" w:themeColor="background2"/>
      <w:sz w:val="36"/>
    </w:rPr>
  </w:style>
  <w:style w:type="paragraph" w:customStyle="1" w:styleId="bwFooterLeft">
    <w:name w:val="bwFooterLeft"/>
    <w:basedOn w:val="bwFooterRight"/>
    <w:uiPriority w:val="3"/>
    <w:rsid w:val="00B50845"/>
    <w:pPr>
      <w:jc w:val="left"/>
    </w:pPr>
  </w:style>
  <w:style w:type="paragraph" w:customStyle="1" w:styleId="bwFooterRight">
    <w:name w:val="bwFooterRight"/>
    <w:basedOn w:val="Normal"/>
    <w:uiPriority w:val="3"/>
    <w:rsid w:val="00B50845"/>
    <w:pPr>
      <w:jc w:val="right"/>
    </w:pPr>
    <w:rPr>
      <w:color w:val="797979"/>
      <w:sz w:val="13"/>
      <w:szCs w:val="22"/>
    </w:rPr>
  </w:style>
  <w:style w:type="paragraph" w:customStyle="1" w:styleId="AppendixBodyText">
    <w:name w:val="Appendix Body Text"/>
    <w:basedOn w:val="Normal"/>
    <w:link w:val="AppendixBodyTextChar"/>
    <w:uiPriority w:val="2"/>
    <w:rsid w:val="00B50845"/>
    <w:pPr>
      <w:spacing w:after="200"/>
      <w:jc w:val="both"/>
    </w:pPr>
  </w:style>
  <w:style w:type="character" w:customStyle="1" w:styleId="AppendixBodyTextChar">
    <w:name w:val="Appendix Body Text Char"/>
    <w:basedOn w:val="DefaultParagraphFont"/>
    <w:link w:val="AppendixBodyText"/>
    <w:uiPriority w:val="2"/>
    <w:rsid w:val="00B50845"/>
    <w:rPr>
      <w:rFonts w:ascii="Segoe UI" w:hAnsi="Segoe UI"/>
      <w:szCs w:val="24"/>
      <w:lang w:val="en-US" w:bidi="en-US"/>
    </w:rPr>
  </w:style>
  <w:style w:type="paragraph" w:customStyle="1" w:styleId="Subject">
    <w:name w:val="Subject"/>
    <w:basedOn w:val="Normal"/>
    <w:next w:val="BodyText"/>
    <w:link w:val="SubjectChar"/>
    <w:rsid w:val="00B50845"/>
    <w:pPr>
      <w:spacing w:after="300"/>
      <w:contextualSpacing/>
    </w:pPr>
    <w:rPr>
      <w:rFonts w:cstheme="minorBidi"/>
      <w:color w:val="009FE3"/>
      <w:sz w:val="22"/>
      <w:szCs w:val="22"/>
    </w:rPr>
  </w:style>
  <w:style w:type="character" w:customStyle="1" w:styleId="SubjectChar">
    <w:name w:val="Subject Char"/>
    <w:basedOn w:val="DefaultParagraphFont"/>
    <w:link w:val="Subject"/>
    <w:rsid w:val="00B50845"/>
    <w:rPr>
      <w:rFonts w:ascii="Segoe UI" w:hAnsi="Segoe UI" w:cstheme="minorBidi"/>
      <w:color w:val="009FE3"/>
      <w:sz w:val="22"/>
      <w:szCs w:val="22"/>
      <w:lang w:val="en-US" w:bidi="en-US"/>
    </w:rPr>
  </w:style>
  <w:style w:type="paragraph" w:styleId="BodyText">
    <w:name w:val="Body Text"/>
    <w:basedOn w:val="Normal"/>
    <w:link w:val="BodyTextChar"/>
    <w:qFormat/>
    <w:rsid w:val="00F14EED"/>
    <w:pPr>
      <w:spacing w:after="200"/>
      <w:jc w:val="both"/>
    </w:pPr>
    <w:rPr>
      <w:szCs w:val="20"/>
      <w:lang w:val="en-GB" w:bidi="ar-SA"/>
    </w:rPr>
  </w:style>
  <w:style w:type="character" w:customStyle="1" w:styleId="BodyTextChar">
    <w:name w:val="Body Text Char"/>
    <w:basedOn w:val="DefaultParagraphFont"/>
    <w:link w:val="BodyText"/>
    <w:rsid w:val="00F14EED"/>
    <w:rPr>
      <w:rFonts w:ascii="Segoe UI" w:hAnsi="Segoe UI"/>
    </w:rPr>
  </w:style>
  <w:style w:type="paragraph" w:customStyle="1" w:styleId="AppendixListBullet">
    <w:name w:val="Appendix List Bullet"/>
    <w:basedOn w:val="ListBullet"/>
    <w:uiPriority w:val="2"/>
    <w:semiHidden/>
    <w:qFormat/>
    <w:rsid w:val="00F14EED"/>
    <w:pPr>
      <w:numPr>
        <w:numId w:val="0"/>
      </w:numPr>
    </w:pPr>
  </w:style>
  <w:style w:type="paragraph" w:styleId="ListBullet">
    <w:name w:val="List Bullet"/>
    <w:basedOn w:val="Normal"/>
    <w:uiPriority w:val="1"/>
    <w:semiHidden/>
    <w:qFormat/>
    <w:rsid w:val="00F14EED"/>
    <w:pPr>
      <w:numPr>
        <w:numId w:val="25"/>
      </w:numPr>
      <w:spacing w:after="240" w:line="276" w:lineRule="auto"/>
      <w:contextualSpacing/>
    </w:pPr>
    <w:rPr>
      <w:szCs w:val="20"/>
      <w:lang w:val="en-GB" w:bidi="ar-SA"/>
    </w:rPr>
  </w:style>
  <w:style w:type="paragraph" w:customStyle="1" w:styleId="AppendixListNumber">
    <w:name w:val="Appendix List Number"/>
    <w:basedOn w:val="ListNumber"/>
    <w:uiPriority w:val="2"/>
    <w:semiHidden/>
    <w:qFormat/>
    <w:rsid w:val="00F14EED"/>
    <w:pPr>
      <w:numPr>
        <w:numId w:val="0"/>
      </w:numPr>
    </w:pPr>
  </w:style>
  <w:style w:type="paragraph" w:styleId="ListNumber">
    <w:name w:val="List Number"/>
    <w:basedOn w:val="Normal"/>
    <w:uiPriority w:val="1"/>
    <w:semiHidden/>
    <w:qFormat/>
    <w:rsid w:val="00F14EED"/>
    <w:pPr>
      <w:numPr>
        <w:numId w:val="26"/>
      </w:numPr>
      <w:spacing w:after="240" w:line="276" w:lineRule="auto"/>
      <w:contextualSpacing/>
    </w:pPr>
    <w:rPr>
      <w:szCs w:val="20"/>
      <w:lang w:val="en-GB" w:bidi="ar-SA"/>
    </w:rPr>
  </w:style>
  <w:style w:type="paragraph" w:customStyle="1" w:styleId="AppendixSubheading">
    <w:name w:val="Appendix Subheading"/>
    <w:basedOn w:val="Normal"/>
    <w:next w:val="AppendixBodyText"/>
    <w:uiPriority w:val="2"/>
    <w:rsid w:val="00B50845"/>
    <w:pPr>
      <w:spacing w:before="240" w:after="120"/>
    </w:pPr>
    <w:rPr>
      <w:b/>
      <w:color w:val="009FE3" w:themeColor="background2"/>
      <w:sz w:val="28"/>
    </w:rPr>
  </w:style>
  <w:style w:type="paragraph" w:customStyle="1" w:styleId="LetterSubheading">
    <w:name w:val="Letter Subheading"/>
    <w:basedOn w:val="Subject"/>
    <w:next w:val="BodyText"/>
    <w:link w:val="LetterSubheadingChar"/>
    <w:uiPriority w:val="1"/>
    <w:qFormat/>
    <w:rsid w:val="00F14EED"/>
    <w:pPr>
      <w:spacing w:after="120"/>
    </w:pPr>
    <w:rPr>
      <w:rFonts w:ascii="Segoe UI Semibold" w:hAnsi="Segoe UI Semibold"/>
    </w:rPr>
  </w:style>
  <w:style w:type="character" w:customStyle="1" w:styleId="LetterSubheadingChar">
    <w:name w:val="Letter Subheading Char"/>
    <w:basedOn w:val="SubjectChar"/>
    <w:link w:val="LetterSubheading"/>
    <w:uiPriority w:val="1"/>
    <w:rsid w:val="00F14EED"/>
    <w:rPr>
      <w:rFonts w:ascii="Segoe UI Semibold" w:hAnsi="Segoe UI Semibold" w:cstheme="minorBidi"/>
      <w:color w:val="009FE3"/>
      <w:sz w:val="22"/>
      <w:szCs w:val="22"/>
      <w:lang w:val="en-US" w:bidi="en-US"/>
    </w:rPr>
  </w:style>
  <w:style w:type="paragraph" w:customStyle="1" w:styleId="bwTableText">
    <w:name w:val="bwTableText"/>
    <w:basedOn w:val="NoSpacing"/>
    <w:qFormat/>
    <w:rsid w:val="00B50845"/>
    <w:pPr>
      <w:keepNext/>
    </w:pPr>
  </w:style>
  <w:style w:type="paragraph" w:styleId="NoSpacing">
    <w:name w:val="No Spacing"/>
    <w:basedOn w:val="Normal"/>
    <w:link w:val="NoSpacingChar"/>
    <w:qFormat/>
    <w:rsid w:val="00F14EED"/>
    <w:rPr>
      <w:szCs w:val="32"/>
      <w:lang w:val="en-GB" w:bidi="ar-SA"/>
    </w:rPr>
  </w:style>
  <w:style w:type="character" w:customStyle="1" w:styleId="Heading1Char">
    <w:name w:val="Heading 1 Char"/>
    <w:basedOn w:val="DefaultParagraphFont"/>
    <w:link w:val="Heading1"/>
    <w:rsid w:val="00F14EED"/>
    <w:rPr>
      <w:rFonts w:ascii="Segoe UI Semibold" w:eastAsiaTheme="majorEastAsia" w:hAnsi="Segoe UI Semibold"/>
      <w:bCs/>
      <w:color w:val="0069B4"/>
      <w:kern w:val="32"/>
      <w:sz w:val="36"/>
      <w:szCs w:val="32"/>
    </w:rPr>
  </w:style>
  <w:style w:type="character" w:customStyle="1" w:styleId="Heading2Char">
    <w:name w:val="Heading 2 Char"/>
    <w:basedOn w:val="DefaultParagraphFont"/>
    <w:link w:val="Heading2"/>
    <w:rsid w:val="00F14EED"/>
    <w:rPr>
      <w:rFonts w:ascii="Segoe UI Semibold" w:eastAsiaTheme="majorEastAsia" w:hAnsi="Segoe UI Semibold"/>
      <w:bCs/>
      <w:iCs/>
      <w:color w:val="009FE3"/>
      <w:sz w:val="28"/>
      <w:szCs w:val="28"/>
    </w:rPr>
  </w:style>
  <w:style w:type="character" w:customStyle="1" w:styleId="Heading3Char">
    <w:name w:val="Heading 3 Char"/>
    <w:basedOn w:val="DefaultParagraphFont"/>
    <w:link w:val="Heading3"/>
    <w:rsid w:val="00292E61"/>
    <w:rPr>
      <w:rFonts w:ascii="Segoe UI Semibold" w:eastAsiaTheme="majorEastAsia" w:hAnsi="Segoe UI Semibold"/>
      <w:bCs/>
      <w:color w:val="68C0B5"/>
      <w:sz w:val="24"/>
      <w:szCs w:val="26"/>
    </w:rPr>
  </w:style>
  <w:style w:type="character" w:customStyle="1" w:styleId="Heading5Char">
    <w:name w:val="Heading 5 Char"/>
    <w:basedOn w:val="DefaultParagraphFont"/>
    <w:link w:val="Heading5"/>
    <w:uiPriority w:val="9"/>
    <w:semiHidden/>
    <w:rsid w:val="00F14EED"/>
    <w:rPr>
      <w:rFonts w:ascii="Segoe UI" w:hAnsi="Segoe UI"/>
      <w:b/>
      <w:bCs/>
      <w:i/>
      <w:iCs/>
      <w:sz w:val="26"/>
      <w:szCs w:val="26"/>
    </w:rPr>
  </w:style>
  <w:style w:type="character" w:customStyle="1" w:styleId="Heading6Char">
    <w:name w:val="Heading 6 Char"/>
    <w:basedOn w:val="DefaultParagraphFont"/>
    <w:link w:val="Heading6"/>
    <w:uiPriority w:val="9"/>
    <w:semiHidden/>
    <w:rsid w:val="00F14EED"/>
    <w:rPr>
      <w:rFonts w:ascii="Segoe UI" w:hAnsi="Segoe UI"/>
      <w:b/>
      <w:bCs/>
    </w:rPr>
  </w:style>
  <w:style w:type="character" w:customStyle="1" w:styleId="Heading7Char">
    <w:name w:val="Heading 7 Char"/>
    <w:basedOn w:val="DefaultParagraphFont"/>
    <w:link w:val="Heading7"/>
    <w:uiPriority w:val="9"/>
    <w:semiHidden/>
    <w:rsid w:val="00F14EED"/>
    <w:rPr>
      <w:rFonts w:ascii="Segoe UI" w:hAnsi="Segoe UI"/>
      <w:sz w:val="24"/>
      <w:szCs w:val="24"/>
    </w:rPr>
  </w:style>
  <w:style w:type="character" w:customStyle="1" w:styleId="Heading8Char">
    <w:name w:val="Heading 8 Char"/>
    <w:basedOn w:val="DefaultParagraphFont"/>
    <w:link w:val="Heading8"/>
    <w:uiPriority w:val="9"/>
    <w:semiHidden/>
    <w:rsid w:val="00F14EED"/>
    <w:rPr>
      <w:rFonts w:ascii="Segoe UI" w:hAnsi="Segoe UI"/>
      <w:i/>
      <w:iCs/>
      <w:sz w:val="24"/>
      <w:szCs w:val="24"/>
    </w:rPr>
  </w:style>
  <w:style w:type="character" w:customStyle="1" w:styleId="Heading9Char">
    <w:name w:val="Heading 9 Char"/>
    <w:basedOn w:val="DefaultParagraphFont"/>
    <w:link w:val="Heading9"/>
    <w:uiPriority w:val="9"/>
    <w:semiHidden/>
    <w:rsid w:val="00F14EED"/>
    <w:rPr>
      <w:rFonts w:asciiTheme="majorHAnsi" w:eastAsiaTheme="majorEastAsia" w:hAnsiTheme="majorHAnsi"/>
    </w:rPr>
  </w:style>
  <w:style w:type="paragraph" w:styleId="List">
    <w:name w:val="List"/>
    <w:aliases w:val="Bullet List"/>
    <w:basedOn w:val="Normal"/>
    <w:link w:val="ListChar"/>
    <w:qFormat/>
    <w:rsid w:val="00F14EED"/>
    <w:pPr>
      <w:numPr>
        <w:numId w:val="24"/>
      </w:numPr>
      <w:spacing w:after="200" w:line="276" w:lineRule="auto"/>
      <w:contextualSpacing/>
    </w:pPr>
    <w:rPr>
      <w:szCs w:val="20"/>
      <w:lang w:val="en-GB" w:bidi="ar-SA"/>
    </w:rPr>
  </w:style>
  <w:style w:type="paragraph" w:styleId="Title">
    <w:name w:val="Title"/>
    <w:basedOn w:val="Normal"/>
    <w:next w:val="Heading1"/>
    <w:link w:val="TitleChar"/>
    <w:uiPriority w:val="10"/>
    <w:qFormat/>
    <w:rsid w:val="00B50845"/>
    <w:pPr>
      <w:spacing w:before="240" w:after="720"/>
      <w:jc w:val="center"/>
    </w:pPr>
    <w:rPr>
      <w:b/>
      <w:color w:val="009FE3" w:themeColor="background2"/>
      <w:sz w:val="44"/>
      <w:szCs w:val="44"/>
    </w:rPr>
  </w:style>
  <w:style w:type="character" w:customStyle="1" w:styleId="TitleChar">
    <w:name w:val="Title Char"/>
    <w:basedOn w:val="DefaultParagraphFont"/>
    <w:link w:val="Title"/>
    <w:uiPriority w:val="10"/>
    <w:rsid w:val="00B50845"/>
    <w:rPr>
      <w:rFonts w:ascii="Segoe UI" w:hAnsi="Segoe UI"/>
      <w:b/>
      <w:color w:val="009FE3" w:themeColor="background2"/>
      <w:sz w:val="44"/>
      <w:szCs w:val="44"/>
      <w:lang w:val="en-US" w:bidi="en-US"/>
    </w:rPr>
  </w:style>
  <w:style w:type="paragraph" w:styleId="Closing">
    <w:name w:val="Closing"/>
    <w:basedOn w:val="Normal"/>
    <w:link w:val="ClosingChar"/>
    <w:uiPriority w:val="1"/>
    <w:qFormat/>
    <w:rsid w:val="00F14EED"/>
    <w:pPr>
      <w:spacing w:before="360" w:after="840"/>
    </w:pPr>
    <w:rPr>
      <w:szCs w:val="20"/>
      <w:lang w:val="en-GB" w:bidi="ar-SA"/>
    </w:rPr>
  </w:style>
  <w:style w:type="character" w:customStyle="1" w:styleId="ClosingChar">
    <w:name w:val="Closing Char"/>
    <w:basedOn w:val="DefaultParagraphFont"/>
    <w:link w:val="Closing"/>
    <w:uiPriority w:val="1"/>
    <w:rsid w:val="00F14EED"/>
    <w:rPr>
      <w:rFonts w:ascii="Segoe UI" w:hAnsi="Segoe UI"/>
    </w:rPr>
  </w:style>
  <w:style w:type="paragraph" w:styleId="Signature">
    <w:name w:val="Signature"/>
    <w:basedOn w:val="Normal"/>
    <w:link w:val="SignatureChar"/>
    <w:qFormat/>
    <w:rsid w:val="00F14EED"/>
    <w:rPr>
      <w:rFonts w:cstheme="minorBidi"/>
      <w:b/>
      <w:szCs w:val="22"/>
      <w:lang w:val="en-GB" w:bidi="ar-SA"/>
    </w:rPr>
  </w:style>
  <w:style w:type="character" w:customStyle="1" w:styleId="SignatureChar">
    <w:name w:val="Signature Char"/>
    <w:basedOn w:val="DefaultParagraphFont"/>
    <w:link w:val="Signature"/>
    <w:rsid w:val="00F14EED"/>
    <w:rPr>
      <w:rFonts w:ascii="Segoe UI" w:hAnsi="Segoe UI" w:cstheme="minorBidi"/>
      <w:b/>
      <w:szCs w:val="22"/>
    </w:rPr>
  </w:style>
  <w:style w:type="paragraph" w:styleId="Salutation">
    <w:name w:val="Salutation"/>
    <w:basedOn w:val="Normal"/>
    <w:next w:val="Normal"/>
    <w:link w:val="SalutationChar"/>
    <w:uiPriority w:val="1"/>
    <w:rsid w:val="00B50845"/>
    <w:pPr>
      <w:spacing w:after="240"/>
    </w:pPr>
  </w:style>
  <w:style w:type="character" w:customStyle="1" w:styleId="SalutationChar">
    <w:name w:val="Salutation Char"/>
    <w:basedOn w:val="DefaultParagraphFont"/>
    <w:link w:val="Salutation"/>
    <w:uiPriority w:val="1"/>
    <w:rsid w:val="00B50845"/>
    <w:rPr>
      <w:rFonts w:ascii="Segoe UI" w:hAnsi="Segoe UI"/>
      <w:szCs w:val="24"/>
      <w:lang w:val="en-US" w:bidi="en-US"/>
    </w:rPr>
  </w:style>
  <w:style w:type="paragraph" w:styleId="Date">
    <w:name w:val="Date"/>
    <w:basedOn w:val="Normal"/>
    <w:next w:val="Normal"/>
    <w:link w:val="DateChar"/>
    <w:uiPriority w:val="1"/>
    <w:qFormat/>
    <w:rsid w:val="00F14EED"/>
    <w:pPr>
      <w:jc w:val="right"/>
    </w:pPr>
    <w:rPr>
      <w:sz w:val="22"/>
      <w:szCs w:val="20"/>
      <w:lang w:val="en-GB" w:bidi="ar-SA"/>
    </w:rPr>
  </w:style>
  <w:style w:type="character" w:customStyle="1" w:styleId="DateChar">
    <w:name w:val="Date Char"/>
    <w:basedOn w:val="DefaultParagraphFont"/>
    <w:link w:val="Date"/>
    <w:uiPriority w:val="1"/>
    <w:rsid w:val="00F14EED"/>
    <w:rPr>
      <w:rFonts w:ascii="Segoe UI" w:hAnsi="Segoe UI"/>
      <w:sz w:val="22"/>
    </w:rPr>
  </w:style>
  <w:style w:type="paragraph" w:styleId="BodyText2">
    <w:name w:val="Body Text 2"/>
    <w:basedOn w:val="BodyText"/>
    <w:link w:val="BodyText2Char"/>
    <w:uiPriority w:val="99"/>
    <w:semiHidden/>
    <w:qFormat/>
    <w:rsid w:val="00F14EED"/>
  </w:style>
  <w:style w:type="character" w:customStyle="1" w:styleId="BodyText2Char">
    <w:name w:val="Body Text 2 Char"/>
    <w:basedOn w:val="DefaultParagraphFont"/>
    <w:link w:val="BodyText2"/>
    <w:uiPriority w:val="99"/>
    <w:semiHidden/>
    <w:rsid w:val="00F14EED"/>
    <w:rPr>
      <w:rFonts w:ascii="Segoe UI" w:hAnsi="Segoe UI"/>
    </w:rPr>
  </w:style>
  <w:style w:type="character" w:styleId="Hyperlink">
    <w:name w:val="Hyperlink"/>
    <w:basedOn w:val="DefaultParagraphFont"/>
    <w:uiPriority w:val="99"/>
    <w:unhideWhenUsed/>
    <w:qFormat/>
    <w:rsid w:val="00F14EED"/>
    <w:rPr>
      <w:rFonts w:ascii="Segoe UI" w:hAnsi="Segoe UI"/>
      <w:color w:val="009FE3"/>
      <w:sz w:val="20"/>
      <w:u w:val="single"/>
    </w:rPr>
  </w:style>
  <w:style w:type="character" w:customStyle="1" w:styleId="NoSpacingChar">
    <w:name w:val="No Spacing Char"/>
    <w:basedOn w:val="DefaultParagraphFont"/>
    <w:link w:val="NoSpacing"/>
    <w:rsid w:val="00F14EED"/>
    <w:rPr>
      <w:rFonts w:ascii="Segoe UI" w:hAnsi="Segoe UI"/>
      <w:szCs w:val="32"/>
    </w:rPr>
  </w:style>
  <w:style w:type="paragraph" w:styleId="TOCHeading">
    <w:name w:val="TOC Heading"/>
    <w:next w:val="Normal"/>
    <w:uiPriority w:val="39"/>
    <w:qFormat/>
    <w:rsid w:val="00B50845"/>
    <w:pPr>
      <w:keepNext/>
      <w:spacing w:before="200"/>
    </w:pPr>
    <w:rPr>
      <w:rFonts w:ascii="Segoe UI" w:eastAsiaTheme="majorEastAsia" w:hAnsi="Segoe UI"/>
      <w:b/>
      <w:bCs/>
      <w:color w:val="009FE3" w:themeColor="background2"/>
      <w:kern w:val="32"/>
      <w:sz w:val="36"/>
      <w:szCs w:val="32"/>
    </w:rPr>
  </w:style>
  <w:style w:type="paragraph" w:customStyle="1" w:styleId="NumberedList">
    <w:name w:val="Numbered List"/>
    <w:basedOn w:val="List"/>
    <w:link w:val="NumberedListChar"/>
    <w:qFormat/>
    <w:rsid w:val="00F14EED"/>
    <w:pPr>
      <w:numPr>
        <w:numId w:val="27"/>
      </w:numPr>
    </w:pPr>
  </w:style>
  <w:style w:type="paragraph" w:customStyle="1" w:styleId="Frontpageheader1">
    <w:name w:val="Front page header 1"/>
    <w:basedOn w:val="Heading1"/>
    <w:link w:val="Frontpageheader1Char"/>
    <w:qFormat/>
    <w:rsid w:val="00F14EED"/>
    <w:rPr>
      <w:sz w:val="56"/>
      <w:szCs w:val="56"/>
    </w:rPr>
  </w:style>
  <w:style w:type="character" w:customStyle="1" w:styleId="ListChar">
    <w:name w:val="List Char"/>
    <w:aliases w:val="Bullet List Char"/>
    <w:basedOn w:val="DefaultParagraphFont"/>
    <w:link w:val="List"/>
    <w:rsid w:val="00F14EED"/>
    <w:rPr>
      <w:rFonts w:ascii="Segoe UI" w:hAnsi="Segoe UI"/>
    </w:rPr>
  </w:style>
  <w:style w:type="character" w:customStyle="1" w:styleId="NumberedListChar">
    <w:name w:val="Numbered List Char"/>
    <w:basedOn w:val="ListChar"/>
    <w:link w:val="NumberedList"/>
    <w:rsid w:val="00F14EED"/>
    <w:rPr>
      <w:rFonts w:ascii="Segoe UI" w:hAnsi="Segoe UI"/>
    </w:rPr>
  </w:style>
  <w:style w:type="paragraph" w:customStyle="1" w:styleId="Frontpagedetails">
    <w:name w:val="Front page details"/>
    <w:basedOn w:val="Frontpageheader1"/>
    <w:link w:val="FrontpagedetailsChar"/>
    <w:qFormat/>
    <w:rsid w:val="00F14EED"/>
    <w:rPr>
      <w:color w:val="797979"/>
      <w:sz w:val="24"/>
      <w:szCs w:val="36"/>
    </w:rPr>
  </w:style>
  <w:style w:type="character" w:customStyle="1" w:styleId="Frontpageheader1Char">
    <w:name w:val="Front page header 1 Char"/>
    <w:basedOn w:val="Heading1Char"/>
    <w:link w:val="Frontpageheader1"/>
    <w:rsid w:val="00F14EED"/>
    <w:rPr>
      <w:rFonts w:ascii="Segoe UI Semibold" w:eastAsiaTheme="majorEastAsia" w:hAnsi="Segoe UI Semibold"/>
      <w:bCs/>
      <w:color w:val="0069B4"/>
      <w:kern w:val="32"/>
      <w:sz w:val="56"/>
      <w:szCs w:val="56"/>
    </w:rPr>
  </w:style>
  <w:style w:type="paragraph" w:customStyle="1" w:styleId="Frontpagedate">
    <w:name w:val="Front page date"/>
    <w:basedOn w:val="Frontpagedetails"/>
    <w:link w:val="FrontpagedateChar"/>
    <w:qFormat/>
    <w:rsid w:val="00F14EED"/>
    <w:rPr>
      <w:sz w:val="16"/>
    </w:rPr>
  </w:style>
  <w:style w:type="character" w:customStyle="1" w:styleId="FrontpagedetailsChar">
    <w:name w:val="Front page details Char"/>
    <w:basedOn w:val="Frontpageheader1Char"/>
    <w:link w:val="Frontpagedetails"/>
    <w:rsid w:val="00F14EED"/>
    <w:rPr>
      <w:rFonts w:ascii="Segoe UI Semibold" w:eastAsiaTheme="majorEastAsia" w:hAnsi="Segoe UI Semibold"/>
      <w:bCs/>
      <w:color w:val="797979"/>
      <w:kern w:val="32"/>
      <w:sz w:val="24"/>
      <w:szCs w:val="36"/>
    </w:rPr>
  </w:style>
  <w:style w:type="table" w:customStyle="1" w:styleId="bwTable">
    <w:name w:val="bwTable"/>
    <w:basedOn w:val="TableNormal"/>
    <w:uiPriority w:val="99"/>
    <w:qFormat/>
    <w:rsid w:val="00B50845"/>
    <w:pPr>
      <w:spacing w:after="0" w:line="240" w:lineRule="auto"/>
    </w:pPr>
    <w:rPr>
      <w:lang w:val="en-US" w:bidi="en-US"/>
    </w:rPr>
    <w:tblPr>
      <w:tblStyleRowBandSize w:val="1"/>
      <w:tblStyleColBandSize w:val="1"/>
      <w:tblBorders>
        <w:top w:val="single" w:sz="4" w:space="0" w:color="BFBFBF" w:themeColor="background1" w:themeShade="BF"/>
        <w:bottom w:val="single" w:sz="4" w:space="0" w:color="BFBFBF" w:themeColor="background1" w:themeShade="BF"/>
      </w:tblBorders>
      <w:tblCellMar>
        <w:top w:w="108" w:type="dxa"/>
        <w:bottom w:w="108" w:type="dxa"/>
      </w:tblCellMar>
    </w:tblPr>
    <w:tcPr>
      <w:shd w:val="clear" w:color="auto" w:fill="auto"/>
      <w:vAlign w:val="center"/>
    </w:tcPr>
    <w:tblStylePr w:type="firstRow">
      <w:rPr>
        <w:rFonts w:asciiTheme="minorHAnsi" w:hAnsiTheme="minorHAnsi"/>
        <w:b w:val="0"/>
        <w:color w:val="00857E" w:themeColor="accent1"/>
        <w:sz w:val="20"/>
      </w:rPr>
      <w:tblPr/>
      <w:tcPr>
        <w:tcBorders>
          <w:top w:val="single" w:sz="4" w:space="0" w:color="009FE3"/>
          <w:bottom w:val="single" w:sz="4" w:space="0" w:color="009FE3"/>
        </w:tcBorders>
        <w:shd w:val="clear" w:color="auto" w:fill="auto"/>
      </w:tcPr>
    </w:tblStylePr>
    <w:tblStylePr w:type="lastRow">
      <w:rPr>
        <w:rFonts w:asciiTheme="minorHAnsi" w:hAnsiTheme="minorHAnsi"/>
        <w:sz w:val="20"/>
      </w:rPr>
      <w:tblPr/>
      <w:tcPr>
        <w:tcBorders>
          <w:top w:val="single" w:sz="4" w:space="0" w:color="BFBFBF" w:themeColor="background1" w:themeShade="BF"/>
          <w:left w:val="nil"/>
          <w:bottom w:val="nil"/>
          <w:right w:val="nil"/>
          <w:insideH w:val="nil"/>
          <w:insideV w:val="nil"/>
          <w:tl2br w:val="nil"/>
          <w:tr2bl w:val="nil"/>
        </w:tcBorders>
        <w:shd w:val="clear" w:color="auto" w:fill="auto"/>
      </w:tcPr>
    </w:tblStylePr>
    <w:tblStylePr w:type="band1Horz">
      <w:rPr>
        <w:rFonts w:asciiTheme="minorHAnsi" w:hAnsiTheme="minorHAnsi"/>
        <w:sz w:val="20"/>
      </w:rPr>
      <w:tblPr/>
      <w:tcPr>
        <w:tcBorders>
          <w:top w:val="single" w:sz="4" w:space="0" w:color="BFBFBF" w:themeColor="background1" w:themeShade="BF"/>
          <w:left w:val="nil"/>
          <w:bottom w:val="nil"/>
          <w:right w:val="nil"/>
          <w:insideH w:val="nil"/>
          <w:insideV w:val="nil"/>
          <w:tl2br w:val="nil"/>
          <w:tr2bl w:val="nil"/>
        </w:tcBorders>
        <w:shd w:val="clear" w:color="auto" w:fill="auto"/>
      </w:tcPr>
    </w:tblStylePr>
    <w:tblStylePr w:type="band2Horz">
      <w:rPr>
        <w:rFonts w:asciiTheme="minorHAnsi" w:hAnsiTheme="minorHAnsi"/>
        <w:sz w:val="20"/>
      </w:rPr>
      <w:tblPr/>
      <w:tcPr>
        <w:tcBorders>
          <w:top w:val="single" w:sz="4" w:space="0" w:color="BFBFBF" w:themeColor="background1" w:themeShade="BF"/>
          <w:left w:val="nil"/>
          <w:bottom w:val="nil"/>
          <w:right w:val="nil"/>
          <w:insideH w:val="nil"/>
          <w:insideV w:val="nil"/>
          <w:tl2br w:val="nil"/>
          <w:tr2bl w:val="nil"/>
        </w:tcBorders>
        <w:shd w:val="clear" w:color="auto" w:fill="auto"/>
      </w:tcPr>
    </w:tblStylePr>
  </w:style>
  <w:style w:type="character" w:customStyle="1" w:styleId="FrontpagedateChar">
    <w:name w:val="Front page date Char"/>
    <w:basedOn w:val="FrontpagedetailsChar"/>
    <w:link w:val="Frontpagedate"/>
    <w:rsid w:val="00F14EED"/>
    <w:rPr>
      <w:rFonts w:ascii="Segoe UI Semibold" w:eastAsiaTheme="majorEastAsia" w:hAnsi="Segoe UI Semibold"/>
      <w:bCs/>
      <w:color w:val="797979"/>
      <w:kern w:val="32"/>
      <w:sz w:val="16"/>
      <w:szCs w:val="36"/>
    </w:rPr>
  </w:style>
  <w:style w:type="paragraph" w:styleId="Header">
    <w:name w:val="header"/>
    <w:basedOn w:val="Normal"/>
    <w:link w:val="HeaderChar"/>
    <w:uiPriority w:val="99"/>
    <w:unhideWhenUsed/>
    <w:rsid w:val="00B50845"/>
    <w:pPr>
      <w:tabs>
        <w:tab w:val="center" w:pos="4513"/>
        <w:tab w:val="right" w:pos="9026"/>
      </w:tabs>
    </w:pPr>
  </w:style>
  <w:style w:type="character" w:customStyle="1" w:styleId="HeaderChar">
    <w:name w:val="Header Char"/>
    <w:basedOn w:val="DefaultParagraphFont"/>
    <w:link w:val="Header"/>
    <w:uiPriority w:val="99"/>
    <w:rsid w:val="00B50845"/>
    <w:rPr>
      <w:rFonts w:ascii="Segoe UI" w:hAnsi="Segoe UI"/>
      <w:szCs w:val="24"/>
      <w:lang w:val="en-US" w:bidi="en-US"/>
    </w:rPr>
  </w:style>
  <w:style w:type="paragraph" w:styleId="Footer">
    <w:name w:val="footer"/>
    <w:basedOn w:val="Normal"/>
    <w:link w:val="FooterChar"/>
    <w:uiPriority w:val="99"/>
    <w:unhideWhenUsed/>
    <w:rsid w:val="00B50845"/>
    <w:pPr>
      <w:tabs>
        <w:tab w:val="center" w:pos="4513"/>
        <w:tab w:val="right" w:pos="9026"/>
      </w:tabs>
    </w:pPr>
  </w:style>
  <w:style w:type="character" w:customStyle="1" w:styleId="FooterChar">
    <w:name w:val="Footer Char"/>
    <w:basedOn w:val="DefaultParagraphFont"/>
    <w:link w:val="Footer"/>
    <w:uiPriority w:val="99"/>
    <w:rsid w:val="00B50845"/>
    <w:rPr>
      <w:rFonts w:ascii="Segoe UI" w:hAnsi="Segoe UI"/>
      <w:szCs w:val="24"/>
      <w:lang w:val="en-US" w:bidi="en-US"/>
    </w:rPr>
  </w:style>
  <w:style w:type="character" w:styleId="PlaceholderText">
    <w:name w:val="Placeholder Text"/>
    <w:basedOn w:val="DefaultParagraphFont"/>
    <w:uiPriority w:val="99"/>
    <w:semiHidden/>
    <w:rsid w:val="00B50845"/>
    <w:rPr>
      <w:color w:val="808080"/>
    </w:rPr>
  </w:style>
  <w:style w:type="paragraph" w:customStyle="1" w:styleId="Appendix">
    <w:name w:val="Appendix"/>
    <w:basedOn w:val="Heading1"/>
    <w:link w:val="AppendixChar"/>
    <w:rsid w:val="00B50845"/>
  </w:style>
  <w:style w:type="character" w:customStyle="1" w:styleId="AppendixChar">
    <w:name w:val="Appendix Char"/>
    <w:basedOn w:val="Heading1Char"/>
    <w:link w:val="Appendix"/>
    <w:rsid w:val="00B50845"/>
    <w:rPr>
      <w:rFonts w:asciiTheme="majorHAnsi" w:eastAsiaTheme="majorEastAsia" w:hAnsiTheme="majorHAnsi"/>
      <w:b w:val="0"/>
      <w:bCs/>
      <w:color w:val="0069B4"/>
      <w:kern w:val="32"/>
      <w:sz w:val="36"/>
      <w:szCs w:val="32"/>
      <w:lang w:val="en-US" w:bidi="en-US"/>
    </w:rPr>
  </w:style>
  <w:style w:type="table" w:styleId="TableGrid">
    <w:name w:val="Table Grid"/>
    <w:basedOn w:val="TableNormal"/>
    <w:uiPriority w:val="59"/>
    <w:rsid w:val="00B508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aliases w:val="Body text"/>
    <w:basedOn w:val="BodyText"/>
    <w:link w:val="NospacingChar0"/>
    <w:rsid w:val="00BE03C5"/>
  </w:style>
  <w:style w:type="character" w:customStyle="1" w:styleId="NospacingChar0">
    <w:name w:val="No spacing Char"/>
    <w:aliases w:val="Body text Char"/>
    <w:basedOn w:val="BodyTextChar"/>
    <w:link w:val="NoSpacing1"/>
    <w:rsid w:val="00A15DA4"/>
    <w:rPr>
      <w:rFonts w:asciiTheme="minorHAnsi" w:hAnsiTheme="minorHAnsi"/>
      <w:szCs w:val="24"/>
      <w:lang w:val="en-US" w:bidi="en-US"/>
    </w:rPr>
  </w:style>
  <w:style w:type="paragraph" w:styleId="TOC1">
    <w:name w:val="toc 1"/>
    <w:basedOn w:val="Normal"/>
    <w:next w:val="Normal"/>
    <w:autoRedefine/>
    <w:uiPriority w:val="39"/>
    <w:unhideWhenUsed/>
    <w:rsid w:val="00483F3D"/>
    <w:pPr>
      <w:spacing w:after="100"/>
    </w:pPr>
  </w:style>
  <w:style w:type="paragraph" w:styleId="TOC2">
    <w:name w:val="toc 2"/>
    <w:basedOn w:val="Normal"/>
    <w:next w:val="Normal"/>
    <w:autoRedefine/>
    <w:uiPriority w:val="39"/>
    <w:unhideWhenUsed/>
    <w:rsid w:val="00483F3D"/>
    <w:pPr>
      <w:spacing w:after="100"/>
      <w:ind w:left="200"/>
    </w:pPr>
  </w:style>
  <w:style w:type="paragraph" w:styleId="TOC3">
    <w:name w:val="toc 3"/>
    <w:basedOn w:val="Normal"/>
    <w:next w:val="Normal"/>
    <w:autoRedefine/>
    <w:uiPriority w:val="39"/>
    <w:unhideWhenUsed/>
    <w:rsid w:val="00483F3D"/>
    <w:pPr>
      <w:spacing w:after="100"/>
      <w:ind w:left="400"/>
    </w:pPr>
  </w:style>
  <w:style w:type="paragraph" w:styleId="ListParagraph">
    <w:name w:val="List Paragraph"/>
    <w:basedOn w:val="Normal"/>
    <w:uiPriority w:val="34"/>
    <w:rsid w:val="5162FEF7"/>
    <w:pPr>
      <w:ind w:left="720"/>
      <w:contextualSpacing/>
    </w:pPr>
  </w:style>
  <w:style w:type="character" w:styleId="CommentReference">
    <w:name w:val="annotation reference"/>
    <w:basedOn w:val="DefaultParagraphFont"/>
    <w:uiPriority w:val="99"/>
    <w:semiHidden/>
    <w:unhideWhenUsed/>
    <w:rsid w:val="00BC28D7"/>
    <w:rPr>
      <w:sz w:val="16"/>
      <w:szCs w:val="16"/>
    </w:rPr>
  </w:style>
  <w:style w:type="paragraph" w:styleId="CommentText">
    <w:name w:val="annotation text"/>
    <w:basedOn w:val="Normal"/>
    <w:link w:val="CommentTextChar"/>
    <w:uiPriority w:val="99"/>
    <w:unhideWhenUsed/>
    <w:rsid w:val="00BC28D7"/>
    <w:rPr>
      <w:szCs w:val="20"/>
    </w:rPr>
  </w:style>
  <w:style w:type="character" w:customStyle="1" w:styleId="CommentTextChar">
    <w:name w:val="Comment Text Char"/>
    <w:basedOn w:val="DefaultParagraphFont"/>
    <w:link w:val="CommentText"/>
    <w:uiPriority w:val="99"/>
    <w:rsid w:val="00BC28D7"/>
    <w:rPr>
      <w:rFonts w:ascii="Segoe UI" w:hAnsi="Segoe UI"/>
      <w:lang w:val="en-US" w:bidi="en-US"/>
    </w:rPr>
  </w:style>
  <w:style w:type="paragraph" w:styleId="CommentSubject">
    <w:name w:val="annotation subject"/>
    <w:basedOn w:val="CommentText"/>
    <w:next w:val="CommentText"/>
    <w:link w:val="CommentSubjectChar"/>
    <w:uiPriority w:val="99"/>
    <w:semiHidden/>
    <w:unhideWhenUsed/>
    <w:rsid w:val="008E047F"/>
    <w:rPr>
      <w:b/>
      <w:bCs/>
    </w:rPr>
  </w:style>
  <w:style w:type="character" w:customStyle="1" w:styleId="CommentSubjectChar">
    <w:name w:val="Comment Subject Char"/>
    <w:basedOn w:val="CommentTextChar"/>
    <w:link w:val="CommentSubject"/>
    <w:uiPriority w:val="99"/>
    <w:semiHidden/>
    <w:rsid w:val="008E047F"/>
    <w:rPr>
      <w:rFonts w:ascii="Segoe UI" w:hAnsi="Segoe UI"/>
      <w:b/>
      <w:bCs/>
      <w:lang w:val="en-US" w:bidi="en-US"/>
    </w:rPr>
  </w:style>
  <w:style w:type="paragraph" w:styleId="Revision">
    <w:name w:val="Revision"/>
    <w:hidden/>
    <w:uiPriority w:val="99"/>
    <w:semiHidden/>
    <w:rsid w:val="008E047F"/>
    <w:pPr>
      <w:spacing w:after="0" w:line="240" w:lineRule="auto"/>
    </w:pPr>
    <w:rPr>
      <w:rFonts w:ascii="Segoe UI" w:hAnsi="Segoe UI"/>
      <w:szCs w:val="24"/>
      <w:lang w:val="en-US" w:bidi="en-US"/>
    </w:rPr>
  </w:style>
  <w:style w:type="table" w:styleId="GridTable1Light">
    <w:name w:val="Grid Table 1 Light"/>
    <w:basedOn w:val="TableNormal"/>
    <w:uiPriority w:val="46"/>
    <w:rsid w:val="006719FC"/>
    <w:pPr>
      <w:spacing w:after="0" w:line="240" w:lineRule="auto"/>
    </w:pPr>
    <w:tblPr>
      <w:tblStyleRowBandSize w:val="1"/>
      <w:tblStyleColBandSize w:val="1"/>
      <w:tblBorders>
        <w:top w:val="single" w:sz="4" w:space="0" w:color="B4B3B6" w:themeColor="text1" w:themeTint="66"/>
        <w:left w:val="single" w:sz="4" w:space="0" w:color="B4B3B6" w:themeColor="text1" w:themeTint="66"/>
        <w:bottom w:val="single" w:sz="4" w:space="0" w:color="B4B3B6" w:themeColor="text1" w:themeTint="66"/>
        <w:right w:val="single" w:sz="4" w:space="0" w:color="B4B3B6" w:themeColor="text1" w:themeTint="66"/>
        <w:insideH w:val="single" w:sz="4" w:space="0" w:color="B4B3B6" w:themeColor="text1" w:themeTint="66"/>
        <w:insideV w:val="single" w:sz="4" w:space="0" w:color="B4B3B6" w:themeColor="text1" w:themeTint="66"/>
      </w:tblBorders>
    </w:tblPr>
    <w:tblStylePr w:type="firstRow">
      <w:rPr>
        <w:b/>
        <w:bCs/>
      </w:rPr>
      <w:tblPr/>
      <w:tcPr>
        <w:tcBorders>
          <w:bottom w:val="single" w:sz="12" w:space="0" w:color="8F8E91" w:themeColor="text1" w:themeTint="99"/>
        </w:tcBorders>
      </w:tcPr>
    </w:tblStylePr>
    <w:tblStylePr w:type="lastRow">
      <w:rPr>
        <w:b/>
        <w:bCs/>
      </w:rPr>
      <w:tblPr/>
      <w:tcPr>
        <w:tcBorders>
          <w:top w:val="double" w:sz="2" w:space="0" w:color="8F8E91" w:themeColor="text1" w:themeTint="99"/>
        </w:tcBorders>
      </w:tcPr>
    </w:tblStylePr>
    <w:tblStylePr w:type="firstCol">
      <w:rPr>
        <w:b/>
        <w:bCs/>
      </w:rPr>
    </w:tblStylePr>
    <w:tblStylePr w:type="lastCol">
      <w:rPr>
        <w:b/>
        <w:bCs/>
      </w:rPr>
    </w:tblStylePr>
  </w:style>
  <w:style w:type="paragraph" w:customStyle="1" w:styleId="Frontpageheader2">
    <w:name w:val="Front page header 2"/>
    <w:basedOn w:val="Frontpageheader1"/>
    <w:link w:val="Frontpageheader2Char"/>
    <w:qFormat/>
    <w:rsid w:val="00F14EED"/>
    <w:rPr>
      <w:color w:val="009FE3"/>
      <w:sz w:val="36"/>
      <w:szCs w:val="36"/>
    </w:rPr>
  </w:style>
  <w:style w:type="character" w:customStyle="1" w:styleId="Frontpageheader2Char">
    <w:name w:val="Front page header 2 Char"/>
    <w:basedOn w:val="Frontpageheader1Char"/>
    <w:link w:val="Frontpageheader2"/>
    <w:rsid w:val="00F14EED"/>
    <w:rPr>
      <w:rFonts w:ascii="Segoe UI Semibold" w:eastAsiaTheme="majorEastAsia" w:hAnsi="Segoe UI Semibold"/>
      <w:bCs/>
      <w:color w:val="009FE3"/>
      <w:kern w:val="32"/>
      <w:sz w:val="36"/>
      <w:szCs w:val="36"/>
    </w:rPr>
  </w:style>
  <w:style w:type="paragraph" w:styleId="FootnoteText">
    <w:name w:val="footnote text"/>
    <w:basedOn w:val="Normal"/>
    <w:link w:val="FootnoteTextChar"/>
    <w:uiPriority w:val="99"/>
    <w:semiHidden/>
    <w:unhideWhenUsed/>
    <w:rsid w:val="00A8177E"/>
    <w:rPr>
      <w:szCs w:val="20"/>
    </w:rPr>
  </w:style>
  <w:style w:type="character" w:customStyle="1" w:styleId="FootnoteTextChar">
    <w:name w:val="Footnote Text Char"/>
    <w:basedOn w:val="DefaultParagraphFont"/>
    <w:link w:val="FootnoteText"/>
    <w:uiPriority w:val="99"/>
    <w:semiHidden/>
    <w:rsid w:val="00A8177E"/>
    <w:rPr>
      <w:rFonts w:ascii="Segoe UI" w:hAnsi="Segoe UI"/>
      <w:lang w:val="en-US" w:bidi="en-US"/>
    </w:rPr>
  </w:style>
  <w:style w:type="character" w:styleId="FootnoteReference">
    <w:name w:val="footnote reference"/>
    <w:basedOn w:val="DefaultParagraphFont"/>
    <w:uiPriority w:val="99"/>
    <w:semiHidden/>
    <w:unhideWhenUsed/>
    <w:rsid w:val="00A8177E"/>
    <w:rPr>
      <w:vertAlign w:val="superscript"/>
    </w:rPr>
  </w:style>
  <w:style w:type="character" w:styleId="FollowedHyperlink">
    <w:name w:val="FollowedHyperlink"/>
    <w:basedOn w:val="DefaultParagraphFont"/>
    <w:uiPriority w:val="99"/>
    <w:semiHidden/>
    <w:unhideWhenUsed/>
    <w:rsid w:val="00274E6A"/>
    <w:rPr>
      <w:color w:val="0069B4" w:themeColor="followedHyperlink"/>
      <w:u w:val="single"/>
    </w:rPr>
  </w:style>
  <w:style w:type="paragraph" w:styleId="TOC4">
    <w:name w:val="toc 4"/>
    <w:basedOn w:val="Normal"/>
    <w:next w:val="Normal"/>
    <w:autoRedefine/>
    <w:uiPriority w:val="39"/>
    <w:unhideWhenUsed/>
    <w:rsid w:val="00C44320"/>
    <w:pPr>
      <w:spacing w:after="100" w:line="278" w:lineRule="auto"/>
      <w:ind w:left="720"/>
    </w:pPr>
    <w:rPr>
      <w:rFonts w:asciiTheme="minorHAnsi" w:eastAsiaTheme="minorEastAsia" w:hAnsiTheme="minorHAnsi" w:cstheme="minorBidi"/>
      <w:kern w:val="2"/>
      <w:sz w:val="24"/>
      <w:lang w:val="en-GB" w:eastAsia="en-GB" w:bidi="ar-SA"/>
      <w14:ligatures w14:val="standardContextual"/>
    </w:rPr>
  </w:style>
  <w:style w:type="paragraph" w:styleId="TOC5">
    <w:name w:val="toc 5"/>
    <w:basedOn w:val="Normal"/>
    <w:next w:val="Normal"/>
    <w:autoRedefine/>
    <w:uiPriority w:val="39"/>
    <w:unhideWhenUsed/>
    <w:rsid w:val="00C44320"/>
    <w:pPr>
      <w:spacing w:after="100" w:line="278" w:lineRule="auto"/>
      <w:ind w:left="960"/>
    </w:pPr>
    <w:rPr>
      <w:rFonts w:asciiTheme="minorHAnsi" w:eastAsiaTheme="minorEastAsia" w:hAnsiTheme="minorHAnsi" w:cstheme="minorBidi"/>
      <w:kern w:val="2"/>
      <w:sz w:val="24"/>
      <w:lang w:val="en-GB" w:eastAsia="en-GB" w:bidi="ar-SA"/>
      <w14:ligatures w14:val="standardContextual"/>
    </w:rPr>
  </w:style>
  <w:style w:type="paragraph" w:styleId="TOC6">
    <w:name w:val="toc 6"/>
    <w:basedOn w:val="Normal"/>
    <w:next w:val="Normal"/>
    <w:autoRedefine/>
    <w:uiPriority w:val="39"/>
    <w:unhideWhenUsed/>
    <w:rsid w:val="00C44320"/>
    <w:pPr>
      <w:spacing w:after="100" w:line="278" w:lineRule="auto"/>
      <w:ind w:left="1200"/>
    </w:pPr>
    <w:rPr>
      <w:rFonts w:asciiTheme="minorHAnsi" w:eastAsiaTheme="minorEastAsia" w:hAnsiTheme="minorHAnsi" w:cstheme="minorBidi"/>
      <w:kern w:val="2"/>
      <w:sz w:val="24"/>
      <w:lang w:val="en-GB" w:eastAsia="en-GB" w:bidi="ar-SA"/>
      <w14:ligatures w14:val="standardContextual"/>
    </w:rPr>
  </w:style>
  <w:style w:type="paragraph" w:styleId="TOC7">
    <w:name w:val="toc 7"/>
    <w:basedOn w:val="Normal"/>
    <w:next w:val="Normal"/>
    <w:autoRedefine/>
    <w:uiPriority w:val="39"/>
    <w:unhideWhenUsed/>
    <w:rsid w:val="00C44320"/>
    <w:pPr>
      <w:spacing w:after="100" w:line="278" w:lineRule="auto"/>
      <w:ind w:left="1440"/>
    </w:pPr>
    <w:rPr>
      <w:rFonts w:asciiTheme="minorHAnsi" w:eastAsiaTheme="minorEastAsia" w:hAnsiTheme="minorHAnsi" w:cstheme="minorBidi"/>
      <w:kern w:val="2"/>
      <w:sz w:val="24"/>
      <w:lang w:val="en-GB" w:eastAsia="en-GB" w:bidi="ar-SA"/>
      <w14:ligatures w14:val="standardContextual"/>
    </w:rPr>
  </w:style>
  <w:style w:type="paragraph" w:styleId="TOC8">
    <w:name w:val="toc 8"/>
    <w:basedOn w:val="Normal"/>
    <w:next w:val="Normal"/>
    <w:autoRedefine/>
    <w:uiPriority w:val="39"/>
    <w:unhideWhenUsed/>
    <w:rsid w:val="00C44320"/>
    <w:pPr>
      <w:spacing w:after="100" w:line="278" w:lineRule="auto"/>
      <w:ind w:left="1680"/>
    </w:pPr>
    <w:rPr>
      <w:rFonts w:asciiTheme="minorHAnsi" w:eastAsiaTheme="minorEastAsia" w:hAnsiTheme="minorHAnsi" w:cstheme="minorBidi"/>
      <w:kern w:val="2"/>
      <w:sz w:val="24"/>
      <w:lang w:val="en-GB" w:eastAsia="en-GB" w:bidi="ar-SA"/>
      <w14:ligatures w14:val="standardContextual"/>
    </w:rPr>
  </w:style>
  <w:style w:type="paragraph" w:styleId="TOC9">
    <w:name w:val="toc 9"/>
    <w:basedOn w:val="Normal"/>
    <w:next w:val="Normal"/>
    <w:autoRedefine/>
    <w:uiPriority w:val="39"/>
    <w:unhideWhenUsed/>
    <w:rsid w:val="00C44320"/>
    <w:pPr>
      <w:spacing w:after="100" w:line="278" w:lineRule="auto"/>
      <w:ind w:left="1920"/>
    </w:pPr>
    <w:rPr>
      <w:rFonts w:asciiTheme="minorHAnsi" w:eastAsiaTheme="minorEastAsia" w:hAnsiTheme="minorHAnsi" w:cstheme="minorBidi"/>
      <w:kern w:val="2"/>
      <w:sz w:val="24"/>
      <w:lang w:val="en-GB" w:eastAsia="en-GB" w:bidi="ar-SA"/>
      <w14:ligatures w14:val="standardContextual"/>
    </w:rPr>
  </w:style>
  <w:style w:type="character" w:styleId="UnresolvedMention">
    <w:name w:val="Unresolved Mention"/>
    <w:basedOn w:val="DefaultParagraphFont"/>
    <w:uiPriority w:val="99"/>
    <w:semiHidden/>
    <w:unhideWhenUsed/>
    <w:rsid w:val="00C44320"/>
    <w:rPr>
      <w:color w:val="605E5C"/>
      <w:shd w:val="clear" w:color="auto" w:fill="E1DFDD"/>
    </w:rPr>
  </w:style>
  <w:style w:type="paragraph" w:customStyle="1" w:styleId="Sub-heading">
    <w:name w:val="Sub-heading"/>
    <w:link w:val="Sub-headingChar"/>
    <w:qFormat/>
    <w:rsid w:val="006C2377"/>
    <w:rPr>
      <w:rFonts w:ascii="Segoe UI Semibold" w:eastAsiaTheme="majorEastAsia" w:hAnsi="Segoe UI Semibold"/>
      <w:bCs/>
      <w:color w:val="68C0B5"/>
      <w:sz w:val="24"/>
      <w:szCs w:val="26"/>
    </w:rPr>
  </w:style>
  <w:style w:type="character" w:customStyle="1" w:styleId="Sub-headingChar">
    <w:name w:val="Sub-heading Char"/>
    <w:basedOn w:val="Heading3Char"/>
    <w:link w:val="Sub-heading"/>
    <w:rsid w:val="006C2377"/>
    <w:rPr>
      <w:rFonts w:ascii="Segoe UI Semibold" w:eastAsiaTheme="majorEastAsia" w:hAnsi="Segoe UI Semibold"/>
      <w:bCs/>
      <w:color w:val="68C0B5"/>
      <w:sz w:val="24"/>
      <w:szCs w:val="26"/>
    </w:rPr>
  </w:style>
  <w:style w:type="paragraph" w:styleId="NormalWeb">
    <w:name w:val="Normal (Web)"/>
    <w:basedOn w:val="Normal"/>
    <w:uiPriority w:val="99"/>
    <w:semiHidden/>
    <w:unhideWhenUsed/>
    <w:rsid w:val="00FD0152"/>
    <w:pPr>
      <w:spacing w:before="100" w:beforeAutospacing="1" w:after="100" w:afterAutospacing="1"/>
    </w:pPr>
    <w:rPr>
      <w:rFonts w:ascii="Times New Roman" w:eastAsia="Times New Roman" w:hAnsi="Times New Roman"/>
      <w:sz w:val="24"/>
      <w:lang w:val="en-GB" w:eastAsia="en-GB" w:bidi="ar-SA"/>
    </w:rPr>
  </w:style>
  <w:style w:type="paragraph" w:customStyle="1" w:styleId="Default">
    <w:name w:val="Default"/>
    <w:rsid w:val="00934420"/>
    <w:pPr>
      <w:autoSpaceDE w:val="0"/>
      <w:autoSpaceDN w:val="0"/>
      <w:adjustRightInd w:val="0"/>
      <w:spacing w:after="0" w:line="240" w:lineRule="auto"/>
    </w:pPr>
    <w:rPr>
      <w:rFonts w:ascii="Segoe UI" w:hAnsi="Segoe UI" w:cs="Segoe UI"/>
      <w:color w:val="000000"/>
      <w:sz w:val="24"/>
      <w:szCs w:val="24"/>
    </w:rPr>
  </w:style>
  <w:style w:type="character" w:styleId="Mention">
    <w:name w:val="Mention"/>
    <w:basedOn w:val="DefaultParagraphFont"/>
    <w:uiPriority w:val="99"/>
    <w:unhideWhenUsed/>
    <w:rsid w:val="00B77FED"/>
    <w:rPr>
      <w:color w:val="2B579A"/>
      <w:shd w:val="clear" w:color="auto" w:fill="E1DFDD"/>
    </w:rPr>
  </w:style>
  <w:style w:type="paragraph" w:customStyle="1" w:styleId="Notheader">
    <w:name w:val="Not header"/>
    <w:basedOn w:val="Heading2"/>
    <w:link w:val="NotheaderChar"/>
    <w:qFormat/>
    <w:rsid w:val="005E7A38"/>
  </w:style>
  <w:style w:type="character" w:customStyle="1" w:styleId="NotheaderChar">
    <w:name w:val="Not header Char"/>
    <w:basedOn w:val="Heading2Char"/>
    <w:link w:val="Notheader"/>
    <w:rsid w:val="005E7A38"/>
    <w:rPr>
      <w:rFonts w:ascii="Segoe UI Semibold" w:eastAsiaTheme="majorEastAsia" w:hAnsi="Segoe UI Semibold"/>
      <w:bCs/>
      <w:iCs/>
      <w:color w:val="009FE3"/>
      <w:sz w:val="28"/>
      <w:szCs w:val="28"/>
    </w:rPr>
  </w:style>
  <w:style w:type="paragraph" w:customStyle="1" w:styleId="Notheader1">
    <w:name w:val="Not header1"/>
    <w:basedOn w:val="BodyText"/>
    <w:link w:val="Notheader1Char"/>
    <w:qFormat/>
    <w:rsid w:val="005E7A38"/>
    <w:rPr>
      <w:rFonts w:ascii="Segoe UI Semibold" w:hAnsi="Segoe UI Semibold" w:cs="Segoe UI Semibold"/>
      <w:color w:val="009FE3" w:themeColor="background2"/>
      <w:sz w:val="28"/>
      <w:szCs w:val="28"/>
    </w:rPr>
  </w:style>
  <w:style w:type="character" w:customStyle="1" w:styleId="Notheader1Char">
    <w:name w:val="Not header1 Char"/>
    <w:basedOn w:val="BodyTextChar"/>
    <w:link w:val="Notheader1"/>
    <w:rsid w:val="005E7A38"/>
    <w:rPr>
      <w:rFonts w:ascii="Segoe UI Semibold" w:hAnsi="Segoe UI Semibold" w:cs="Segoe UI Semibold"/>
      <w:color w:val="009FE3" w:themeColor="background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4967353">
      <w:bodyDiv w:val="1"/>
      <w:marLeft w:val="0"/>
      <w:marRight w:val="0"/>
      <w:marTop w:val="0"/>
      <w:marBottom w:val="0"/>
      <w:divBdr>
        <w:top w:val="none" w:sz="0" w:space="0" w:color="auto"/>
        <w:left w:val="none" w:sz="0" w:space="0" w:color="auto"/>
        <w:bottom w:val="none" w:sz="0" w:space="0" w:color="auto"/>
        <w:right w:val="none" w:sz="0" w:space="0" w:color="auto"/>
      </w:divBdr>
    </w:div>
    <w:div w:id="761490804">
      <w:bodyDiv w:val="1"/>
      <w:marLeft w:val="0"/>
      <w:marRight w:val="0"/>
      <w:marTop w:val="0"/>
      <w:marBottom w:val="0"/>
      <w:divBdr>
        <w:top w:val="none" w:sz="0" w:space="0" w:color="auto"/>
        <w:left w:val="none" w:sz="0" w:space="0" w:color="auto"/>
        <w:bottom w:val="none" w:sz="0" w:space="0" w:color="auto"/>
        <w:right w:val="none" w:sz="0" w:space="0" w:color="auto"/>
      </w:divBdr>
    </w:div>
    <w:div w:id="799105837">
      <w:bodyDiv w:val="1"/>
      <w:marLeft w:val="0"/>
      <w:marRight w:val="0"/>
      <w:marTop w:val="0"/>
      <w:marBottom w:val="0"/>
      <w:divBdr>
        <w:top w:val="none" w:sz="0" w:space="0" w:color="auto"/>
        <w:left w:val="none" w:sz="0" w:space="0" w:color="auto"/>
        <w:bottom w:val="none" w:sz="0" w:space="0" w:color="auto"/>
        <w:right w:val="none" w:sz="0" w:space="0" w:color="auto"/>
      </w:divBdr>
    </w:div>
    <w:div w:id="1384984341">
      <w:bodyDiv w:val="1"/>
      <w:marLeft w:val="0"/>
      <w:marRight w:val="0"/>
      <w:marTop w:val="0"/>
      <w:marBottom w:val="0"/>
      <w:divBdr>
        <w:top w:val="none" w:sz="0" w:space="0" w:color="auto"/>
        <w:left w:val="none" w:sz="0" w:space="0" w:color="auto"/>
        <w:bottom w:val="none" w:sz="0" w:space="0" w:color="auto"/>
        <w:right w:val="none" w:sz="0" w:space="0" w:color="auto"/>
      </w:divBdr>
    </w:div>
    <w:div w:id="1452480538">
      <w:bodyDiv w:val="1"/>
      <w:marLeft w:val="0"/>
      <w:marRight w:val="0"/>
      <w:marTop w:val="0"/>
      <w:marBottom w:val="0"/>
      <w:divBdr>
        <w:top w:val="none" w:sz="0" w:space="0" w:color="auto"/>
        <w:left w:val="none" w:sz="0" w:space="0" w:color="auto"/>
        <w:bottom w:val="none" w:sz="0" w:space="0" w:color="auto"/>
        <w:right w:val="none" w:sz="0" w:space="0" w:color="auto"/>
      </w:divBdr>
    </w:div>
    <w:div w:id="1525169632">
      <w:bodyDiv w:val="1"/>
      <w:marLeft w:val="0"/>
      <w:marRight w:val="0"/>
      <w:marTop w:val="0"/>
      <w:marBottom w:val="0"/>
      <w:divBdr>
        <w:top w:val="none" w:sz="0" w:space="0" w:color="auto"/>
        <w:left w:val="none" w:sz="0" w:space="0" w:color="auto"/>
        <w:bottom w:val="none" w:sz="0" w:space="0" w:color="auto"/>
        <w:right w:val="none" w:sz="0" w:space="0" w:color="auto"/>
      </w:divBdr>
    </w:div>
    <w:div w:id="1533689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lbbdpensionfund.org/resources/"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mailto:nick.vickers@lbbd.gov.uk" TargetMode="External"/><Relationship Id="rId25" Type="http://schemas.openxmlformats.org/officeDocument/2006/relationships/hyperlink" Target="https://lgpsboard.org/wp-content/uploads/2025/12/FSS-guidance-Final-January-2025-1.pdf" TargetMode="External"/><Relationship Id="rId2" Type="http://schemas.openxmlformats.org/officeDocument/2006/relationships/customXml" Target="../customXml/item2.xml"/><Relationship Id="rId16" Type="http://schemas.openxmlformats.org/officeDocument/2006/relationships/hyperlink" Target="http://www.lbbdpensionfund.org" TargetMode="External"/><Relationship Id="rId20" Type="http://schemas.openxmlformats.org/officeDocument/2006/relationships/hyperlink" Target="http://www.lbbdpensionfund.org"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www.lbbdpensionfund.org/resources/" TargetMode="External"/><Relationship Id="rId5" Type="http://schemas.openxmlformats.org/officeDocument/2006/relationships/customXml" Target="../customXml/item5.xml"/><Relationship Id="rId15" Type="http://schemas.openxmlformats.org/officeDocument/2006/relationships/hyperlink" Target="https://lgpsboard.org/wp-content/uploads/2025/12/FSS-guidance-Final-January-2025-1.pdf" TargetMode="External"/><Relationship Id="rId23" Type="http://schemas.openxmlformats.org/officeDocument/2006/relationships/hyperlink" Target="mailto:nick.vickers@lbbd.gov.uk." TargetMode="External"/><Relationship Id="rId10" Type="http://schemas.openxmlformats.org/officeDocument/2006/relationships/settings" Target="settings.xml"/><Relationship Id="rId19" Type="http://schemas.openxmlformats.org/officeDocument/2006/relationships/hyperlink" Target="https://lbbd.moderngov.co.uk/documents/s178004/Appendix%201.pdf"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s://www.lbbdpensionfund.org/resources/" TargetMode="External"/><Relationship Id="rId27" Type="http://schemas.openxmlformats.org/officeDocument/2006/relationships/theme" Target="theme/theme1.xml"/></Relationships>
</file>

<file path=word/theme/theme1.xml><?xml version="1.0" encoding="utf-8"?>
<a:theme xmlns:a="http://schemas.openxmlformats.org/drawingml/2006/main" name="Barnett Waddingham">
  <a:themeElements>
    <a:clrScheme name="Barnett Waddingham 25">
      <a:dk1>
        <a:srgbClr val="464547"/>
      </a:dk1>
      <a:lt1>
        <a:sysClr val="window" lastClr="FFFFFF"/>
      </a:lt1>
      <a:dk2>
        <a:srgbClr val="0069B4"/>
      </a:dk2>
      <a:lt2>
        <a:srgbClr val="009FE3"/>
      </a:lt2>
      <a:accent1>
        <a:srgbClr val="00857E"/>
      </a:accent1>
      <a:accent2>
        <a:srgbClr val="F1C845"/>
      </a:accent2>
      <a:accent3>
        <a:srgbClr val="8358A2"/>
      </a:accent3>
      <a:accent4>
        <a:srgbClr val="000000"/>
      </a:accent4>
      <a:accent5>
        <a:srgbClr val="F2F2F2"/>
      </a:accent5>
      <a:accent6>
        <a:srgbClr val="00518E"/>
      </a:accent6>
      <a:hlink>
        <a:srgbClr val="009FE3"/>
      </a:hlink>
      <a:folHlink>
        <a:srgbClr val="0069B4"/>
      </a:folHlink>
    </a:clrScheme>
    <a:fontScheme name="Custom 1">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2026-03-03T00:00:00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f35f8bb8de474ca097f39364288e1644 xmlns="6f247cf5-36db-4625-96bb-fe9ae63417ad">
      <Terms xmlns="http://schemas.microsoft.com/office/infopath/2007/PartnerControls"/>
    </f35f8bb8de474ca097f39364288e1644>
    <TaxCatchAll xmlns="6f247cf5-36db-4625-96bb-fe9ae63417ad" xsi:nil="true"/>
    <k7ff990e7aca4cbe91a85df0bf876c29 xmlns="6f247cf5-36db-4625-96bb-fe9ae63417ad">
      <Terms xmlns="http://schemas.microsoft.com/office/infopath/2007/PartnerControls"/>
    </k7ff990e7aca4cbe91a85df0bf876c29>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Council Document" ma:contentTypeID="0x0101003D111B80989C2F48A98656A918A919A0006F0826163FA5534889CC93342288752E" ma:contentTypeVersion="242" ma:contentTypeDescription="Document with LGCS and Type of Content Classification" ma:contentTypeScope="" ma:versionID="84fe5e2da6a3d3547b7fc017e0dd8b45">
  <xsd:schema xmlns:xsd="http://www.w3.org/2001/XMLSchema" xmlns:xs="http://www.w3.org/2001/XMLSchema" xmlns:p="http://schemas.microsoft.com/office/2006/metadata/properties" xmlns:ns2="6f247cf5-36db-4625-96bb-fe9ae63417ad" targetNamespace="http://schemas.microsoft.com/office/2006/metadata/properties" ma:root="true" ma:fieldsID="c59ca63e00cf1b9694bf5ef1ec8b23e8" ns2:_="">
    <xsd:import namespace="6f247cf5-36db-4625-96bb-fe9ae63417ad"/>
    <xsd:element name="properties">
      <xsd:complexType>
        <xsd:sequence>
          <xsd:element name="documentManagement">
            <xsd:complexType>
              <xsd:all>
                <xsd:element ref="ns2:f35f8bb8de474ca097f39364288e1644" minOccurs="0"/>
                <xsd:element ref="ns2:TaxCatchAll" minOccurs="0"/>
                <xsd:element ref="ns2:TaxCatchAllLabel" minOccurs="0"/>
                <xsd:element ref="ns2:k7ff990e7aca4cbe91a85df0bf876c29"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247cf5-36db-4625-96bb-fe9ae63417ad" elementFormDefault="qualified">
    <xsd:import namespace="http://schemas.microsoft.com/office/2006/documentManagement/types"/>
    <xsd:import namespace="http://schemas.microsoft.com/office/infopath/2007/PartnerControls"/>
    <xsd:element name="f35f8bb8de474ca097f39364288e1644" ma:index="8" nillable="true" ma:taxonomy="true" ma:internalName="f35f8bb8de474ca097f39364288e1644" ma:taxonomyFieldName="LGCS" ma:displayName="LGCS" ma:readOnly="false" ma:default="" ma:fieldId="{f35f8bb8-de47-4ca0-97f3-9364288e1644}" ma:taxonomyMulti="true" ma:sspId="59fa423a-319c-4486-99a4-febc348d8de0" ma:termSetId="cddd090f-8b08-4cf2-b8da-459cbc7cc2b2"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a210b10d-b4ad-4651-8b53-95687461fc8e}" ma:internalName="TaxCatchAll" ma:showField="CatchAllData" ma:web="78e24578-5fde-46d4-af88-eda26f228fa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210b10d-b4ad-4651-8b53-95687461fc8e}" ma:internalName="TaxCatchAllLabel" ma:readOnly="true" ma:showField="CatchAllDataLabel" ma:web="78e24578-5fde-46d4-af88-eda26f228fa1">
      <xsd:complexType>
        <xsd:complexContent>
          <xsd:extension base="dms:MultiChoiceLookup">
            <xsd:sequence>
              <xsd:element name="Value" type="dms:Lookup" maxOccurs="unbounded" minOccurs="0" nillable="true"/>
            </xsd:sequence>
          </xsd:extension>
        </xsd:complexContent>
      </xsd:complexType>
    </xsd:element>
    <xsd:element name="k7ff990e7aca4cbe91a85df0bf876c29" ma:index="12" nillable="true" ma:taxonomy="true" ma:internalName="k7ff990e7aca4cbe91a85df0bf876c29" ma:taxonomyFieldName="CType" ma:displayName="CType" ma:default="" ma:fieldId="{47ff990e-7aca-4cbe-91a8-5df0bf876c29}" ma:sspId="59fa423a-319c-4486-99a4-febc348d8de0" ma:termSetId="23754f86-f04d-4ef0-9ab7-0272ceaf28d3"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59fa423a-319c-4486-99a4-febc348d8de0" ContentTypeId="0x0101003D111B80989C2F48A98656A918A919A0" PreviousValue="false"/>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548AC4B-34D3-4B5E-9837-DF5AD8D0948E}">
  <ds:schemaRefs>
    <ds:schemaRef ds:uri="http://schemas.microsoft.com/office/2006/metadata/properties"/>
    <ds:schemaRef ds:uri="http://schemas.microsoft.com/office/infopath/2007/PartnerControls"/>
    <ds:schemaRef ds:uri="6f247cf5-36db-4625-96bb-fe9ae63417ad"/>
    <ds:schemaRef ds:uri="78e24578-5fde-46d4-af88-eda26f228fa1"/>
  </ds:schemaRefs>
</ds:datastoreItem>
</file>

<file path=customXml/itemProps3.xml><?xml version="1.0" encoding="utf-8"?>
<ds:datastoreItem xmlns:ds="http://schemas.openxmlformats.org/officeDocument/2006/customXml" ds:itemID="{7A61F050-E6C3-4E4B-B063-B975E2B830AA}">
  <ds:schemaRefs>
    <ds:schemaRef ds:uri="http://schemas.microsoft.com/sharepoint/v3/contenttype/forms"/>
  </ds:schemaRefs>
</ds:datastoreItem>
</file>

<file path=customXml/itemProps4.xml><?xml version="1.0" encoding="utf-8"?>
<ds:datastoreItem xmlns:ds="http://schemas.openxmlformats.org/officeDocument/2006/customXml" ds:itemID="{D254D9C0-C04A-43F0-A662-8BBE041A05A9}"/>
</file>

<file path=customXml/itemProps5.xml><?xml version="1.0" encoding="utf-8"?>
<ds:datastoreItem xmlns:ds="http://schemas.openxmlformats.org/officeDocument/2006/customXml" ds:itemID="{94668CB5-9A29-4D63-8D63-10E93E280964}"/>
</file>

<file path=customXml/itemProps6.xml><?xml version="1.0" encoding="utf-8"?>
<ds:datastoreItem xmlns:ds="http://schemas.openxmlformats.org/officeDocument/2006/customXml" ds:itemID="{527AF01E-B39B-4715-8797-B862C2166448}">
  <ds:schemaRefs>
    <ds:schemaRef ds:uri="Microsoft.SharePoint.Taxonomy.ContentTypeSync"/>
  </ds:schemaRefs>
</ds:datastoreItem>
</file>

<file path=customXml/itemProps7.xml><?xml version="1.0" encoding="utf-8"?>
<ds:datastoreItem xmlns:ds="http://schemas.openxmlformats.org/officeDocument/2006/customXml" ds:itemID="{86D900B6-BAFF-419B-B535-9EACF6D96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19638</Words>
  <Characters>111939</Characters>
  <Application>Microsoft Office Word</Application>
  <DocSecurity>4</DocSecurity>
  <Lines>932</Lines>
  <Paragraphs>262</Paragraphs>
  <ScaleCrop>false</ScaleCrop>
  <HeadingPairs>
    <vt:vector size="2" baseType="variant">
      <vt:variant>
        <vt:lpstr>Title</vt:lpstr>
      </vt:variant>
      <vt:variant>
        <vt:i4>1</vt:i4>
      </vt:variant>
    </vt:vector>
  </HeadingPairs>
  <TitlesOfParts>
    <vt:vector size="1" baseType="lpstr">
      <vt:lpstr>Funding Strategy Statement</vt:lpstr>
    </vt:vector>
  </TitlesOfParts>
  <Company>Barnett Waddingham</Company>
  <LinksUpToDate>false</LinksUpToDate>
  <CharactersWithSpaces>131315</CharactersWithSpaces>
  <SharedDoc>false</SharedDoc>
  <HLinks>
    <vt:vector size="258" baseType="variant">
      <vt:variant>
        <vt:i4>6881319</vt:i4>
      </vt:variant>
      <vt:variant>
        <vt:i4>291</vt:i4>
      </vt:variant>
      <vt:variant>
        <vt:i4>0</vt:i4>
      </vt:variant>
      <vt:variant>
        <vt:i4>5</vt:i4>
      </vt:variant>
      <vt:variant>
        <vt:lpwstr>https://lgpsboard.org/wp-content/uploads/2025/12/FSS-guidance-Final-January-2025-1.pdf</vt:lpwstr>
      </vt:variant>
      <vt:variant>
        <vt:lpwstr/>
      </vt:variant>
      <vt:variant>
        <vt:i4>8257578</vt:i4>
      </vt:variant>
      <vt:variant>
        <vt:i4>267</vt:i4>
      </vt:variant>
      <vt:variant>
        <vt:i4>0</vt:i4>
      </vt:variant>
      <vt:variant>
        <vt:i4>5</vt:i4>
      </vt:variant>
      <vt:variant>
        <vt:lpwstr>https://www.lbbdpensionfund.org/resources/</vt:lpwstr>
      </vt:variant>
      <vt:variant>
        <vt:lpwstr/>
      </vt:variant>
      <vt:variant>
        <vt:i4>3997761</vt:i4>
      </vt:variant>
      <vt:variant>
        <vt:i4>258</vt:i4>
      </vt:variant>
      <vt:variant>
        <vt:i4>0</vt:i4>
      </vt:variant>
      <vt:variant>
        <vt:i4>5</vt:i4>
      </vt:variant>
      <vt:variant>
        <vt:lpwstr>mailto:nick.vickers@lbbd.gov.uk.</vt:lpwstr>
      </vt:variant>
      <vt:variant>
        <vt:lpwstr/>
      </vt:variant>
      <vt:variant>
        <vt:i4>8257578</vt:i4>
      </vt:variant>
      <vt:variant>
        <vt:i4>255</vt:i4>
      </vt:variant>
      <vt:variant>
        <vt:i4>0</vt:i4>
      </vt:variant>
      <vt:variant>
        <vt:i4>5</vt:i4>
      </vt:variant>
      <vt:variant>
        <vt:lpwstr>https://www.lbbdpensionfund.org/resources/</vt:lpwstr>
      </vt:variant>
      <vt:variant>
        <vt:lpwstr/>
      </vt:variant>
      <vt:variant>
        <vt:i4>8257578</vt:i4>
      </vt:variant>
      <vt:variant>
        <vt:i4>240</vt:i4>
      </vt:variant>
      <vt:variant>
        <vt:i4>0</vt:i4>
      </vt:variant>
      <vt:variant>
        <vt:i4>5</vt:i4>
      </vt:variant>
      <vt:variant>
        <vt:lpwstr>https://www.lbbdpensionfund.org/resources/</vt:lpwstr>
      </vt:variant>
      <vt:variant>
        <vt:lpwstr/>
      </vt:variant>
      <vt:variant>
        <vt:i4>2424955</vt:i4>
      </vt:variant>
      <vt:variant>
        <vt:i4>234</vt:i4>
      </vt:variant>
      <vt:variant>
        <vt:i4>0</vt:i4>
      </vt:variant>
      <vt:variant>
        <vt:i4>5</vt:i4>
      </vt:variant>
      <vt:variant>
        <vt:lpwstr>http://www.lbbdpensionfund.org/</vt:lpwstr>
      </vt:variant>
      <vt:variant>
        <vt:lpwstr/>
      </vt:variant>
      <vt:variant>
        <vt:i4>1048586</vt:i4>
      </vt:variant>
      <vt:variant>
        <vt:i4>219</vt:i4>
      </vt:variant>
      <vt:variant>
        <vt:i4>0</vt:i4>
      </vt:variant>
      <vt:variant>
        <vt:i4>5</vt:i4>
      </vt:variant>
      <vt:variant>
        <vt:lpwstr>https://lbbd.moderngov.co.uk/documents/s178004/Appendix 1.pdf</vt:lpwstr>
      </vt:variant>
      <vt:variant>
        <vt:lpwstr/>
      </vt:variant>
      <vt:variant>
        <vt:i4>1245226</vt:i4>
      </vt:variant>
      <vt:variant>
        <vt:i4>210</vt:i4>
      </vt:variant>
      <vt:variant>
        <vt:i4>0</vt:i4>
      </vt:variant>
      <vt:variant>
        <vt:i4>5</vt:i4>
      </vt:variant>
      <vt:variant>
        <vt:lpwstr>mailto:nick.vickers@lbbd.gov.uk</vt:lpwstr>
      </vt:variant>
      <vt:variant>
        <vt:lpwstr/>
      </vt:variant>
      <vt:variant>
        <vt:i4>2424955</vt:i4>
      </vt:variant>
      <vt:variant>
        <vt:i4>204</vt:i4>
      </vt:variant>
      <vt:variant>
        <vt:i4>0</vt:i4>
      </vt:variant>
      <vt:variant>
        <vt:i4>5</vt:i4>
      </vt:variant>
      <vt:variant>
        <vt:lpwstr>http://www.lbbdpensionfund.org/</vt:lpwstr>
      </vt:variant>
      <vt:variant>
        <vt:lpwstr/>
      </vt:variant>
      <vt:variant>
        <vt:i4>6881319</vt:i4>
      </vt:variant>
      <vt:variant>
        <vt:i4>201</vt:i4>
      </vt:variant>
      <vt:variant>
        <vt:i4>0</vt:i4>
      </vt:variant>
      <vt:variant>
        <vt:i4>5</vt:i4>
      </vt:variant>
      <vt:variant>
        <vt:lpwstr>https://lgpsboard.org/wp-content/uploads/2025/12/FSS-guidance-Final-January-2025-1.pdf</vt:lpwstr>
      </vt:variant>
      <vt:variant>
        <vt:lpwstr/>
      </vt:variant>
      <vt:variant>
        <vt:i4>1900593</vt:i4>
      </vt:variant>
      <vt:variant>
        <vt:i4>194</vt:i4>
      </vt:variant>
      <vt:variant>
        <vt:i4>0</vt:i4>
      </vt:variant>
      <vt:variant>
        <vt:i4>5</vt:i4>
      </vt:variant>
      <vt:variant>
        <vt:lpwstr/>
      </vt:variant>
      <vt:variant>
        <vt:lpwstr>_Toc222823336</vt:lpwstr>
      </vt:variant>
      <vt:variant>
        <vt:i4>1900593</vt:i4>
      </vt:variant>
      <vt:variant>
        <vt:i4>188</vt:i4>
      </vt:variant>
      <vt:variant>
        <vt:i4>0</vt:i4>
      </vt:variant>
      <vt:variant>
        <vt:i4>5</vt:i4>
      </vt:variant>
      <vt:variant>
        <vt:lpwstr/>
      </vt:variant>
      <vt:variant>
        <vt:lpwstr>_Toc222823335</vt:lpwstr>
      </vt:variant>
      <vt:variant>
        <vt:i4>1900593</vt:i4>
      </vt:variant>
      <vt:variant>
        <vt:i4>182</vt:i4>
      </vt:variant>
      <vt:variant>
        <vt:i4>0</vt:i4>
      </vt:variant>
      <vt:variant>
        <vt:i4>5</vt:i4>
      </vt:variant>
      <vt:variant>
        <vt:lpwstr/>
      </vt:variant>
      <vt:variant>
        <vt:lpwstr>_Toc222823334</vt:lpwstr>
      </vt:variant>
      <vt:variant>
        <vt:i4>1900593</vt:i4>
      </vt:variant>
      <vt:variant>
        <vt:i4>176</vt:i4>
      </vt:variant>
      <vt:variant>
        <vt:i4>0</vt:i4>
      </vt:variant>
      <vt:variant>
        <vt:i4>5</vt:i4>
      </vt:variant>
      <vt:variant>
        <vt:lpwstr/>
      </vt:variant>
      <vt:variant>
        <vt:lpwstr>_Toc222823333</vt:lpwstr>
      </vt:variant>
      <vt:variant>
        <vt:i4>1900593</vt:i4>
      </vt:variant>
      <vt:variant>
        <vt:i4>170</vt:i4>
      </vt:variant>
      <vt:variant>
        <vt:i4>0</vt:i4>
      </vt:variant>
      <vt:variant>
        <vt:i4>5</vt:i4>
      </vt:variant>
      <vt:variant>
        <vt:lpwstr/>
      </vt:variant>
      <vt:variant>
        <vt:lpwstr>_Toc222823332</vt:lpwstr>
      </vt:variant>
      <vt:variant>
        <vt:i4>1900593</vt:i4>
      </vt:variant>
      <vt:variant>
        <vt:i4>164</vt:i4>
      </vt:variant>
      <vt:variant>
        <vt:i4>0</vt:i4>
      </vt:variant>
      <vt:variant>
        <vt:i4>5</vt:i4>
      </vt:variant>
      <vt:variant>
        <vt:lpwstr/>
      </vt:variant>
      <vt:variant>
        <vt:lpwstr>_Toc222823331</vt:lpwstr>
      </vt:variant>
      <vt:variant>
        <vt:i4>1900593</vt:i4>
      </vt:variant>
      <vt:variant>
        <vt:i4>158</vt:i4>
      </vt:variant>
      <vt:variant>
        <vt:i4>0</vt:i4>
      </vt:variant>
      <vt:variant>
        <vt:i4>5</vt:i4>
      </vt:variant>
      <vt:variant>
        <vt:lpwstr/>
      </vt:variant>
      <vt:variant>
        <vt:lpwstr>_Toc222823330</vt:lpwstr>
      </vt:variant>
      <vt:variant>
        <vt:i4>1835057</vt:i4>
      </vt:variant>
      <vt:variant>
        <vt:i4>152</vt:i4>
      </vt:variant>
      <vt:variant>
        <vt:i4>0</vt:i4>
      </vt:variant>
      <vt:variant>
        <vt:i4>5</vt:i4>
      </vt:variant>
      <vt:variant>
        <vt:lpwstr/>
      </vt:variant>
      <vt:variant>
        <vt:lpwstr>_Toc222823329</vt:lpwstr>
      </vt:variant>
      <vt:variant>
        <vt:i4>1835057</vt:i4>
      </vt:variant>
      <vt:variant>
        <vt:i4>146</vt:i4>
      </vt:variant>
      <vt:variant>
        <vt:i4>0</vt:i4>
      </vt:variant>
      <vt:variant>
        <vt:i4>5</vt:i4>
      </vt:variant>
      <vt:variant>
        <vt:lpwstr/>
      </vt:variant>
      <vt:variant>
        <vt:lpwstr>_Toc222823328</vt:lpwstr>
      </vt:variant>
      <vt:variant>
        <vt:i4>1835057</vt:i4>
      </vt:variant>
      <vt:variant>
        <vt:i4>140</vt:i4>
      </vt:variant>
      <vt:variant>
        <vt:i4>0</vt:i4>
      </vt:variant>
      <vt:variant>
        <vt:i4>5</vt:i4>
      </vt:variant>
      <vt:variant>
        <vt:lpwstr/>
      </vt:variant>
      <vt:variant>
        <vt:lpwstr>_Toc222823327</vt:lpwstr>
      </vt:variant>
      <vt:variant>
        <vt:i4>1835057</vt:i4>
      </vt:variant>
      <vt:variant>
        <vt:i4>134</vt:i4>
      </vt:variant>
      <vt:variant>
        <vt:i4>0</vt:i4>
      </vt:variant>
      <vt:variant>
        <vt:i4>5</vt:i4>
      </vt:variant>
      <vt:variant>
        <vt:lpwstr/>
      </vt:variant>
      <vt:variant>
        <vt:lpwstr>_Toc222823326</vt:lpwstr>
      </vt:variant>
      <vt:variant>
        <vt:i4>1835057</vt:i4>
      </vt:variant>
      <vt:variant>
        <vt:i4>128</vt:i4>
      </vt:variant>
      <vt:variant>
        <vt:i4>0</vt:i4>
      </vt:variant>
      <vt:variant>
        <vt:i4>5</vt:i4>
      </vt:variant>
      <vt:variant>
        <vt:lpwstr/>
      </vt:variant>
      <vt:variant>
        <vt:lpwstr>_Toc222823325</vt:lpwstr>
      </vt:variant>
      <vt:variant>
        <vt:i4>1835057</vt:i4>
      </vt:variant>
      <vt:variant>
        <vt:i4>122</vt:i4>
      </vt:variant>
      <vt:variant>
        <vt:i4>0</vt:i4>
      </vt:variant>
      <vt:variant>
        <vt:i4>5</vt:i4>
      </vt:variant>
      <vt:variant>
        <vt:lpwstr/>
      </vt:variant>
      <vt:variant>
        <vt:lpwstr>_Toc222823324</vt:lpwstr>
      </vt:variant>
      <vt:variant>
        <vt:i4>1835057</vt:i4>
      </vt:variant>
      <vt:variant>
        <vt:i4>116</vt:i4>
      </vt:variant>
      <vt:variant>
        <vt:i4>0</vt:i4>
      </vt:variant>
      <vt:variant>
        <vt:i4>5</vt:i4>
      </vt:variant>
      <vt:variant>
        <vt:lpwstr/>
      </vt:variant>
      <vt:variant>
        <vt:lpwstr>_Toc222823323</vt:lpwstr>
      </vt:variant>
      <vt:variant>
        <vt:i4>1835057</vt:i4>
      </vt:variant>
      <vt:variant>
        <vt:i4>110</vt:i4>
      </vt:variant>
      <vt:variant>
        <vt:i4>0</vt:i4>
      </vt:variant>
      <vt:variant>
        <vt:i4>5</vt:i4>
      </vt:variant>
      <vt:variant>
        <vt:lpwstr/>
      </vt:variant>
      <vt:variant>
        <vt:lpwstr>_Toc222823322</vt:lpwstr>
      </vt:variant>
      <vt:variant>
        <vt:i4>1835057</vt:i4>
      </vt:variant>
      <vt:variant>
        <vt:i4>104</vt:i4>
      </vt:variant>
      <vt:variant>
        <vt:i4>0</vt:i4>
      </vt:variant>
      <vt:variant>
        <vt:i4>5</vt:i4>
      </vt:variant>
      <vt:variant>
        <vt:lpwstr/>
      </vt:variant>
      <vt:variant>
        <vt:lpwstr>_Toc222823321</vt:lpwstr>
      </vt:variant>
      <vt:variant>
        <vt:i4>1835057</vt:i4>
      </vt:variant>
      <vt:variant>
        <vt:i4>98</vt:i4>
      </vt:variant>
      <vt:variant>
        <vt:i4>0</vt:i4>
      </vt:variant>
      <vt:variant>
        <vt:i4>5</vt:i4>
      </vt:variant>
      <vt:variant>
        <vt:lpwstr/>
      </vt:variant>
      <vt:variant>
        <vt:lpwstr>_Toc222823320</vt:lpwstr>
      </vt:variant>
      <vt:variant>
        <vt:i4>2031665</vt:i4>
      </vt:variant>
      <vt:variant>
        <vt:i4>92</vt:i4>
      </vt:variant>
      <vt:variant>
        <vt:i4>0</vt:i4>
      </vt:variant>
      <vt:variant>
        <vt:i4>5</vt:i4>
      </vt:variant>
      <vt:variant>
        <vt:lpwstr/>
      </vt:variant>
      <vt:variant>
        <vt:lpwstr>_Toc222823319</vt:lpwstr>
      </vt:variant>
      <vt:variant>
        <vt:i4>2031665</vt:i4>
      </vt:variant>
      <vt:variant>
        <vt:i4>86</vt:i4>
      </vt:variant>
      <vt:variant>
        <vt:i4>0</vt:i4>
      </vt:variant>
      <vt:variant>
        <vt:i4>5</vt:i4>
      </vt:variant>
      <vt:variant>
        <vt:lpwstr/>
      </vt:variant>
      <vt:variant>
        <vt:lpwstr>_Toc222823318</vt:lpwstr>
      </vt:variant>
      <vt:variant>
        <vt:i4>2031665</vt:i4>
      </vt:variant>
      <vt:variant>
        <vt:i4>80</vt:i4>
      </vt:variant>
      <vt:variant>
        <vt:i4>0</vt:i4>
      </vt:variant>
      <vt:variant>
        <vt:i4>5</vt:i4>
      </vt:variant>
      <vt:variant>
        <vt:lpwstr/>
      </vt:variant>
      <vt:variant>
        <vt:lpwstr>_Toc222823317</vt:lpwstr>
      </vt:variant>
      <vt:variant>
        <vt:i4>2031665</vt:i4>
      </vt:variant>
      <vt:variant>
        <vt:i4>74</vt:i4>
      </vt:variant>
      <vt:variant>
        <vt:i4>0</vt:i4>
      </vt:variant>
      <vt:variant>
        <vt:i4>5</vt:i4>
      </vt:variant>
      <vt:variant>
        <vt:lpwstr/>
      </vt:variant>
      <vt:variant>
        <vt:lpwstr>_Toc222823316</vt:lpwstr>
      </vt:variant>
      <vt:variant>
        <vt:i4>2031665</vt:i4>
      </vt:variant>
      <vt:variant>
        <vt:i4>68</vt:i4>
      </vt:variant>
      <vt:variant>
        <vt:i4>0</vt:i4>
      </vt:variant>
      <vt:variant>
        <vt:i4>5</vt:i4>
      </vt:variant>
      <vt:variant>
        <vt:lpwstr/>
      </vt:variant>
      <vt:variant>
        <vt:lpwstr>_Toc222823315</vt:lpwstr>
      </vt:variant>
      <vt:variant>
        <vt:i4>2031665</vt:i4>
      </vt:variant>
      <vt:variant>
        <vt:i4>62</vt:i4>
      </vt:variant>
      <vt:variant>
        <vt:i4>0</vt:i4>
      </vt:variant>
      <vt:variant>
        <vt:i4>5</vt:i4>
      </vt:variant>
      <vt:variant>
        <vt:lpwstr/>
      </vt:variant>
      <vt:variant>
        <vt:lpwstr>_Toc222823314</vt:lpwstr>
      </vt:variant>
      <vt:variant>
        <vt:i4>2031665</vt:i4>
      </vt:variant>
      <vt:variant>
        <vt:i4>56</vt:i4>
      </vt:variant>
      <vt:variant>
        <vt:i4>0</vt:i4>
      </vt:variant>
      <vt:variant>
        <vt:i4>5</vt:i4>
      </vt:variant>
      <vt:variant>
        <vt:lpwstr/>
      </vt:variant>
      <vt:variant>
        <vt:lpwstr>_Toc222823313</vt:lpwstr>
      </vt:variant>
      <vt:variant>
        <vt:i4>2031665</vt:i4>
      </vt:variant>
      <vt:variant>
        <vt:i4>50</vt:i4>
      </vt:variant>
      <vt:variant>
        <vt:i4>0</vt:i4>
      </vt:variant>
      <vt:variant>
        <vt:i4>5</vt:i4>
      </vt:variant>
      <vt:variant>
        <vt:lpwstr/>
      </vt:variant>
      <vt:variant>
        <vt:lpwstr>_Toc222823312</vt:lpwstr>
      </vt:variant>
      <vt:variant>
        <vt:i4>2031665</vt:i4>
      </vt:variant>
      <vt:variant>
        <vt:i4>44</vt:i4>
      </vt:variant>
      <vt:variant>
        <vt:i4>0</vt:i4>
      </vt:variant>
      <vt:variant>
        <vt:i4>5</vt:i4>
      </vt:variant>
      <vt:variant>
        <vt:lpwstr/>
      </vt:variant>
      <vt:variant>
        <vt:lpwstr>_Toc222823311</vt:lpwstr>
      </vt:variant>
      <vt:variant>
        <vt:i4>2031665</vt:i4>
      </vt:variant>
      <vt:variant>
        <vt:i4>38</vt:i4>
      </vt:variant>
      <vt:variant>
        <vt:i4>0</vt:i4>
      </vt:variant>
      <vt:variant>
        <vt:i4>5</vt:i4>
      </vt:variant>
      <vt:variant>
        <vt:lpwstr/>
      </vt:variant>
      <vt:variant>
        <vt:lpwstr>_Toc222823310</vt:lpwstr>
      </vt:variant>
      <vt:variant>
        <vt:i4>1966129</vt:i4>
      </vt:variant>
      <vt:variant>
        <vt:i4>32</vt:i4>
      </vt:variant>
      <vt:variant>
        <vt:i4>0</vt:i4>
      </vt:variant>
      <vt:variant>
        <vt:i4>5</vt:i4>
      </vt:variant>
      <vt:variant>
        <vt:lpwstr/>
      </vt:variant>
      <vt:variant>
        <vt:lpwstr>_Toc222823309</vt:lpwstr>
      </vt:variant>
      <vt:variant>
        <vt:i4>1966129</vt:i4>
      </vt:variant>
      <vt:variant>
        <vt:i4>26</vt:i4>
      </vt:variant>
      <vt:variant>
        <vt:i4>0</vt:i4>
      </vt:variant>
      <vt:variant>
        <vt:i4>5</vt:i4>
      </vt:variant>
      <vt:variant>
        <vt:lpwstr/>
      </vt:variant>
      <vt:variant>
        <vt:lpwstr>_Toc222823308</vt:lpwstr>
      </vt:variant>
      <vt:variant>
        <vt:i4>1966129</vt:i4>
      </vt:variant>
      <vt:variant>
        <vt:i4>20</vt:i4>
      </vt:variant>
      <vt:variant>
        <vt:i4>0</vt:i4>
      </vt:variant>
      <vt:variant>
        <vt:i4>5</vt:i4>
      </vt:variant>
      <vt:variant>
        <vt:lpwstr/>
      </vt:variant>
      <vt:variant>
        <vt:lpwstr>_Toc222823307</vt:lpwstr>
      </vt:variant>
      <vt:variant>
        <vt:i4>1966129</vt:i4>
      </vt:variant>
      <vt:variant>
        <vt:i4>14</vt:i4>
      </vt:variant>
      <vt:variant>
        <vt:i4>0</vt:i4>
      </vt:variant>
      <vt:variant>
        <vt:i4>5</vt:i4>
      </vt:variant>
      <vt:variant>
        <vt:lpwstr/>
      </vt:variant>
      <vt:variant>
        <vt:lpwstr>_Toc222823306</vt:lpwstr>
      </vt:variant>
      <vt:variant>
        <vt:i4>1966129</vt:i4>
      </vt:variant>
      <vt:variant>
        <vt:i4>8</vt:i4>
      </vt:variant>
      <vt:variant>
        <vt:i4>0</vt:i4>
      </vt:variant>
      <vt:variant>
        <vt:i4>5</vt:i4>
      </vt:variant>
      <vt:variant>
        <vt:lpwstr/>
      </vt:variant>
      <vt:variant>
        <vt:lpwstr>_Toc222823305</vt:lpwstr>
      </vt:variant>
      <vt:variant>
        <vt:i4>1966129</vt:i4>
      </vt:variant>
      <vt:variant>
        <vt:i4>2</vt:i4>
      </vt:variant>
      <vt:variant>
        <vt:i4>0</vt:i4>
      </vt:variant>
      <vt:variant>
        <vt:i4>5</vt:i4>
      </vt:variant>
      <vt:variant>
        <vt:lpwstr/>
      </vt:variant>
      <vt:variant>
        <vt:lpwstr>_Toc222823304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Funding Strategy Statement</dc:title>
  <dc:subject/>
  <dc:creator>Emma Davidson</dc:creator>
  <cp:keywords/>
  <dc:description/>
  <cp:lastModifiedBy>Justine Spring</cp:lastModifiedBy>
  <cp:revision>2</cp:revision>
  <dcterms:created xsi:type="dcterms:W3CDTF">2026-10-07T13:43:00Z</dcterms:created>
  <dcterms:modified xsi:type="dcterms:W3CDTF">2026-10-07T13:43:00Z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0x0101003D111B80989C2F48A98656A918A919A0006F0826163FA5534889CC93342288752E</vt:lpwstr>
  </property>
  <property fmtid="{D5CDD505-2E9C-101B-9397-08002B2CF9AE}" pid="3" name="MediaServiceImageTags">
    <vt:lpwstr/>
  </property>
  <property fmtid="{D5CDD505-2E9C-101B-9397-08002B2CF9AE}" pid="4" name="LGCS">
    <vt:lpwstr/>
  </property>
  <property fmtid="{D5CDD505-2E9C-101B-9397-08002B2CF9AE}" pid="5" name="CType">
    <vt:lpwstr/>
  </property>
  <property fmtid="{D5CDD505-2E9C-101B-9397-08002B2CF9AE}" pid="6" name="_dlc_DocIdItemGuid">
    <vt:lpwstr>9cfc5f07-c51e-4899-a03e-7478e97a7f1e</vt:lpwstr>
  </property>
  <property fmtid="{D5CDD505-2E9C-101B-9397-08002B2CF9AE}" pid="7" name="Financial_x0020_Year">
    <vt:lpwstr/>
  </property>
  <property fmtid="{D5CDD505-2E9C-101B-9397-08002B2CF9AE}" pid="8" name="a8455ed1fd22475083a09a91de16b8fd">
    <vt:lpwstr/>
  </property>
  <property fmtid="{D5CDD505-2E9C-101B-9397-08002B2CF9AE}" pid="9" name="Financial Year">
    <vt:lpwstr/>
  </property>
</Properties>
</file>