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2B4A" w14:textId="4B026020" w:rsidR="003C45DA" w:rsidRPr="00A94B4C" w:rsidRDefault="00064F01" w:rsidP="003C45DA">
      <w:pPr>
        <w:spacing w:after="200" w:line="276" w:lineRule="auto"/>
        <w:rPr>
          <w:rFonts w:ascii="Arial" w:hAnsi="Arial" w:cs="Arial"/>
          <w:b/>
          <w:color w:val="000000"/>
          <w:sz w:val="32"/>
          <w:szCs w:val="32"/>
          <w:vertAlign w:val="superscript"/>
        </w:rPr>
      </w:pPr>
      <w:r>
        <w:rPr>
          <w:noProof/>
        </w:rPr>
        <w:drawing>
          <wp:anchor distT="0" distB="0" distL="114300" distR="114300" simplePos="0" relativeHeight="251659264" behindDoc="1" locked="0" layoutInCell="1" allowOverlap="1" wp14:anchorId="1BB076BB" wp14:editId="22A5D5B5">
            <wp:simplePos x="0" y="0"/>
            <wp:positionH relativeFrom="margin">
              <wp:posOffset>2215975</wp:posOffset>
            </wp:positionH>
            <wp:positionV relativeFrom="paragraph">
              <wp:posOffset>-5715</wp:posOffset>
            </wp:positionV>
            <wp:extent cx="3516285" cy="1781175"/>
            <wp:effectExtent l="0" t="0" r="8255" b="0"/>
            <wp:wrapNone/>
            <wp:docPr id="1" name="Picture 1" descr="A black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438" cy="1785305"/>
                    </a:xfrm>
                    <a:prstGeom prst="rect">
                      <a:avLst/>
                    </a:prstGeom>
                  </pic:spPr>
                </pic:pic>
              </a:graphicData>
            </a:graphic>
            <wp14:sizeRelH relativeFrom="page">
              <wp14:pctWidth>0</wp14:pctWidth>
            </wp14:sizeRelH>
            <wp14:sizeRelV relativeFrom="page">
              <wp14:pctHeight>0</wp14:pctHeight>
            </wp14:sizeRelV>
          </wp:anchor>
        </w:drawing>
      </w:r>
    </w:p>
    <w:p w14:paraId="107B7593" w14:textId="48042E92" w:rsidR="003C45DA" w:rsidRPr="00C93105" w:rsidRDefault="003C45DA" w:rsidP="003C45DA">
      <w:pPr>
        <w:ind w:left="720"/>
        <w:jc w:val="both"/>
        <w:rPr>
          <w:rFonts w:ascii="Arial" w:hAnsi="Arial" w:cs="Arial"/>
          <w:b/>
          <w:sz w:val="32"/>
          <w:szCs w:val="32"/>
        </w:rPr>
      </w:pPr>
    </w:p>
    <w:p w14:paraId="6B5A4B03" w14:textId="3F738051" w:rsidR="003C45DA" w:rsidRPr="00C93105" w:rsidRDefault="003C45DA" w:rsidP="003C45DA">
      <w:pPr>
        <w:ind w:left="720"/>
        <w:jc w:val="both"/>
        <w:rPr>
          <w:rFonts w:ascii="Arial" w:hAnsi="Arial" w:cs="Arial"/>
          <w:sz w:val="22"/>
          <w:szCs w:val="22"/>
        </w:rPr>
      </w:pPr>
    </w:p>
    <w:p w14:paraId="01FC9E4A" w14:textId="2EC2099F" w:rsidR="003C45DA" w:rsidRPr="00C93105" w:rsidRDefault="003C45DA" w:rsidP="003C45DA">
      <w:pPr>
        <w:ind w:left="720"/>
        <w:jc w:val="both"/>
        <w:rPr>
          <w:rFonts w:ascii="Arial" w:hAnsi="Arial" w:cs="Arial"/>
          <w:sz w:val="22"/>
          <w:szCs w:val="22"/>
        </w:rPr>
      </w:pPr>
    </w:p>
    <w:p w14:paraId="53513B72" w14:textId="77777777" w:rsidR="003C45DA" w:rsidRPr="00C93105" w:rsidRDefault="003C45DA" w:rsidP="003C45DA">
      <w:pPr>
        <w:ind w:left="720"/>
        <w:jc w:val="both"/>
        <w:rPr>
          <w:rFonts w:ascii="Arial" w:hAnsi="Arial" w:cs="Arial"/>
          <w:sz w:val="22"/>
          <w:szCs w:val="22"/>
        </w:rPr>
      </w:pPr>
    </w:p>
    <w:p w14:paraId="6E6277F4" w14:textId="7B10B526" w:rsidR="003C45DA" w:rsidRPr="00C93105" w:rsidRDefault="003C45DA" w:rsidP="003C45DA">
      <w:pPr>
        <w:ind w:left="720"/>
        <w:jc w:val="both"/>
        <w:rPr>
          <w:rFonts w:ascii="Arial" w:hAnsi="Arial" w:cs="Arial"/>
          <w:sz w:val="22"/>
          <w:szCs w:val="22"/>
        </w:rPr>
      </w:pPr>
    </w:p>
    <w:p w14:paraId="52A0BFEE" w14:textId="77777777" w:rsidR="003C45DA" w:rsidRPr="00C93105" w:rsidRDefault="003C45DA" w:rsidP="003C45DA">
      <w:pPr>
        <w:ind w:left="720"/>
        <w:jc w:val="both"/>
        <w:rPr>
          <w:rFonts w:ascii="Arial" w:hAnsi="Arial" w:cs="Arial"/>
          <w:sz w:val="22"/>
          <w:szCs w:val="22"/>
        </w:rPr>
      </w:pPr>
    </w:p>
    <w:p w14:paraId="7BEFE3B3" w14:textId="77777777" w:rsidR="003C45DA" w:rsidRPr="00C93105" w:rsidRDefault="003C45DA" w:rsidP="003C45DA">
      <w:pPr>
        <w:ind w:left="720"/>
        <w:jc w:val="both"/>
        <w:rPr>
          <w:rFonts w:ascii="Arial" w:hAnsi="Arial" w:cs="Arial"/>
          <w:b/>
        </w:rPr>
      </w:pPr>
    </w:p>
    <w:p w14:paraId="3CFF4CDA" w14:textId="77777777" w:rsidR="003C45DA" w:rsidRPr="00C93105" w:rsidRDefault="003C45DA" w:rsidP="003C45DA">
      <w:pPr>
        <w:ind w:left="720"/>
        <w:jc w:val="both"/>
        <w:rPr>
          <w:rFonts w:ascii="Arial" w:hAnsi="Arial" w:cs="Arial"/>
          <w:b/>
        </w:rPr>
      </w:pPr>
    </w:p>
    <w:p w14:paraId="293426BB" w14:textId="77777777" w:rsidR="003C45DA" w:rsidRPr="00C93105" w:rsidRDefault="003C45DA" w:rsidP="003C45DA">
      <w:pPr>
        <w:ind w:left="720"/>
        <w:jc w:val="both"/>
        <w:rPr>
          <w:rFonts w:ascii="Arial" w:hAnsi="Arial" w:cs="Arial"/>
          <w:b/>
        </w:rPr>
      </w:pPr>
    </w:p>
    <w:p w14:paraId="50BE9E1D" w14:textId="77777777" w:rsidR="003C45DA" w:rsidRPr="00C93105" w:rsidRDefault="003C45DA" w:rsidP="003C45DA">
      <w:pPr>
        <w:ind w:left="720"/>
        <w:jc w:val="both"/>
        <w:rPr>
          <w:rFonts w:ascii="Arial" w:hAnsi="Arial" w:cs="Arial"/>
          <w:b/>
        </w:rPr>
      </w:pPr>
    </w:p>
    <w:p w14:paraId="3BC491A2" w14:textId="77777777" w:rsidR="003C45DA" w:rsidRPr="00C93105" w:rsidRDefault="003C45DA" w:rsidP="003C45DA">
      <w:pPr>
        <w:ind w:left="720"/>
        <w:jc w:val="both"/>
        <w:rPr>
          <w:rFonts w:ascii="Arial" w:hAnsi="Arial" w:cs="Arial"/>
          <w:b/>
        </w:rPr>
      </w:pPr>
    </w:p>
    <w:p w14:paraId="7F13B82F" w14:textId="77777777" w:rsidR="003C45DA" w:rsidRPr="00C93105" w:rsidRDefault="003C45DA" w:rsidP="003C45DA">
      <w:pPr>
        <w:ind w:left="720"/>
        <w:jc w:val="both"/>
        <w:rPr>
          <w:rFonts w:ascii="Arial" w:hAnsi="Arial" w:cs="Arial"/>
          <w:b/>
        </w:rPr>
      </w:pPr>
    </w:p>
    <w:p w14:paraId="328DD617" w14:textId="77777777" w:rsidR="003C45DA" w:rsidRPr="00C93105" w:rsidRDefault="003C45DA" w:rsidP="003C45DA">
      <w:pPr>
        <w:ind w:left="720"/>
        <w:jc w:val="both"/>
        <w:rPr>
          <w:rFonts w:ascii="Arial" w:hAnsi="Arial" w:cs="Arial"/>
          <w:b/>
        </w:rPr>
      </w:pPr>
    </w:p>
    <w:p w14:paraId="065B034E" w14:textId="77777777" w:rsidR="003C45DA" w:rsidRPr="00C93105" w:rsidRDefault="003C45DA" w:rsidP="003C45DA">
      <w:pPr>
        <w:ind w:left="720"/>
        <w:jc w:val="both"/>
        <w:rPr>
          <w:rFonts w:ascii="Arial" w:hAnsi="Arial" w:cs="Arial"/>
          <w:b/>
        </w:rPr>
      </w:pPr>
    </w:p>
    <w:p w14:paraId="6C9A7DBB" w14:textId="77777777" w:rsidR="003C45DA" w:rsidRPr="00C93105" w:rsidRDefault="003C45DA" w:rsidP="003C45DA">
      <w:pPr>
        <w:ind w:left="720"/>
        <w:jc w:val="both"/>
        <w:rPr>
          <w:rFonts w:ascii="Arial" w:hAnsi="Arial" w:cs="Arial"/>
          <w:b/>
        </w:rPr>
      </w:pPr>
    </w:p>
    <w:p w14:paraId="7DD66A30" w14:textId="77777777" w:rsidR="003C45DA" w:rsidRPr="00C93105" w:rsidRDefault="003C45DA" w:rsidP="003C45DA">
      <w:pPr>
        <w:ind w:left="720"/>
        <w:jc w:val="both"/>
        <w:rPr>
          <w:rFonts w:ascii="Arial" w:hAnsi="Arial" w:cs="Arial"/>
          <w:b/>
        </w:rPr>
      </w:pPr>
    </w:p>
    <w:p w14:paraId="25B4AC00" w14:textId="77777777" w:rsidR="003C45DA" w:rsidRPr="00C93105" w:rsidRDefault="003C45DA" w:rsidP="003C45DA">
      <w:pPr>
        <w:ind w:left="720"/>
        <w:jc w:val="both"/>
        <w:rPr>
          <w:rFonts w:ascii="Arial" w:hAnsi="Arial" w:cs="Arial"/>
          <w:b/>
        </w:rPr>
      </w:pPr>
    </w:p>
    <w:p w14:paraId="1F373985" w14:textId="2669C167" w:rsidR="003C45DA" w:rsidRPr="00EC7896" w:rsidRDefault="003C45DA" w:rsidP="003C45DA">
      <w:pPr>
        <w:jc w:val="center"/>
        <w:rPr>
          <w:rFonts w:ascii="Arial" w:hAnsi="Arial" w:cs="Arial"/>
          <w:b/>
          <w:sz w:val="96"/>
          <w:szCs w:val="96"/>
        </w:rPr>
      </w:pPr>
      <w:r w:rsidRPr="00E56494">
        <w:rPr>
          <w:rFonts w:ascii="Arial" w:hAnsi="Arial" w:cs="Arial"/>
          <w:b/>
          <w:sz w:val="96"/>
          <w:szCs w:val="96"/>
        </w:rPr>
        <w:t>Pension Fund Accounts</w:t>
      </w:r>
    </w:p>
    <w:p w14:paraId="24A65BAA" w14:textId="77777777" w:rsidR="003C45DA" w:rsidRPr="003C4D10" w:rsidRDefault="003C45DA" w:rsidP="003C45DA">
      <w:pPr>
        <w:jc w:val="center"/>
        <w:rPr>
          <w:rFonts w:ascii="Arial" w:hAnsi="Arial" w:cs="Arial"/>
          <w:b/>
          <w:sz w:val="72"/>
          <w:szCs w:val="72"/>
        </w:rPr>
      </w:pPr>
    </w:p>
    <w:p w14:paraId="1D175304" w14:textId="77777777" w:rsidR="003C45DA" w:rsidRPr="003C4D10" w:rsidRDefault="003C45DA" w:rsidP="003C45DA">
      <w:pPr>
        <w:jc w:val="center"/>
        <w:rPr>
          <w:rFonts w:ascii="Arial" w:hAnsi="Arial" w:cs="Arial"/>
          <w:b/>
          <w:sz w:val="72"/>
          <w:szCs w:val="72"/>
        </w:rPr>
      </w:pPr>
      <w:r w:rsidRPr="003C4D10">
        <w:rPr>
          <w:rFonts w:ascii="Arial" w:hAnsi="Arial" w:cs="Arial"/>
          <w:b/>
          <w:sz w:val="72"/>
          <w:szCs w:val="72"/>
        </w:rPr>
        <w:t>for the year ended</w:t>
      </w:r>
    </w:p>
    <w:p w14:paraId="22D87428" w14:textId="77777777" w:rsidR="003C45DA" w:rsidRPr="003C4D10" w:rsidRDefault="003C45DA" w:rsidP="003C45DA">
      <w:pPr>
        <w:jc w:val="center"/>
        <w:rPr>
          <w:rFonts w:ascii="Arial" w:hAnsi="Arial" w:cs="Arial"/>
          <w:b/>
          <w:sz w:val="72"/>
          <w:szCs w:val="72"/>
        </w:rPr>
      </w:pPr>
    </w:p>
    <w:p w14:paraId="64ECE2BE" w14:textId="6A865CB0" w:rsidR="003C45DA" w:rsidRPr="003C4D10" w:rsidRDefault="003C45DA" w:rsidP="003C45DA">
      <w:pPr>
        <w:jc w:val="center"/>
        <w:rPr>
          <w:rFonts w:ascii="Arial" w:hAnsi="Arial" w:cs="Arial"/>
          <w:b/>
          <w:sz w:val="72"/>
          <w:szCs w:val="72"/>
        </w:rPr>
      </w:pPr>
      <w:r w:rsidRPr="003C4D10">
        <w:rPr>
          <w:rFonts w:ascii="Arial" w:hAnsi="Arial" w:cs="Arial"/>
          <w:b/>
          <w:sz w:val="72"/>
          <w:szCs w:val="72"/>
        </w:rPr>
        <w:t>31 March 20</w:t>
      </w:r>
      <w:r w:rsidR="00CA6E06">
        <w:rPr>
          <w:rFonts w:ascii="Arial" w:hAnsi="Arial" w:cs="Arial"/>
          <w:b/>
          <w:sz w:val="72"/>
          <w:szCs w:val="72"/>
        </w:rPr>
        <w:t>2</w:t>
      </w:r>
      <w:r w:rsidR="002E1403">
        <w:rPr>
          <w:rFonts w:ascii="Arial" w:hAnsi="Arial" w:cs="Arial"/>
          <w:b/>
          <w:sz w:val="72"/>
          <w:szCs w:val="72"/>
        </w:rPr>
        <w:t>5</w:t>
      </w:r>
    </w:p>
    <w:p w14:paraId="6EC38669" w14:textId="77777777" w:rsidR="003C45DA" w:rsidRPr="00C93105" w:rsidRDefault="003C45DA" w:rsidP="003C45DA">
      <w:pPr>
        <w:jc w:val="center"/>
        <w:rPr>
          <w:rFonts w:ascii="Arial" w:hAnsi="Arial" w:cs="Arial"/>
          <w:b/>
          <w:sz w:val="72"/>
          <w:szCs w:val="72"/>
        </w:rPr>
      </w:pPr>
    </w:p>
    <w:p w14:paraId="5E085FDB" w14:textId="77777777" w:rsidR="003C45DA" w:rsidRPr="00C93105" w:rsidRDefault="003C45DA" w:rsidP="003C45DA">
      <w:pPr>
        <w:ind w:left="720"/>
        <w:jc w:val="center"/>
        <w:rPr>
          <w:rFonts w:ascii="Arial" w:hAnsi="Arial" w:cs="Arial"/>
          <w:b/>
          <w:sz w:val="72"/>
          <w:szCs w:val="72"/>
        </w:rPr>
      </w:pPr>
    </w:p>
    <w:p w14:paraId="02523C30" w14:textId="77777777" w:rsidR="003C45DA" w:rsidRPr="00B056DE" w:rsidRDefault="003C45DA" w:rsidP="003C45DA">
      <w:pPr>
        <w:jc w:val="center"/>
        <w:rPr>
          <w:rFonts w:ascii="Arial" w:hAnsi="Arial" w:cs="Arial"/>
          <w:b/>
          <w:sz w:val="28"/>
          <w:szCs w:val="28"/>
        </w:rPr>
      </w:pPr>
      <w:r w:rsidRPr="00C93105">
        <w:rPr>
          <w:rFonts w:ascii="Arial" w:hAnsi="Arial" w:cs="Arial"/>
          <w:b/>
        </w:rPr>
        <w:br w:type="page"/>
      </w:r>
    </w:p>
    <w:p w14:paraId="27DBB8EF" w14:textId="77777777" w:rsidR="003C45DA" w:rsidRPr="008A0A4E" w:rsidRDefault="003C45DA" w:rsidP="003C45DA">
      <w:pPr>
        <w:jc w:val="center"/>
        <w:rPr>
          <w:rFonts w:ascii="Arial" w:hAnsi="Arial" w:cs="Arial"/>
          <w:b/>
          <w:sz w:val="28"/>
          <w:szCs w:val="28"/>
        </w:rPr>
      </w:pPr>
      <w:bookmarkStart w:id="0" w:name="_Hlk190345160"/>
      <w:r w:rsidRPr="008A0A4E">
        <w:rPr>
          <w:rFonts w:ascii="Arial" w:hAnsi="Arial" w:cs="Arial"/>
          <w:b/>
          <w:sz w:val="28"/>
          <w:szCs w:val="28"/>
        </w:rPr>
        <w:lastRenderedPageBreak/>
        <w:t xml:space="preserve">London Borough of Barking and Dagenham </w:t>
      </w:r>
    </w:p>
    <w:p w14:paraId="335264D8" w14:textId="55183A8B" w:rsidR="003C45DA" w:rsidRPr="008A0A4E" w:rsidRDefault="003C45DA" w:rsidP="003C45DA">
      <w:pPr>
        <w:jc w:val="center"/>
        <w:rPr>
          <w:rFonts w:ascii="Arial" w:hAnsi="Arial" w:cs="Arial"/>
          <w:b/>
          <w:bCs/>
          <w:color w:val="000000"/>
          <w:sz w:val="28"/>
          <w:szCs w:val="28"/>
        </w:rPr>
      </w:pPr>
      <w:r w:rsidRPr="008A0A4E">
        <w:rPr>
          <w:rFonts w:ascii="Arial" w:hAnsi="Arial" w:cs="Arial"/>
          <w:b/>
          <w:sz w:val="28"/>
          <w:szCs w:val="28"/>
        </w:rPr>
        <w:t xml:space="preserve">Pension </w:t>
      </w:r>
      <w:r w:rsidRPr="008A0A4E">
        <w:rPr>
          <w:rFonts w:ascii="Arial" w:hAnsi="Arial" w:cs="Arial"/>
          <w:b/>
          <w:bCs/>
          <w:color w:val="000000"/>
          <w:sz w:val="28"/>
          <w:szCs w:val="28"/>
        </w:rPr>
        <w:t>Fund Account</w:t>
      </w:r>
      <w:r w:rsidR="00E17C50">
        <w:rPr>
          <w:rFonts w:ascii="Arial" w:hAnsi="Arial" w:cs="Arial"/>
          <w:b/>
          <w:bCs/>
          <w:color w:val="000000"/>
          <w:sz w:val="28"/>
          <w:szCs w:val="28"/>
        </w:rPr>
        <w:t>s</w:t>
      </w:r>
    </w:p>
    <w:p w14:paraId="7AF38FE7" w14:textId="77777777" w:rsidR="003C45DA" w:rsidRPr="008A0A4E" w:rsidRDefault="003C45DA" w:rsidP="003C45DA">
      <w:pPr>
        <w:jc w:val="center"/>
        <w:rPr>
          <w:rFonts w:ascii="Arial" w:hAnsi="Arial" w:cs="Arial"/>
          <w:b/>
          <w:bCs/>
          <w:color w:val="000000"/>
          <w:sz w:val="28"/>
          <w:szCs w:val="28"/>
        </w:rPr>
      </w:pPr>
    </w:p>
    <w:tbl>
      <w:tblPr>
        <w:tblW w:w="9639" w:type="dxa"/>
        <w:tblLook w:val="04A0" w:firstRow="1" w:lastRow="0" w:firstColumn="1" w:lastColumn="0" w:noHBand="0" w:noVBand="1"/>
      </w:tblPr>
      <w:tblGrid>
        <w:gridCol w:w="5387"/>
        <w:gridCol w:w="1134"/>
        <w:gridCol w:w="1559"/>
        <w:gridCol w:w="1559"/>
      </w:tblGrid>
      <w:tr w:rsidR="00462F3F" w:rsidRPr="00A31D93" w14:paraId="009C741A" w14:textId="77777777" w:rsidTr="00462F3F">
        <w:trPr>
          <w:trHeight w:val="234"/>
        </w:trPr>
        <w:tc>
          <w:tcPr>
            <w:tcW w:w="5387" w:type="dxa"/>
            <w:tcBorders>
              <w:top w:val="nil"/>
              <w:bottom w:val="nil"/>
              <w:right w:val="nil"/>
            </w:tcBorders>
            <w:shd w:val="clear" w:color="000000" w:fill="FFFFFF"/>
            <w:vAlign w:val="center"/>
            <w:hideMark/>
          </w:tcPr>
          <w:p w14:paraId="6CE47E29" w14:textId="77777777" w:rsidR="00462F3F" w:rsidRPr="008A0A4E" w:rsidRDefault="00462F3F" w:rsidP="00462F3F">
            <w:pPr>
              <w:jc w:val="center"/>
              <w:rPr>
                <w:rFonts w:ascii="Arial" w:hAnsi="Arial" w:cs="Arial"/>
                <w:b/>
                <w:bCs/>
                <w:color w:val="000000"/>
                <w:sz w:val="22"/>
                <w:szCs w:val="22"/>
              </w:rPr>
            </w:pPr>
            <w:bookmarkStart w:id="1" w:name="_Hlk9586995"/>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center"/>
            <w:hideMark/>
          </w:tcPr>
          <w:p w14:paraId="14C8E4CE" w14:textId="77777777" w:rsidR="00462F3F" w:rsidRPr="00A31D93" w:rsidRDefault="00462F3F" w:rsidP="00462F3F">
            <w:pPr>
              <w:jc w:val="center"/>
              <w:rPr>
                <w:rFonts w:ascii="Arial" w:hAnsi="Arial" w:cs="Arial"/>
                <w:b/>
                <w:bCs/>
                <w:color w:val="000000"/>
                <w:sz w:val="22"/>
                <w:szCs w:val="22"/>
              </w:rPr>
            </w:pPr>
            <w:r w:rsidRPr="00A31D93">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119153E7" w14:textId="6A93F457" w:rsidR="00462F3F" w:rsidRPr="002D1995" w:rsidRDefault="002E1403" w:rsidP="00692913">
            <w:pPr>
              <w:jc w:val="center"/>
              <w:rPr>
                <w:rFonts w:ascii="Arial" w:hAnsi="Arial" w:cs="Arial"/>
                <w:b/>
                <w:color w:val="000000"/>
                <w:sz w:val="22"/>
                <w:szCs w:val="22"/>
              </w:rPr>
            </w:pPr>
            <w:r w:rsidRPr="002D1995">
              <w:rPr>
                <w:rFonts w:ascii="Arial" w:hAnsi="Arial" w:cs="Arial"/>
                <w:b/>
                <w:color w:val="000000"/>
                <w:sz w:val="22"/>
                <w:szCs w:val="22"/>
              </w:rPr>
              <w:t>2023/24</w:t>
            </w:r>
          </w:p>
        </w:tc>
        <w:tc>
          <w:tcPr>
            <w:tcW w:w="1559" w:type="dxa"/>
            <w:tcBorders>
              <w:top w:val="nil"/>
              <w:left w:val="nil"/>
              <w:bottom w:val="nil"/>
              <w:right w:val="nil"/>
            </w:tcBorders>
            <w:shd w:val="clear" w:color="000000" w:fill="FFFFFF"/>
            <w:vAlign w:val="center"/>
          </w:tcPr>
          <w:p w14:paraId="32B5B98F" w14:textId="3840E5F6" w:rsidR="00462F3F" w:rsidRPr="00A31D93" w:rsidRDefault="0020497C" w:rsidP="00692913">
            <w:pPr>
              <w:jc w:val="center"/>
              <w:rPr>
                <w:rFonts w:ascii="Arial" w:hAnsi="Arial" w:cs="Arial"/>
                <w:b/>
                <w:color w:val="000000"/>
                <w:sz w:val="22"/>
                <w:szCs w:val="22"/>
              </w:rPr>
            </w:pPr>
            <w:r w:rsidRPr="00A31D93">
              <w:rPr>
                <w:rFonts w:ascii="Arial" w:hAnsi="Arial" w:cs="Arial"/>
                <w:b/>
                <w:color w:val="000000"/>
                <w:sz w:val="22"/>
                <w:szCs w:val="22"/>
              </w:rPr>
              <w:t>202</w:t>
            </w:r>
            <w:r w:rsidR="005E7084" w:rsidRPr="00A31D93">
              <w:rPr>
                <w:rFonts w:ascii="Arial" w:hAnsi="Arial" w:cs="Arial"/>
                <w:b/>
                <w:color w:val="000000"/>
                <w:sz w:val="22"/>
                <w:szCs w:val="22"/>
              </w:rPr>
              <w:t>4</w:t>
            </w:r>
            <w:r w:rsidR="00D015C2" w:rsidRPr="00A31D93">
              <w:rPr>
                <w:rFonts w:ascii="Arial" w:hAnsi="Arial" w:cs="Arial"/>
                <w:b/>
                <w:color w:val="000000"/>
                <w:sz w:val="22"/>
                <w:szCs w:val="22"/>
              </w:rPr>
              <w:t>/2</w:t>
            </w:r>
            <w:r w:rsidR="005E7084" w:rsidRPr="00A31D93">
              <w:rPr>
                <w:rFonts w:ascii="Arial" w:hAnsi="Arial" w:cs="Arial"/>
                <w:b/>
                <w:color w:val="000000"/>
                <w:sz w:val="22"/>
                <w:szCs w:val="22"/>
              </w:rPr>
              <w:t>5</w:t>
            </w:r>
          </w:p>
        </w:tc>
      </w:tr>
      <w:tr w:rsidR="00462F3F" w:rsidRPr="00A31D93" w14:paraId="460F7118" w14:textId="77777777" w:rsidTr="00462F3F">
        <w:trPr>
          <w:trHeight w:val="234"/>
        </w:trPr>
        <w:tc>
          <w:tcPr>
            <w:tcW w:w="5387" w:type="dxa"/>
            <w:tcBorders>
              <w:top w:val="nil"/>
              <w:bottom w:val="nil"/>
              <w:right w:val="nil"/>
            </w:tcBorders>
            <w:shd w:val="clear" w:color="000000" w:fill="FFFFFF"/>
            <w:noWrap/>
            <w:vAlign w:val="bottom"/>
            <w:hideMark/>
          </w:tcPr>
          <w:p w14:paraId="0D1EB20F" w14:textId="77777777" w:rsidR="00462F3F" w:rsidRPr="00A31D93" w:rsidRDefault="00462F3F" w:rsidP="00462F3F">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6DA1AE28" w14:textId="77777777" w:rsidR="00462F3F" w:rsidRPr="00A31D93" w:rsidRDefault="00462F3F" w:rsidP="00462F3F">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700534CF" w14:textId="04FBAFDE" w:rsidR="00462F3F" w:rsidRPr="002D1995" w:rsidRDefault="00462F3F" w:rsidP="00692913">
            <w:pPr>
              <w:jc w:val="center"/>
              <w:rPr>
                <w:rFonts w:ascii="Arial" w:hAnsi="Arial" w:cs="Arial"/>
                <w:b/>
                <w:color w:val="000000"/>
                <w:sz w:val="22"/>
                <w:szCs w:val="22"/>
              </w:rPr>
            </w:pPr>
            <w:r w:rsidRPr="002D1995">
              <w:rPr>
                <w:rFonts w:ascii="Arial" w:hAnsi="Arial" w:cs="Arial"/>
                <w:b/>
                <w:color w:val="000000"/>
                <w:sz w:val="22"/>
                <w:szCs w:val="22"/>
              </w:rPr>
              <w:t>£000</w:t>
            </w:r>
          </w:p>
        </w:tc>
        <w:tc>
          <w:tcPr>
            <w:tcW w:w="1559" w:type="dxa"/>
            <w:tcBorders>
              <w:top w:val="nil"/>
              <w:left w:val="nil"/>
              <w:bottom w:val="nil"/>
              <w:right w:val="nil"/>
            </w:tcBorders>
            <w:shd w:val="clear" w:color="000000" w:fill="FFFFFF"/>
            <w:vAlign w:val="bottom"/>
          </w:tcPr>
          <w:p w14:paraId="05631B00" w14:textId="77777777" w:rsidR="00462F3F" w:rsidRPr="00A31D93" w:rsidRDefault="00462F3F" w:rsidP="00692913">
            <w:pPr>
              <w:jc w:val="center"/>
              <w:rPr>
                <w:rFonts w:ascii="Arial" w:hAnsi="Arial" w:cs="Arial"/>
                <w:b/>
                <w:color w:val="000000"/>
                <w:sz w:val="22"/>
                <w:szCs w:val="22"/>
              </w:rPr>
            </w:pPr>
            <w:r w:rsidRPr="00A31D93">
              <w:rPr>
                <w:rFonts w:ascii="Arial" w:hAnsi="Arial" w:cs="Arial"/>
                <w:b/>
                <w:color w:val="000000"/>
                <w:sz w:val="22"/>
                <w:szCs w:val="22"/>
              </w:rPr>
              <w:t>£000</w:t>
            </w:r>
          </w:p>
        </w:tc>
      </w:tr>
      <w:tr w:rsidR="00462F3F" w:rsidRPr="00A31D93" w14:paraId="0AF9BCB2" w14:textId="77777777" w:rsidTr="00462F3F">
        <w:trPr>
          <w:trHeight w:val="234"/>
        </w:trPr>
        <w:tc>
          <w:tcPr>
            <w:tcW w:w="6521" w:type="dxa"/>
            <w:gridSpan w:val="2"/>
            <w:tcBorders>
              <w:top w:val="nil"/>
              <w:bottom w:val="nil"/>
              <w:right w:val="nil"/>
            </w:tcBorders>
            <w:shd w:val="clear" w:color="000000" w:fill="FFFFFF"/>
            <w:vAlign w:val="bottom"/>
            <w:hideMark/>
          </w:tcPr>
          <w:p w14:paraId="597271FF" w14:textId="77777777" w:rsidR="00462F3F" w:rsidRPr="00A31D93" w:rsidRDefault="00462F3F" w:rsidP="00462F3F">
            <w:pPr>
              <w:rPr>
                <w:rFonts w:ascii="Arial" w:hAnsi="Arial" w:cs="Arial"/>
                <w:b/>
                <w:bCs/>
                <w:color w:val="000000"/>
                <w:sz w:val="22"/>
                <w:szCs w:val="22"/>
              </w:rPr>
            </w:pPr>
            <w:r w:rsidRPr="00A31D93">
              <w:rPr>
                <w:rFonts w:ascii="Arial" w:hAnsi="Arial" w:cs="Arial"/>
                <w:b/>
                <w:bCs/>
                <w:color w:val="000000"/>
                <w:sz w:val="22"/>
                <w:szCs w:val="22"/>
              </w:rPr>
              <w:t>Dealings with members, employers and others directly involved in the scheme</w:t>
            </w:r>
          </w:p>
        </w:tc>
        <w:tc>
          <w:tcPr>
            <w:tcW w:w="1559" w:type="dxa"/>
            <w:tcBorders>
              <w:top w:val="nil"/>
              <w:left w:val="nil"/>
              <w:right w:val="nil"/>
            </w:tcBorders>
            <w:shd w:val="clear" w:color="000000" w:fill="FFFFFF"/>
            <w:noWrap/>
            <w:vAlign w:val="bottom"/>
          </w:tcPr>
          <w:p w14:paraId="168C1A08" w14:textId="77777777" w:rsidR="00462F3F" w:rsidRPr="00A31D93" w:rsidRDefault="00462F3F" w:rsidP="00462F3F">
            <w:pPr>
              <w:jc w:val="center"/>
              <w:rPr>
                <w:rFonts w:ascii="Arial" w:hAnsi="Arial" w:cs="Arial"/>
                <w:bCs/>
                <w:color w:val="000000"/>
                <w:sz w:val="22"/>
                <w:szCs w:val="22"/>
              </w:rPr>
            </w:pPr>
          </w:p>
        </w:tc>
        <w:tc>
          <w:tcPr>
            <w:tcW w:w="1559" w:type="dxa"/>
            <w:tcBorders>
              <w:top w:val="nil"/>
              <w:left w:val="nil"/>
              <w:right w:val="nil"/>
            </w:tcBorders>
            <w:shd w:val="clear" w:color="000000" w:fill="FFFFFF"/>
            <w:vAlign w:val="bottom"/>
          </w:tcPr>
          <w:p w14:paraId="17CF68F2" w14:textId="74C23BFB" w:rsidR="00462F3F" w:rsidRPr="00A31D93" w:rsidRDefault="00462F3F" w:rsidP="00462F3F">
            <w:pPr>
              <w:jc w:val="center"/>
              <w:rPr>
                <w:rFonts w:ascii="Arial" w:hAnsi="Arial" w:cs="Arial"/>
                <w:color w:val="000000"/>
                <w:sz w:val="22"/>
                <w:szCs w:val="22"/>
              </w:rPr>
            </w:pPr>
            <w:r w:rsidRPr="00A31D93">
              <w:rPr>
                <w:rFonts w:ascii="Arial" w:hAnsi="Arial" w:cs="Arial"/>
                <w:color w:val="000000"/>
                <w:sz w:val="22"/>
                <w:szCs w:val="22"/>
              </w:rPr>
              <w:t> </w:t>
            </w:r>
          </w:p>
        </w:tc>
      </w:tr>
      <w:tr w:rsidR="002E1403" w:rsidRPr="00A31D93" w14:paraId="3AB62BF4" w14:textId="77777777" w:rsidTr="007C0A05">
        <w:trPr>
          <w:trHeight w:val="234"/>
        </w:trPr>
        <w:tc>
          <w:tcPr>
            <w:tcW w:w="5387" w:type="dxa"/>
            <w:tcBorders>
              <w:top w:val="nil"/>
              <w:bottom w:val="nil"/>
              <w:right w:val="nil"/>
            </w:tcBorders>
            <w:shd w:val="clear" w:color="000000" w:fill="FFFFFF"/>
            <w:noWrap/>
            <w:vAlign w:val="bottom"/>
            <w:hideMark/>
          </w:tcPr>
          <w:p w14:paraId="29C8B5A8"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Contributions</w:t>
            </w:r>
          </w:p>
        </w:tc>
        <w:tc>
          <w:tcPr>
            <w:tcW w:w="1134" w:type="dxa"/>
            <w:tcBorders>
              <w:top w:val="nil"/>
              <w:left w:val="nil"/>
              <w:bottom w:val="nil"/>
              <w:right w:val="nil"/>
            </w:tcBorders>
            <w:shd w:val="clear" w:color="000000" w:fill="FFFFFF"/>
            <w:noWrap/>
            <w:vAlign w:val="bottom"/>
            <w:hideMark/>
          </w:tcPr>
          <w:p w14:paraId="13EDC254"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8</w:t>
            </w:r>
          </w:p>
        </w:tc>
        <w:tc>
          <w:tcPr>
            <w:tcW w:w="1559" w:type="dxa"/>
            <w:tcBorders>
              <w:top w:val="nil"/>
              <w:left w:val="nil"/>
              <w:bottom w:val="nil"/>
              <w:right w:val="nil"/>
            </w:tcBorders>
            <w:shd w:val="clear" w:color="000000" w:fill="FFFFFF"/>
            <w:vAlign w:val="bottom"/>
          </w:tcPr>
          <w:p w14:paraId="03F4B123" w14:textId="033B720D"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54,031</w:t>
            </w:r>
          </w:p>
        </w:tc>
        <w:tc>
          <w:tcPr>
            <w:tcW w:w="1559" w:type="dxa"/>
            <w:tcBorders>
              <w:top w:val="nil"/>
              <w:left w:val="nil"/>
              <w:bottom w:val="nil"/>
              <w:right w:val="nil"/>
            </w:tcBorders>
            <w:shd w:val="clear" w:color="auto" w:fill="auto"/>
            <w:noWrap/>
            <w:vAlign w:val="bottom"/>
          </w:tcPr>
          <w:p w14:paraId="221C820F" w14:textId="2A8B4FC7" w:rsidR="002E1403" w:rsidRPr="00A31D93" w:rsidRDefault="00BE3B50" w:rsidP="002E1403">
            <w:pPr>
              <w:jc w:val="right"/>
              <w:rPr>
                <w:rFonts w:ascii="Arial" w:hAnsi="Arial" w:cs="Arial"/>
                <w:b/>
                <w:bCs/>
                <w:color w:val="000000"/>
                <w:sz w:val="22"/>
                <w:szCs w:val="22"/>
              </w:rPr>
            </w:pPr>
            <w:r w:rsidRPr="00A31D93">
              <w:rPr>
                <w:rFonts w:ascii="Arial" w:hAnsi="Arial" w:cs="Arial"/>
                <w:b/>
                <w:bCs/>
                <w:color w:val="000000"/>
                <w:sz w:val="22"/>
                <w:szCs w:val="22"/>
              </w:rPr>
              <w:t>57,404</w:t>
            </w:r>
          </w:p>
        </w:tc>
      </w:tr>
      <w:tr w:rsidR="002E1403" w:rsidRPr="00A31D93" w14:paraId="09E91281" w14:textId="77777777" w:rsidTr="007C0A05">
        <w:trPr>
          <w:trHeight w:val="247"/>
        </w:trPr>
        <w:tc>
          <w:tcPr>
            <w:tcW w:w="5387" w:type="dxa"/>
            <w:tcBorders>
              <w:top w:val="nil"/>
              <w:bottom w:val="nil"/>
              <w:right w:val="nil"/>
            </w:tcBorders>
            <w:shd w:val="clear" w:color="000000" w:fill="FFFFFF"/>
            <w:noWrap/>
            <w:vAlign w:val="bottom"/>
            <w:hideMark/>
          </w:tcPr>
          <w:p w14:paraId="79C0F373"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Transfers in from other pension funds</w:t>
            </w:r>
          </w:p>
        </w:tc>
        <w:tc>
          <w:tcPr>
            <w:tcW w:w="1134" w:type="dxa"/>
            <w:tcBorders>
              <w:top w:val="nil"/>
              <w:left w:val="nil"/>
              <w:bottom w:val="nil"/>
              <w:right w:val="nil"/>
            </w:tcBorders>
            <w:shd w:val="clear" w:color="000000" w:fill="FFFFFF"/>
            <w:noWrap/>
            <w:vAlign w:val="bottom"/>
            <w:hideMark/>
          </w:tcPr>
          <w:p w14:paraId="7A486B60"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9</w:t>
            </w:r>
          </w:p>
        </w:tc>
        <w:tc>
          <w:tcPr>
            <w:tcW w:w="1559" w:type="dxa"/>
            <w:tcBorders>
              <w:top w:val="nil"/>
              <w:left w:val="nil"/>
              <w:bottom w:val="single" w:sz="8" w:space="0" w:color="auto"/>
              <w:right w:val="nil"/>
            </w:tcBorders>
            <w:shd w:val="clear" w:color="auto" w:fill="auto"/>
            <w:vAlign w:val="bottom"/>
          </w:tcPr>
          <w:p w14:paraId="62956CDD" w14:textId="182057D9"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6,216</w:t>
            </w:r>
          </w:p>
        </w:tc>
        <w:tc>
          <w:tcPr>
            <w:tcW w:w="1559" w:type="dxa"/>
            <w:tcBorders>
              <w:top w:val="nil"/>
              <w:left w:val="nil"/>
              <w:bottom w:val="nil"/>
              <w:right w:val="nil"/>
            </w:tcBorders>
            <w:shd w:val="clear" w:color="auto" w:fill="auto"/>
            <w:noWrap/>
            <w:vAlign w:val="bottom"/>
          </w:tcPr>
          <w:p w14:paraId="51176777" w14:textId="7270B951" w:rsidR="002E1403" w:rsidRPr="00A31D93" w:rsidRDefault="00C56932" w:rsidP="002E1403">
            <w:pPr>
              <w:jc w:val="right"/>
              <w:rPr>
                <w:rFonts w:ascii="Arial" w:hAnsi="Arial" w:cs="Arial"/>
                <w:b/>
                <w:bCs/>
                <w:color w:val="000000"/>
                <w:sz w:val="22"/>
                <w:szCs w:val="22"/>
              </w:rPr>
            </w:pPr>
            <w:r w:rsidRPr="00A31D93">
              <w:rPr>
                <w:rFonts w:ascii="Arial" w:hAnsi="Arial" w:cs="Arial"/>
                <w:b/>
                <w:bCs/>
                <w:color w:val="000000"/>
                <w:sz w:val="22"/>
                <w:szCs w:val="22"/>
              </w:rPr>
              <w:t>4,161</w:t>
            </w:r>
          </w:p>
        </w:tc>
      </w:tr>
      <w:tr w:rsidR="002E1403" w:rsidRPr="00A31D93" w14:paraId="7332011E" w14:textId="77777777" w:rsidTr="007C0A05">
        <w:trPr>
          <w:trHeight w:val="247"/>
        </w:trPr>
        <w:tc>
          <w:tcPr>
            <w:tcW w:w="5387" w:type="dxa"/>
            <w:tcBorders>
              <w:top w:val="nil"/>
              <w:bottom w:val="nil"/>
              <w:right w:val="nil"/>
            </w:tcBorders>
            <w:shd w:val="clear" w:color="000000" w:fill="FFFFFF"/>
            <w:noWrap/>
            <w:vAlign w:val="bottom"/>
            <w:hideMark/>
          </w:tcPr>
          <w:p w14:paraId="4D77A346" w14:textId="77777777" w:rsidR="002E1403" w:rsidRPr="00A31D93" w:rsidRDefault="002E1403" w:rsidP="002E1403">
            <w:pPr>
              <w:ind w:left="32"/>
              <w:rPr>
                <w:rFonts w:ascii="Arial" w:hAnsi="Arial" w:cs="Arial"/>
                <w:b/>
                <w:bCs/>
                <w:color w:val="000000"/>
                <w:sz w:val="22"/>
                <w:szCs w:val="22"/>
              </w:rPr>
            </w:pPr>
            <w:r w:rsidRPr="00A31D93">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01BF880E"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nil"/>
              <w:left w:val="nil"/>
              <w:bottom w:val="single" w:sz="8" w:space="0" w:color="auto"/>
              <w:right w:val="nil"/>
            </w:tcBorders>
            <w:shd w:val="clear" w:color="000000" w:fill="FFFFFF"/>
            <w:vAlign w:val="bottom"/>
          </w:tcPr>
          <w:p w14:paraId="422B3D0E" w14:textId="6F46A366"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60,247</w:t>
            </w:r>
          </w:p>
        </w:tc>
        <w:tc>
          <w:tcPr>
            <w:tcW w:w="1559" w:type="dxa"/>
            <w:tcBorders>
              <w:top w:val="single" w:sz="4" w:space="0" w:color="auto"/>
              <w:left w:val="nil"/>
              <w:bottom w:val="single" w:sz="4" w:space="0" w:color="auto"/>
              <w:right w:val="nil"/>
            </w:tcBorders>
            <w:shd w:val="clear" w:color="auto" w:fill="auto"/>
            <w:noWrap/>
            <w:vAlign w:val="bottom"/>
          </w:tcPr>
          <w:p w14:paraId="5EEADD20" w14:textId="2BDF27C5" w:rsidR="002E1403" w:rsidRPr="00A31D93" w:rsidRDefault="00E63B62" w:rsidP="002E1403">
            <w:pPr>
              <w:jc w:val="right"/>
              <w:rPr>
                <w:rFonts w:ascii="Arial" w:hAnsi="Arial" w:cs="Arial"/>
                <w:b/>
                <w:bCs/>
                <w:color w:val="000000"/>
                <w:sz w:val="22"/>
                <w:szCs w:val="22"/>
              </w:rPr>
            </w:pPr>
            <w:r w:rsidRPr="00A31D93">
              <w:rPr>
                <w:rFonts w:ascii="Arial" w:hAnsi="Arial" w:cs="Arial"/>
                <w:b/>
                <w:bCs/>
                <w:color w:val="000000"/>
                <w:sz w:val="22"/>
                <w:szCs w:val="22"/>
              </w:rPr>
              <w:t>61,565</w:t>
            </w:r>
          </w:p>
        </w:tc>
      </w:tr>
      <w:tr w:rsidR="002E1403" w:rsidRPr="00A31D93" w14:paraId="685A8127" w14:textId="77777777" w:rsidTr="00A82A64">
        <w:trPr>
          <w:trHeight w:val="234"/>
        </w:trPr>
        <w:tc>
          <w:tcPr>
            <w:tcW w:w="5387" w:type="dxa"/>
            <w:tcBorders>
              <w:top w:val="nil"/>
              <w:bottom w:val="nil"/>
              <w:right w:val="nil"/>
            </w:tcBorders>
            <w:shd w:val="clear" w:color="000000" w:fill="FFFFFF"/>
            <w:noWrap/>
            <w:vAlign w:val="bottom"/>
            <w:hideMark/>
          </w:tcPr>
          <w:p w14:paraId="6061DCB3"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255CA229"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nil"/>
              <w:right w:val="nil"/>
            </w:tcBorders>
            <w:shd w:val="clear" w:color="000000" w:fill="FFFFFF"/>
            <w:vAlign w:val="bottom"/>
          </w:tcPr>
          <w:p w14:paraId="09BEF8F7" w14:textId="6C545AC4" w:rsidR="002E1403" w:rsidRPr="00A31D93" w:rsidRDefault="002E1403" w:rsidP="002E1403">
            <w:pPr>
              <w:jc w:val="right"/>
              <w:rPr>
                <w:rFonts w:ascii="Arial" w:hAnsi="Arial" w:cs="Arial"/>
                <w:color w:val="000000"/>
                <w:sz w:val="22"/>
                <w:szCs w:val="22"/>
              </w:rPr>
            </w:pPr>
          </w:p>
        </w:tc>
        <w:tc>
          <w:tcPr>
            <w:tcW w:w="1559" w:type="dxa"/>
            <w:tcBorders>
              <w:top w:val="single" w:sz="4" w:space="0" w:color="auto"/>
              <w:left w:val="nil"/>
              <w:bottom w:val="nil"/>
              <w:right w:val="nil"/>
            </w:tcBorders>
            <w:shd w:val="clear" w:color="000000" w:fill="FFFFFF"/>
            <w:noWrap/>
            <w:vAlign w:val="bottom"/>
          </w:tcPr>
          <w:p w14:paraId="5621C39F" w14:textId="68651EA2" w:rsidR="002E1403" w:rsidRPr="00A31D93" w:rsidRDefault="002E1403" w:rsidP="002E1403">
            <w:pPr>
              <w:jc w:val="right"/>
              <w:rPr>
                <w:rFonts w:ascii="Arial" w:hAnsi="Arial" w:cs="Arial"/>
                <w:b/>
                <w:bCs/>
                <w:color w:val="000000"/>
                <w:sz w:val="22"/>
                <w:szCs w:val="22"/>
              </w:rPr>
            </w:pPr>
          </w:p>
        </w:tc>
      </w:tr>
      <w:tr w:rsidR="002E1403" w:rsidRPr="00A31D93" w14:paraId="191C33C6" w14:textId="77777777" w:rsidTr="002024DC">
        <w:trPr>
          <w:trHeight w:val="234"/>
        </w:trPr>
        <w:tc>
          <w:tcPr>
            <w:tcW w:w="5387" w:type="dxa"/>
            <w:tcBorders>
              <w:top w:val="nil"/>
              <w:bottom w:val="nil"/>
              <w:right w:val="nil"/>
            </w:tcBorders>
            <w:shd w:val="clear" w:color="000000" w:fill="FFFFFF"/>
            <w:noWrap/>
            <w:vAlign w:val="bottom"/>
            <w:hideMark/>
          </w:tcPr>
          <w:p w14:paraId="73199F90"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Benefits</w:t>
            </w:r>
          </w:p>
        </w:tc>
        <w:tc>
          <w:tcPr>
            <w:tcW w:w="1134" w:type="dxa"/>
            <w:tcBorders>
              <w:top w:val="nil"/>
              <w:left w:val="nil"/>
              <w:bottom w:val="nil"/>
              <w:right w:val="nil"/>
            </w:tcBorders>
            <w:shd w:val="clear" w:color="000000" w:fill="FFFFFF"/>
            <w:noWrap/>
            <w:vAlign w:val="bottom"/>
            <w:hideMark/>
          </w:tcPr>
          <w:p w14:paraId="390B54D1"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10</w:t>
            </w:r>
          </w:p>
        </w:tc>
        <w:tc>
          <w:tcPr>
            <w:tcW w:w="1559" w:type="dxa"/>
            <w:tcBorders>
              <w:top w:val="nil"/>
              <w:left w:val="nil"/>
              <w:bottom w:val="nil"/>
              <w:right w:val="nil"/>
            </w:tcBorders>
            <w:shd w:val="clear" w:color="000000" w:fill="FFFFFF"/>
            <w:vAlign w:val="bottom"/>
          </w:tcPr>
          <w:p w14:paraId="7B40C6E5" w14:textId="45EC9929"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(49,762)</w:t>
            </w:r>
          </w:p>
        </w:tc>
        <w:tc>
          <w:tcPr>
            <w:tcW w:w="1559" w:type="dxa"/>
            <w:tcBorders>
              <w:top w:val="nil"/>
              <w:left w:val="nil"/>
              <w:bottom w:val="nil"/>
              <w:right w:val="nil"/>
            </w:tcBorders>
            <w:shd w:val="clear" w:color="auto" w:fill="auto"/>
            <w:noWrap/>
            <w:vAlign w:val="bottom"/>
          </w:tcPr>
          <w:p w14:paraId="5CF0B352" w14:textId="70AB25F0" w:rsidR="002E1403" w:rsidRPr="00A31D93" w:rsidRDefault="002E1403"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E63B62" w:rsidRPr="00A31D93">
              <w:rPr>
                <w:rFonts w:ascii="Arial" w:hAnsi="Arial" w:cs="Arial"/>
                <w:b/>
                <w:bCs/>
                <w:color w:val="000000"/>
                <w:sz w:val="22"/>
                <w:szCs w:val="22"/>
              </w:rPr>
              <w:t>57,606</w:t>
            </w:r>
            <w:r w:rsidRPr="00A31D93">
              <w:rPr>
                <w:rFonts w:ascii="Arial" w:hAnsi="Arial" w:cs="Arial"/>
                <w:b/>
                <w:bCs/>
                <w:color w:val="000000"/>
                <w:sz w:val="22"/>
                <w:szCs w:val="22"/>
              </w:rPr>
              <w:t>)</w:t>
            </w:r>
          </w:p>
        </w:tc>
      </w:tr>
      <w:tr w:rsidR="002E1403" w:rsidRPr="00A31D93" w14:paraId="19C9D0ED" w14:textId="77777777" w:rsidTr="002024DC">
        <w:trPr>
          <w:trHeight w:val="234"/>
        </w:trPr>
        <w:tc>
          <w:tcPr>
            <w:tcW w:w="5387" w:type="dxa"/>
            <w:tcBorders>
              <w:top w:val="nil"/>
              <w:bottom w:val="nil"/>
              <w:right w:val="nil"/>
            </w:tcBorders>
            <w:shd w:val="clear" w:color="000000" w:fill="FFFFFF"/>
            <w:noWrap/>
            <w:vAlign w:val="bottom"/>
            <w:hideMark/>
          </w:tcPr>
          <w:p w14:paraId="69FAFB62"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Payments to and on account of leavers</w:t>
            </w:r>
          </w:p>
        </w:tc>
        <w:tc>
          <w:tcPr>
            <w:tcW w:w="1134" w:type="dxa"/>
            <w:tcBorders>
              <w:top w:val="nil"/>
              <w:left w:val="nil"/>
              <w:bottom w:val="nil"/>
              <w:right w:val="nil"/>
            </w:tcBorders>
            <w:shd w:val="clear" w:color="000000" w:fill="FFFFFF"/>
            <w:noWrap/>
            <w:vAlign w:val="bottom"/>
            <w:hideMark/>
          </w:tcPr>
          <w:p w14:paraId="5C8AD13E"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11</w:t>
            </w:r>
          </w:p>
        </w:tc>
        <w:tc>
          <w:tcPr>
            <w:tcW w:w="1559" w:type="dxa"/>
            <w:tcBorders>
              <w:top w:val="nil"/>
              <w:left w:val="nil"/>
              <w:bottom w:val="nil"/>
              <w:right w:val="nil"/>
            </w:tcBorders>
            <w:shd w:val="clear" w:color="auto" w:fill="auto"/>
            <w:vAlign w:val="bottom"/>
          </w:tcPr>
          <w:p w14:paraId="0097B269" w14:textId="7B34DF38"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(5,998)</w:t>
            </w:r>
          </w:p>
        </w:tc>
        <w:tc>
          <w:tcPr>
            <w:tcW w:w="1559" w:type="dxa"/>
            <w:tcBorders>
              <w:top w:val="nil"/>
              <w:left w:val="nil"/>
              <w:bottom w:val="nil"/>
              <w:right w:val="nil"/>
            </w:tcBorders>
            <w:shd w:val="clear" w:color="auto" w:fill="auto"/>
            <w:noWrap/>
            <w:vAlign w:val="bottom"/>
          </w:tcPr>
          <w:p w14:paraId="4F44B468" w14:textId="64C97F4E" w:rsidR="002E1403" w:rsidRPr="00A31D93" w:rsidRDefault="002E1403"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620BBD" w:rsidRPr="00A31D93">
              <w:rPr>
                <w:rFonts w:ascii="Arial" w:hAnsi="Arial" w:cs="Arial"/>
                <w:b/>
                <w:bCs/>
                <w:color w:val="000000"/>
                <w:sz w:val="22"/>
                <w:szCs w:val="22"/>
              </w:rPr>
              <w:t>8,195</w:t>
            </w:r>
            <w:r w:rsidRPr="00A31D93">
              <w:rPr>
                <w:rFonts w:ascii="Arial" w:hAnsi="Arial" w:cs="Arial"/>
                <w:b/>
                <w:bCs/>
                <w:color w:val="000000"/>
                <w:sz w:val="22"/>
                <w:szCs w:val="22"/>
              </w:rPr>
              <w:t>)</w:t>
            </w:r>
          </w:p>
        </w:tc>
      </w:tr>
      <w:tr w:rsidR="002E1403" w:rsidRPr="00A31D93" w14:paraId="6994A476" w14:textId="77777777" w:rsidTr="002024DC">
        <w:trPr>
          <w:trHeight w:val="247"/>
        </w:trPr>
        <w:tc>
          <w:tcPr>
            <w:tcW w:w="5387" w:type="dxa"/>
            <w:tcBorders>
              <w:top w:val="nil"/>
              <w:bottom w:val="nil"/>
              <w:right w:val="nil"/>
            </w:tcBorders>
            <w:shd w:val="clear" w:color="000000" w:fill="FFFFFF"/>
            <w:noWrap/>
            <w:vAlign w:val="bottom"/>
          </w:tcPr>
          <w:p w14:paraId="6E60D116" w14:textId="77777777" w:rsidR="002E1403" w:rsidRPr="00A31D93" w:rsidRDefault="002E1403" w:rsidP="002E1403">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134233A7" w14:textId="77777777" w:rsidR="002E1403" w:rsidRPr="00A31D93" w:rsidRDefault="002E1403" w:rsidP="002E1403">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3B35A630" w14:textId="43B76543"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(55,760)</w:t>
            </w:r>
          </w:p>
        </w:tc>
        <w:tc>
          <w:tcPr>
            <w:tcW w:w="1559" w:type="dxa"/>
            <w:tcBorders>
              <w:top w:val="single" w:sz="4" w:space="0" w:color="auto"/>
              <w:left w:val="nil"/>
              <w:bottom w:val="single" w:sz="4" w:space="0" w:color="auto"/>
              <w:right w:val="nil"/>
            </w:tcBorders>
            <w:shd w:val="clear" w:color="auto" w:fill="auto"/>
            <w:noWrap/>
            <w:vAlign w:val="bottom"/>
          </w:tcPr>
          <w:p w14:paraId="1F03A318" w14:textId="50137C0A" w:rsidR="002E1403" w:rsidRPr="00A31D93" w:rsidRDefault="002E1403"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576007" w:rsidRPr="00A31D93">
              <w:rPr>
                <w:rFonts w:ascii="Arial" w:hAnsi="Arial" w:cs="Arial"/>
                <w:b/>
                <w:bCs/>
                <w:color w:val="000000"/>
                <w:sz w:val="22"/>
                <w:szCs w:val="22"/>
              </w:rPr>
              <w:t>65,801</w:t>
            </w:r>
            <w:r w:rsidRPr="00A31D93">
              <w:rPr>
                <w:rFonts w:ascii="Arial" w:hAnsi="Arial" w:cs="Arial"/>
                <w:b/>
                <w:bCs/>
                <w:color w:val="000000"/>
                <w:sz w:val="22"/>
                <w:szCs w:val="22"/>
              </w:rPr>
              <w:t>)</w:t>
            </w:r>
          </w:p>
        </w:tc>
      </w:tr>
      <w:tr w:rsidR="002E1403" w:rsidRPr="00A31D93" w14:paraId="1B8A2CC2" w14:textId="77777777" w:rsidTr="00A82A64">
        <w:trPr>
          <w:trHeight w:val="247"/>
        </w:trPr>
        <w:tc>
          <w:tcPr>
            <w:tcW w:w="5387" w:type="dxa"/>
            <w:tcBorders>
              <w:top w:val="nil"/>
              <w:bottom w:val="nil"/>
              <w:right w:val="nil"/>
            </w:tcBorders>
            <w:shd w:val="clear" w:color="000000" w:fill="FFFFFF"/>
            <w:noWrap/>
            <w:vAlign w:val="bottom"/>
          </w:tcPr>
          <w:p w14:paraId="06762D6B" w14:textId="77777777" w:rsidR="002E1403" w:rsidRPr="00A31D93" w:rsidRDefault="002E1403" w:rsidP="002E1403">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7EB92095" w14:textId="77777777" w:rsidR="002E1403" w:rsidRPr="00A31D93" w:rsidRDefault="002E1403" w:rsidP="002E1403">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51B1016A" w14:textId="2F05C26F" w:rsidR="002E1403" w:rsidRPr="00A31D93" w:rsidRDefault="002E1403" w:rsidP="002E1403">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192105A" w14:textId="4B29F3C0" w:rsidR="002E1403" w:rsidRPr="00A31D93" w:rsidRDefault="002E1403" w:rsidP="002E1403">
            <w:pPr>
              <w:jc w:val="right"/>
              <w:rPr>
                <w:rFonts w:ascii="Arial" w:hAnsi="Arial" w:cs="Arial"/>
                <w:b/>
                <w:bCs/>
                <w:color w:val="000000"/>
                <w:sz w:val="22"/>
                <w:szCs w:val="22"/>
              </w:rPr>
            </w:pPr>
          </w:p>
        </w:tc>
      </w:tr>
      <w:tr w:rsidR="002E1403" w:rsidRPr="00A31D93" w14:paraId="43D3EF12" w14:textId="77777777" w:rsidTr="00A82A64">
        <w:trPr>
          <w:trHeight w:val="247"/>
        </w:trPr>
        <w:tc>
          <w:tcPr>
            <w:tcW w:w="5387" w:type="dxa"/>
            <w:tcBorders>
              <w:top w:val="nil"/>
              <w:bottom w:val="nil"/>
              <w:right w:val="nil"/>
            </w:tcBorders>
            <w:shd w:val="clear" w:color="000000" w:fill="FFFFFF"/>
            <w:noWrap/>
            <w:vAlign w:val="bottom"/>
          </w:tcPr>
          <w:p w14:paraId="1EE3BCB6" w14:textId="338B1817" w:rsidR="002E1403" w:rsidRPr="00A31D93" w:rsidRDefault="002E1403" w:rsidP="002E1403">
            <w:pPr>
              <w:ind w:left="32"/>
              <w:rPr>
                <w:rFonts w:ascii="Arial" w:hAnsi="Arial" w:cs="Arial"/>
                <w:b/>
                <w:color w:val="000000"/>
                <w:sz w:val="22"/>
                <w:szCs w:val="22"/>
              </w:rPr>
            </w:pPr>
            <w:r w:rsidRPr="00A31D93">
              <w:rPr>
                <w:rFonts w:ascii="Arial" w:hAnsi="Arial" w:cs="Arial"/>
                <w:b/>
                <w:color w:val="000000"/>
                <w:sz w:val="22"/>
                <w:szCs w:val="22"/>
              </w:rPr>
              <w:t>Net additions</w:t>
            </w:r>
            <w:r w:rsidR="00253921" w:rsidRPr="00A31D93">
              <w:rPr>
                <w:rFonts w:ascii="Arial" w:hAnsi="Arial" w:cs="Arial"/>
                <w:b/>
                <w:color w:val="000000"/>
                <w:sz w:val="22"/>
                <w:szCs w:val="22"/>
              </w:rPr>
              <w:t xml:space="preserve"> / </w:t>
            </w:r>
            <w:r w:rsidR="00957E0D">
              <w:rPr>
                <w:rFonts w:ascii="Arial" w:hAnsi="Arial" w:cs="Arial"/>
                <w:b/>
                <w:color w:val="000000"/>
                <w:sz w:val="22"/>
                <w:szCs w:val="22"/>
              </w:rPr>
              <w:t>(</w:t>
            </w:r>
            <w:r w:rsidR="00253921" w:rsidRPr="00A31D93">
              <w:rPr>
                <w:rFonts w:ascii="Arial" w:hAnsi="Arial" w:cs="Arial"/>
                <w:b/>
                <w:color w:val="000000"/>
                <w:sz w:val="22"/>
                <w:szCs w:val="22"/>
              </w:rPr>
              <w:t>withdrawals</w:t>
            </w:r>
            <w:r w:rsidR="00957E0D">
              <w:rPr>
                <w:rFonts w:ascii="Arial" w:hAnsi="Arial" w:cs="Arial"/>
                <w:b/>
                <w:color w:val="000000"/>
                <w:sz w:val="22"/>
                <w:szCs w:val="22"/>
              </w:rPr>
              <w:t>)</w:t>
            </w:r>
            <w:r w:rsidRPr="00A31D93">
              <w:rPr>
                <w:rFonts w:ascii="Arial" w:hAnsi="Arial" w:cs="Arial"/>
                <w:b/>
                <w:color w:val="000000"/>
                <w:sz w:val="22"/>
                <w:szCs w:val="22"/>
              </w:rPr>
              <w:t xml:space="preserve"> from dealings with members</w:t>
            </w:r>
          </w:p>
        </w:tc>
        <w:tc>
          <w:tcPr>
            <w:tcW w:w="1134" w:type="dxa"/>
            <w:tcBorders>
              <w:top w:val="nil"/>
              <w:left w:val="nil"/>
              <w:bottom w:val="nil"/>
              <w:right w:val="nil"/>
            </w:tcBorders>
            <w:shd w:val="clear" w:color="000000" w:fill="FFFFFF"/>
            <w:noWrap/>
            <w:vAlign w:val="bottom"/>
          </w:tcPr>
          <w:p w14:paraId="21CB485E" w14:textId="77777777" w:rsidR="002E1403" w:rsidRPr="00A31D93" w:rsidRDefault="002E1403" w:rsidP="002E1403">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6DDB1C4F" w14:textId="41AC8FD3"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4,487</w:t>
            </w:r>
          </w:p>
        </w:tc>
        <w:tc>
          <w:tcPr>
            <w:tcW w:w="1559" w:type="dxa"/>
            <w:tcBorders>
              <w:top w:val="single" w:sz="4" w:space="0" w:color="auto"/>
              <w:left w:val="nil"/>
              <w:bottom w:val="single" w:sz="4" w:space="0" w:color="auto"/>
              <w:right w:val="nil"/>
            </w:tcBorders>
            <w:shd w:val="clear" w:color="000000" w:fill="FFFFFF"/>
            <w:noWrap/>
            <w:vAlign w:val="bottom"/>
          </w:tcPr>
          <w:p w14:paraId="4564B72C" w14:textId="20C2314E" w:rsidR="002E1403" w:rsidRPr="00A31D93" w:rsidRDefault="00253921"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3112E8" w:rsidRPr="00A31D93">
              <w:rPr>
                <w:rFonts w:ascii="Arial" w:hAnsi="Arial" w:cs="Arial"/>
                <w:b/>
                <w:bCs/>
                <w:color w:val="000000"/>
                <w:sz w:val="22"/>
                <w:szCs w:val="22"/>
              </w:rPr>
              <w:t>4,236</w:t>
            </w:r>
            <w:r w:rsidRPr="00A31D93">
              <w:rPr>
                <w:rFonts w:ascii="Arial" w:hAnsi="Arial" w:cs="Arial"/>
                <w:b/>
                <w:bCs/>
                <w:color w:val="000000"/>
                <w:sz w:val="22"/>
                <w:szCs w:val="22"/>
              </w:rPr>
              <w:t>)</w:t>
            </w:r>
          </w:p>
        </w:tc>
      </w:tr>
      <w:tr w:rsidR="002E1403" w:rsidRPr="00A31D93" w14:paraId="50DEFF89" w14:textId="77777777" w:rsidTr="00A82A64">
        <w:trPr>
          <w:trHeight w:val="64"/>
        </w:trPr>
        <w:tc>
          <w:tcPr>
            <w:tcW w:w="5387" w:type="dxa"/>
            <w:tcBorders>
              <w:top w:val="nil"/>
              <w:bottom w:val="nil"/>
              <w:right w:val="nil"/>
            </w:tcBorders>
            <w:shd w:val="clear" w:color="000000" w:fill="FFFFFF"/>
            <w:noWrap/>
            <w:vAlign w:val="bottom"/>
          </w:tcPr>
          <w:p w14:paraId="34876872" w14:textId="77777777" w:rsidR="002E1403" w:rsidRPr="00A31D93" w:rsidRDefault="002E1403" w:rsidP="002E1403">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49BEAE43" w14:textId="77777777" w:rsidR="002E1403" w:rsidRPr="00A31D93" w:rsidRDefault="002E1403" w:rsidP="002E1403">
            <w:pPr>
              <w:jc w:val="center"/>
              <w:rPr>
                <w:rFonts w:ascii="Arial" w:hAnsi="Arial" w:cs="Arial"/>
                <w:b/>
                <w:bCs/>
                <w:color w:val="000000"/>
                <w:sz w:val="22"/>
                <w:szCs w:val="22"/>
              </w:rPr>
            </w:pPr>
          </w:p>
        </w:tc>
        <w:tc>
          <w:tcPr>
            <w:tcW w:w="1559" w:type="dxa"/>
            <w:tcBorders>
              <w:top w:val="single" w:sz="4" w:space="0" w:color="auto"/>
              <w:left w:val="nil"/>
              <w:right w:val="nil"/>
            </w:tcBorders>
            <w:shd w:val="clear" w:color="000000" w:fill="FFFFFF"/>
            <w:vAlign w:val="bottom"/>
          </w:tcPr>
          <w:p w14:paraId="145445E3" w14:textId="77777777" w:rsidR="002E1403" w:rsidRPr="00A31D93" w:rsidRDefault="002E1403" w:rsidP="002E1403">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575AC907" w14:textId="77777777" w:rsidR="002E1403" w:rsidRPr="00A31D93" w:rsidRDefault="002E1403" w:rsidP="002E1403">
            <w:pPr>
              <w:jc w:val="right"/>
              <w:rPr>
                <w:rFonts w:ascii="Arial" w:hAnsi="Arial" w:cs="Arial"/>
                <w:b/>
                <w:bCs/>
                <w:color w:val="000000"/>
                <w:sz w:val="22"/>
                <w:szCs w:val="22"/>
              </w:rPr>
            </w:pPr>
          </w:p>
        </w:tc>
      </w:tr>
      <w:tr w:rsidR="002E1403" w:rsidRPr="00A31D93" w14:paraId="62A82490" w14:textId="77777777" w:rsidTr="00437D3F">
        <w:trPr>
          <w:trHeight w:val="247"/>
        </w:trPr>
        <w:tc>
          <w:tcPr>
            <w:tcW w:w="5387" w:type="dxa"/>
            <w:tcBorders>
              <w:top w:val="nil"/>
              <w:bottom w:val="nil"/>
              <w:right w:val="nil"/>
            </w:tcBorders>
            <w:shd w:val="clear" w:color="000000" w:fill="FFFFFF"/>
            <w:noWrap/>
            <w:vAlign w:val="bottom"/>
            <w:hideMark/>
          </w:tcPr>
          <w:p w14:paraId="15FE1D7D"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Management expenses</w:t>
            </w:r>
          </w:p>
        </w:tc>
        <w:tc>
          <w:tcPr>
            <w:tcW w:w="1134" w:type="dxa"/>
            <w:tcBorders>
              <w:top w:val="nil"/>
              <w:left w:val="nil"/>
              <w:bottom w:val="nil"/>
              <w:right w:val="nil"/>
            </w:tcBorders>
            <w:shd w:val="clear" w:color="000000" w:fill="FFFFFF"/>
            <w:noWrap/>
            <w:vAlign w:val="bottom"/>
            <w:hideMark/>
          </w:tcPr>
          <w:p w14:paraId="50BDFB68"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12</w:t>
            </w:r>
          </w:p>
        </w:tc>
        <w:tc>
          <w:tcPr>
            <w:tcW w:w="1559" w:type="dxa"/>
            <w:tcBorders>
              <w:top w:val="nil"/>
              <w:left w:val="nil"/>
              <w:bottom w:val="single" w:sz="4" w:space="0" w:color="auto"/>
              <w:right w:val="nil"/>
            </w:tcBorders>
            <w:shd w:val="clear" w:color="000000" w:fill="FFFFFF"/>
            <w:vAlign w:val="bottom"/>
          </w:tcPr>
          <w:p w14:paraId="3DC9839F" w14:textId="3CD5BF0C"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(5,828)</w:t>
            </w:r>
          </w:p>
        </w:tc>
        <w:tc>
          <w:tcPr>
            <w:tcW w:w="1559" w:type="dxa"/>
            <w:tcBorders>
              <w:top w:val="nil"/>
              <w:left w:val="nil"/>
              <w:bottom w:val="nil"/>
              <w:right w:val="nil"/>
            </w:tcBorders>
            <w:shd w:val="clear" w:color="auto" w:fill="auto"/>
            <w:noWrap/>
            <w:vAlign w:val="bottom"/>
          </w:tcPr>
          <w:p w14:paraId="1B4935F8" w14:textId="15716B00" w:rsidR="002E1403" w:rsidRPr="00A31D93" w:rsidRDefault="002E1403"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3112E8" w:rsidRPr="00A31D93">
              <w:rPr>
                <w:rFonts w:ascii="Arial" w:hAnsi="Arial" w:cs="Arial"/>
                <w:b/>
                <w:bCs/>
                <w:color w:val="000000"/>
                <w:sz w:val="22"/>
                <w:szCs w:val="22"/>
              </w:rPr>
              <w:t>6,637</w:t>
            </w:r>
            <w:r w:rsidRPr="00A31D93">
              <w:rPr>
                <w:rFonts w:ascii="Arial" w:hAnsi="Arial" w:cs="Arial"/>
                <w:b/>
                <w:bCs/>
                <w:color w:val="000000"/>
                <w:sz w:val="22"/>
                <w:szCs w:val="22"/>
              </w:rPr>
              <w:t>)</w:t>
            </w:r>
          </w:p>
        </w:tc>
      </w:tr>
      <w:tr w:rsidR="002E1403" w:rsidRPr="00A31D93" w14:paraId="22A462B0" w14:textId="77777777" w:rsidTr="00A3524E">
        <w:trPr>
          <w:trHeight w:val="53"/>
        </w:trPr>
        <w:tc>
          <w:tcPr>
            <w:tcW w:w="5387" w:type="dxa"/>
            <w:tcBorders>
              <w:top w:val="nil"/>
              <w:bottom w:val="nil"/>
              <w:right w:val="nil"/>
            </w:tcBorders>
            <w:shd w:val="clear" w:color="000000" w:fill="FFFFFF"/>
            <w:noWrap/>
            <w:vAlign w:val="bottom"/>
            <w:hideMark/>
          </w:tcPr>
          <w:p w14:paraId="678F8E5D" w14:textId="6A46911F" w:rsidR="002E1403" w:rsidRPr="00A31D93" w:rsidRDefault="002E1403" w:rsidP="002E1403">
            <w:pPr>
              <w:ind w:left="32"/>
              <w:rPr>
                <w:rFonts w:ascii="Arial" w:hAnsi="Arial" w:cs="Arial"/>
                <w:b/>
                <w:bCs/>
                <w:color w:val="000000"/>
                <w:sz w:val="22"/>
                <w:szCs w:val="22"/>
              </w:rPr>
            </w:pPr>
            <w:r w:rsidRPr="00A31D93">
              <w:rPr>
                <w:rFonts w:ascii="Arial" w:hAnsi="Arial" w:cs="Arial"/>
                <w:b/>
                <w:bCs/>
                <w:color w:val="000000"/>
                <w:sz w:val="22"/>
                <w:szCs w:val="22"/>
              </w:rPr>
              <w:t xml:space="preserve">Net </w:t>
            </w:r>
            <w:r w:rsidR="004270FB" w:rsidRPr="00A31D93">
              <w:rPr>
                <w:rFonts w:ascii="Arial" w:hAnsi="Arial" w:cs="Arial"/>
                <w:b/>
                <w:bCs/>
                <w:color w:val="000000"/>
                <w:sz w:val="22"/>
                <w:szCs w:val="22"/>
              </w:rPr>
              <w:t>w</w:t>
            </w:r>
            <w:r w:rsidRPr="00A31D93">
              <w:rPr>
                <w:rFonts w:ascii="Arial" w:hAnsi="Arial" w:cs="Arial"/>
                <w:b/>
                <w:bCs/>
                <w:color w:val="000000"/>
                <w:sz w:val="22"/>
                <w:szCs w:val="22"/>
              </w:rPr>
              <w:t>ithdrawals</w:t>
            </w:r>
            <w:r w:rsidR="004270FB" w:rsidRPr="00A31D93">
              <w:rPr>
                <w:rFonts w:ascii="Arial" w:hAnsi="Arial" w:cs="Arial"/>
                <w:b/>
                <w:bCs/>
                <w:color w:val="000000"/>
                <w:sz w:val="22"/>
                <w:szCs w:val="22"/>
              </w:rPr>
              <w:t xml:space="preserve"> </w:t>
            </w:r>
            <w:r w:rsidRPr="00A31D93">
              <w:rPr>
                <w:rFonts w:ascii="Arial" w:hAnsi="Arial" w:cs="Arial"/>
                <w:b/>
                <w:bCs/>
                <w:color w:val="000000"/>
                <w:sz w:val="22"/>
                <w:szCs w:val="22"/>
              </w:rPr>
              <w:t>including Fund Management Expenses</w:t>
            </w:r>
          </w:p>
        </w:tc>
        <w:tc>
          <w:tcPr>
            <w:tcW w:w="1134" w:type="dxa"/>
            <w:tcBorders>
              <w:top w:val="nil"/>
              <w:left w:val="nil"/>
              <w:bottom w:val="nil"/>
              <w:right w:val="nil"/>
            </w:tcBorders>
            <w:shd w:val="clear" w:color="000000" w:fill="FFFFFF"/>
            <w:noWrap/>
            <w:vAlign w:val="bottom"/>
            <w:hideMark/>
          </w:tcPr>
          <w:p w14:paraId="09556EC3"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544ED41F" w14:textId="2E28C37A"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(1,341)</w:t>
            </w:r>
          </w:p>
        </w:tc>
        <w:tc>
          <w:tcPr>
            <w:tcW w:w="1559" w:type="dxa"/>
            <w:tcBorders>
              <w:top w:val="single" w:sz="4" w:space="0" w:color="auto"/>
              <w:left w:val="nil"/>
              <w:bottom w:val="single" w:sz="8" w:space="0" w:color="auto"/>
              <w:right w:val="nil"/>
            </w:tcBorders>
            <w:shd w:val="clear" w:color="000000" w:fill="FFFFFF"/>
            <w:noWrap/>
            <w:vAlign w:val="bottom"/>
          </w:tcPr>
          <w:p w14:paraId="2D654F6A" w14:textId="464A5FEE" w:rsidR="002E1403" w:rsidRPr="00A31D93" w:rsidRDefault="002E1403" w:rsidP="002E1403">
            <w:pPr>
              <w:jc w:val="right"/>
              <w:rPr>
                <w:rFonts w:ascii="Arial" w:hAnsi="Arial" w:cs="Arial"/>
                <w:b/>
                <w:bCs/>
                <w:color w:val="000000"/>
                <w:sz w:val="22"/>
                <w:szCs w:val="22"/>
              </w:rPr>
            </w:pPr>
            <w:r w:rsidRPr="00A31D93">
              <w:rPr>
                <w:rFonts w:ascii="Arial" w:hAnsi="Arial" w:cs="Arial"/>
                <w:b/>
                <w:bCs/>
                <w:color w:val="000000"/>
                <w:sz w:val="22"/>
                <w:szCs w:val="22"/>
              </w:rPr>
              <w:t>(</w:t>
            </w:r>
            <w:r w:rsidR="00524306" w:rsidRPr="00A31D93">
              <w:rPr>
                <w:rFonts w:ascii="Arial" w:hAnsi="Arial" w:cs="Arial"/>
                <w:b/>
                <w:bCs/>
                <w:color w:val="000000"/>
                <w:sz w:val="22"/>
                <w:szCs w:val="22"/>
              </w:rPr>
              <w:t>10,873</w:t>
            </w:r>
            <w:r w:rsidRPr="00A31D93">
              <w:rPr>
                <w:rFonts w:ascii="Arial" w:hAnsi="Arial" w:cs="Arial"/>
                <w:b/>
                <w:bCs/>
                <w:color w:val="000000"/>
                <w:sz w:val="22"/>
                <w:szCs w:val="22"/>
              </w:rPr>
              <w:t>)</w:t>
            </w:r>
          </w:p>
        </w:tc>
      </w:tr>
      <w:tr w:rsidR="002E1403" w:rsidRPr="00A31D93" w14:paraId="2D5B1B15" w14:textId="77777777" w:rsidTr="00A82A64">
        <w:trPr>
          <w:trHeight w:val="247"/>
        </w:trPr>
        <w:tc>
          <w:tcPr>
            <w:tcW w:w="5387" w:type="dxa"/>
            <w:tcBorders>
              <w:top w:val="nil"/>
              <w:bottom w:val="nil"/>
              <w:right w:val="nil"/>
            </w:tcBorders>
            <w:shd w:val="clear" w:color="000000" w:fill="FFFFFF"/>
            <w:noWrap/>
            <w:vAlign w:val="bottom"/>
            <w:hideMark/>
          </w:tcPr>
          <w:p w14:paraId="176AB0DD"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730FC73A"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right w:val="nil"/>
            </w:tcBorders>
            <w:shd w:val="clear" w:color="000000" w:fill="FFFFFF"/>
            <w:vAlign w:val="bottom"/>
          </w:tcPr>
          <w:p w14:paraId="07B022AB" w14:textId="77777777" w:rsidR="002E1403" w:rsidRPr="00A31D93" w:rsidRDefault="002E1403" w:rsidP="002E1403">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20D1D813" w14:textId="77777777" w:rsidR="002E1403" w:rsidRPr="00A31D93" w:rsidRDefault="002E1403" w:rsidP="002E1403">
            <w:pPr>
              <w:jc w:val="right"/>
              <w:rPr>
                <w:rFonts w:ascii="Arial" w:hAnsi="Arial" w:cs="Arial"/>
                <w:b/>
                <w:bCs/>
                <w:color w:val="000000"/>
                <w:sz w:val="22"/>
                <w:szCs w:val="22"/>
              </w:rPr>
            </w:pPr>
          </w:p>
        </w:tc>
      </w:tr>
      <w:tr w:rsidR="002E1403" w:rsidRPr="00A31D93" w14:paraId="7DCD6F74" w14:textId="77777777" w:rsidTr="00A82A64">
        <w:trPr>
          <w:trHeight w:val="234"/>
        </w:trPr>
        <w:tc>
          <w:tcPr>
            <w:tcW w:w="5387" w:type="dxa"/>
            <w:tcBorders>
              <w:top w:val="nil"/>
              <w:bottom w:val="nil"/>
              <w:right w:val="nil"/>
            </w:tcBorders>
            <w:shd w:val="clear" w:color="000000" w:fill="FFFFFF"/>
            <w:noWrap/>
            <w:vAlign w:val="bottom"/>
            <w:hideMark/>
          </w:tcPr>
          <w:p w14:paraId="1B2AC7BA" w14:textId="77777777" w:rsidR="002E1403" w:rsidRPr="00A31D93" w:rsidRDefault="002E1403" w:rsidP="002E1403">
            <w:pPr>
              <w:ind w:left="32"/>
              <w:rPr>
                <w:rFonts w:ascii="Arial" w:hAnsi="Arial" w:cs="Arial"/>
                <w:b/>
                <w:bCs/>
                <w:color w:val="000000"/>
                <w:sz w:val="22"/>
                <w:szCs w:val="22"/>
              </w:rPr>
            </w:pPr>
            <w:r w:rsidRPr="00A31D93">
              <w:rPr>
                <w:rFonts w:ascii="Arial" w:hAnsi="Arial" w:cs="Arial"/>
                <w:b/>
                <w:bCs/>
                <w:color w:val="000000"/>
                <w:sz w:val="22"/>
                <w:szCs w:val="22"/>
              </w:rPr>
              <w:t>Returns on Investments</w:t>
            </w:r>
          </w:p>
        </w:tc>
        <w:tc>
          <w:tcPr>
            <w:tcW w:w="1134" w:type="dxa"/>
            <w:tcBorders>
              <w:top w:val="nil"/>
              <w:left w:val="nil"/>
              <w:bottom w:val="nil"/>
              <w:right w:val="nil"/>
            </w:tcBorders>
            <w:shd w:val="clear" w:color="000000" w:fill="FFFFFF"/>
            <w:noWrap/>
            <w:vAlign w:val="bottom"/>
            <w:hideMark/>
          </w:tcPr>
          <w:p w14:paraId="533CEEE7"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2EEF8599" w14:textId="77777777" w:rsidR="002E1403" w:rsidRPr="00A31D93" w:rsidRDefault="002E1403" w:rsidP="002E1403">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364D1B1" w14:textId="77777777" w:rsidR="002E1403" w:rsidRPr="00A31D93" w:rsidRDefault="002E1403" w:rsidP="002E1403">
            <w:pPr>
              <w:jc w:val="right"/>
              <w:rPr>
                <w:rFonts w:ascii="Arial" w:hAnsi="Arial" w:cs="Arial"/>
                <w:b/>
                <w:bCs/>
                <w:color w:val="000000"/>
                <w:sz w:val="22"/>
                <w:szCs w:val="22"/>
              </w:rPr>
            </w:pPr>
          </w:p>
        </w:tc>
      </w:tr>
      <w:tr w:rsidR="002E1403" w:rsidRPr="00A31D93" w14:paraId="3C6BAA0E" w14:textId="77777777" w:rsidTr="00A82A64">
        <w:trPr>
          <w:trHeight w:val="234"/>
        </w:trPr>
        <w:tc>
          <w:tcPr>
            <w:tcW w:w="5387" w:type="dxa"/>
            <w:tcBorders>
              <w:top w:val="nil"/>
              <w:bottom w:val="nil"/>
              <w:right w:val="nil"/>
            </w:tcBorders>
            <w:shd w:val="clear" w:color="000000" w:fill="FFFFFF"/>
            <w:noWrap/>
            <w:vAlign w:val="bottom"/>
            <w:hideMark/>
          </w:tcPr>
          <w:p w14:paraId="4D39B498"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Investment Income</w:t>
            </w:r>
          </w:p>
        </w:tc>
        <w:tc>
          <w:tcPr>
            <w:tcW w:w="1134" w:type="dxa"/>
            <w:tcBorders>
              <w:top w:val="nil"/>
              <w:left w:val="nil"/>
              <w:bottom w:val="nil"/>
              <w:right w:val="nil"/>
            </w:tcBorders>
            <w:shd w:val="clear" w:color="000000" w:fill="FFFFFF"/>
            <w:noWrap/>
            <w:vAlign w:val="bottom"/>
            <w:hideMark/>
          </w:tcPr>
          <w:p w14:paraId="39D20402"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13</w:t>
            </w:r>
          </w:p>
        </w:tc>
        <w:tc>
          <w:tcPr>
            <w:tcW w:w="1559" w:type="dxa"/>
            <w:tcBorders>
              <w:top w:val="nil"/>
              <w:left w:val="nil"/>
              <w:right w:val="nil"/>
            </w:tcBorders>
            <w:shd w:val="clear" w:color="000000" w:fill="FFFFFF"/>
            <w:vAlign w:val="bottom"/>
          </w:tcPr>
          <w:p w14:paraId="5EE69A93" w14:textId="66A2F45C"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31,683</w:t>
            </w:r>
          </w:p>
        </w:tc>
        <w:tc>
          <w:tcPr>
            <w:tcW w:w="1559" w:type="dxa"/>
            <w:tcBorders>
              <w:top w:val="nil"/>
              <w:left w:val="nil"/>
              <w:right w:val="nil"/>
            </w:tcBorders>
            <w:shd w:val="clear" w:color="000000" w:fill="FFFFFF"/>
            <w:noWrap/>
            <w:vAlign w:val="bottom"/>
          </w:tcPr>
          <w:p w14:paraId="52CDCE2E" w14:textId="79AC6CD4" w:rsidR="002E1403" w:rsidRPr="00A31D93" w:rsidRDefault="00CA3BC3" w:rsidP="002E1403">
            <w:pPr>
              <w:jc w:val="right"/>
              <w:rPr>
                <w:rFonts w:ascii="Arial" w:hAnsi="Arial" w:cs="Arial"/>
                <w:b/>
                <w:bCs/>
                <w:color w:val="000000"/>
                <w:sz w:val="22"/>
                <w:szCs w:val="22"/>
              </w:rPr>
            </w:pPr>
            <w:r w:rsidRPr="00A31D93">
              <w:rPr>
                <w:rFonts w:ascii="Arial" w:hAnsi="Arial" w:cs="Arial"/>
                <w:b/>
                <w:bCs/>
                <w:color w:val="000000"/>
                <w:sz w:val="22"/>
                <w:szCs w:val="22"/>
              </w:rPr>
              <w:t>32,872</w:t>
            </w:r>
          </w:p>
        </w:tc>
      </w:tr>
      <w:tr w:rsidR="002E1403" w:rsidRPr="00A31D93" w14:paraId="3D8709B0" w14:textId="77777777" w:rsidTr="00A82A64">
        <w:trPr>
          <w:trHeight w:val="234"/>
        </w:trPr>
        <w:tc>
          <w:tcPr>
            <w:tcW w:w="5387" w:type="dxa"/>
            <w:tcBorders>
              <w:top w:val="nil"/>
              <w:bottom w:val="nil"/>
              <w:right w:val="nil"/>
            </w:tcBorders>
            <w:shd w:val="clear" w:color="000000" w:fill="FFFFFF"/>
            <w:vAlign w:val="bottom"/>
            <w:hideMark/>
          </w:tcPr>
          <w:p w14:paraId="0967B1C8" w14:textId="024F2499"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Profit</w:t>
            </w:r>
            <w:r w:rsidR="00957E0D">
              <w:rPr>
                <w:rFonts w:ascii="Arial" w:hAnsi="Arial" w:cs="Arial"/>
                <w:color w:val="000000"/>
                <w:sz w:val="22"/>
                <w:szCs w:val="22"/>
              </w:rPr>
              <w:t xml:space="preserve"> / </w:t>
            </w:r>
            <w:r w:rsidRPr="00A31D93">
              <w:rPr>
                <w:rFonts w:ascii="Arial" w:hAnsi="Arial" w:cs="Arial"/>
                <w:color w:val="000000"/>
                <w:sz w:val="22"/>
                <w:szCs w:val="22"/>
              </w:rPr>
              <w:t>(losses) on disposal of investments and changes in the market value of investments</w:t>
            </w:r>
          </w:p>
        </w:tc>
        <w:tc>
          <w:tcPr>
            <w:tcW w:w="1134" w:type="dxa"/>
            <w:tcBorders>
              <w:top w:val="nil"/>
              <w:left w:val="nil"/>
              <w:bottom w:val="nil"/>
              <w:right w:val="nil"/>
            </w:tcBorders>
            <w:shd w:val="clear" w:color="000000" w:fill="FFFFFF"/>
            <w:noWrap/>
            <w:vAlign w:val="bottom"/>
            <w:hideMark/>
          </w:tcPr>
          <w:p w14:paraId="6A1BFF33" w14:textId="4D860983"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1</w:t>
            </w:r>
            <w:r w:rsidR="001B7BC9">
              <w:rPr>
                <w:rFonts w:ascii="Arial" w:hAnsi="Arial" w:cs="Arial"/>
                <w:b/>
                <w:bCs/>
                <w:color w:val="000000"/>
                <w:sz w:val="22"/>
                <w:szCs w:val="22"/>
              </w:rPr>
              <w:t>5</w:t>
            </w:r>
          </w:p>
        </w:tc>
        <w:tc>
          <w:tcPr>
            <w:tcW w:w="1559" w:type="dxa"/>
            <w:tcBorders>
              <w:top w:val="nil"/>
              <w:left w:val="nil"/>
              <w:bottom w:val="single" w:sz="4" w:space="0" w:color="auto"/>
              <w:right w:val="nil"/>
            </w:tcBorders>
            <w:shd w:val="clear" w:color="000000" w:fill="FFFFFF"/>
            <w:vAlign w:val="bottom"/>
          </w:tcPr>
          <w:p w14:paraId="03BCB86C" w14:textId="31FC96BB"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121,232</w:t>
            </w:r>
          </w:p>
        </w:tc>
        <w:tc>
          <w:tcPr>
            <w:tcW w:w="1559" w:type="dxa"/>
            <w:tcBorders>
              <w:top w:val="nil"/>
              <w:left w:val="nil"/>
              <w:bottom w:val="single" w:sz="4" w:space="0" w:color="auto"/>
              <w:right w:val="nil"/>
            </w:tcBorders>
            <w:shd w:val="clear" w:color="000000" w:fill="FFFFFF"/>
            <w:noWrap/>
            <w:vAlign w:val="bottom"/>
          </w:tcPr>
          <w:p w14:paraId="3B5EC3B7" w14:textId="7A9B8F89" w:rsidR="002E1403" w:rsidRPr="00A31D93" w:rsidRDefault="00A1404F" w:rsidP="002E1403">
            <w:pPr>
              <w:jc w:val="right"/>
              <w:rPr>
                <w:rFonts w:ascii="Arial" w:hAnsi="Arial" w:cs="Arial"/>
                <w:b/>
                <w:bCs/>
                <w:color w:val="000000"/>
                <w:sz w:val="22"/>
                <w:szCs w:val="22"/>
              </w:rPr>
            </w:pPr>
            <w:r w:rsidRPr="00A31D93">
              <w:rPr>
                <w:rFonts w:ascii="Arial" w:hAnsi="Arial" w:cs="Arial"/>
                <w:b/>
                <w:bCs/>
                <w:color w:val="000000"/>
                <w:sz w:val="22"/>
                <w:szCs w:val="22"/>
              </w:rPr>
              <w:t>52,002</w:t>
            </w:r>
          </w:p>
        </w:tc>
      </w:tr>
      <w:tr w:rsidR="002E1403" w:rsidRPr="00A31D93" w14:paraId="35C6E69D" w14:textId="77777777" w:rsidTr="00A82A64">
        <w:trPr>
          <w:trHeight w:val="247"/>
        </w:trPr>
        <w:tc>
          <w:tcPr>
            <w:tcW w:w="5387" w:type="dxa"/>
            <w:tcBorders>
              <w:top w:val="nil"/>
              <w:bottom w:val="nil"/>
              <w:right w:val="nil"/>
            </w:tcBorders>
            <w:shd w:val="clear" w:color="000000" w:fill="FFFFFF"/>
            <w:noWrap/>
            <w:vAlign w:val="bottom"/>
            <w:hideMark/>
          </w:tcPr>
          <w:p w14:paraId="008B8659" w14:textId="77777777" w:rsidR="002E1403" w:rsidRPr="00A31D93" w:rsidRDefault="002E1403" w:rsidP="002E1403">
            <w:pPr>
              <w:ind w:left="32"/>
              <w:rPr>
                <w:rFonts w:ascii="Arial" w:hAnsi="Arial" w:cs="Arial"/>
                <w:b/>
                <w:bCs/>
                <w:color w:val="000000"/>
                <w:sz w:val="22"/>
                <w:szCs w:val="22"/>
              </w:rPr>
            </w:pPr>
            <w:r w:rsidRPr="00A31D93">
              <w:rPr>
                <w:rFonts w:ascii="Arial" w:hAnsi="Arial" w:cs="Arial"/>
                <w:b/>
                <w:bCs/>
                <w:color w:val="000000"/>
                <w:sz w:val="22"/>
                <w:szCs w:val="22"/>
              </w:rPr>
              <w:t>Net returns on investments</w:t>
            </w:r>
          </w:p>
        </w:tc>
        <w:tc>
          <w:tcPr>
            <w:tcW w:w="1134" w:type="dxa"/>
            <w:tcBorders>
              <w:top w:val="nil"/>
              <w:left w:val="nil"/>
              <w:bottom w:val="nil"/>
              <w:right w:val="nil"/>
            </w:tcBorders>
            <w:shd w:val="clear" w:color="000000" w:fill="FFFFFF"/>
            <w:noWrap/>
            <w:vAlign w:val="bottom"/>
            <w:hideMark/>
          </w:tcPr>
          <w:p w14:paraId="03ADBCE8"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30C3FE51" w14:textId="2C55DBD0"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152,915</w:t>
            </w:r>
          </w:p>
        </w:tc>
        <w:tc>
          <w:tcPr>
            <w:tcW w:w="1559" w:type="dxa"/>
            <w:tcBorders>
              <w:top w:val="single" w:sz="4" w:space="0" w:color="auto"/>
              <w:left w:val="nil"/>
              <w:bottom w:val="single" w:sz="4" w:space="0" w:color="auto"/>
              <w:right w:val="nil"/>
            </w:tcBorders>
            <w:shd w:val="clear" w:color="000000" w:fill="FFFFFF"/>
            <w:noWrap/>
            <w:vAlign w:val="bottom"/>
          </w:tcPr>
          <w:p w14:paraId="7312DD76" w14:textId="1CC3ACE5" w:rsidR="002E1403" w:rsidRPr="00A31D93" w:rsidRDefault="004C649D" w:rsidP="002E1403">
            <w:pPr>
              <w:jc w:val="right"/>
              <w:rPr>
                <w:rFonts w:ascii="Arial" w:hAnsi="Arial" w:cs="Arial"/>
                <w:b/>
                <w:bCs/>
                <w:color w:val="000000"/>
                <w:sz w:val="22"/>
                <w:szCs w:val="22"/>
              </w:rPr>
            </w:pPr>
            <w:r w:rsidRPr="00A31D93">
              <w:rPr>
                <w:rFonts w:ascii="Arial" w:hAnsi="Arial" w:cs="Arial"/>
                <w:b/>
                <w:bCs/>
                <w:color w:val="000000"/>
                <w:sz w:val="22"/>
                <w:szCs w:val="22"/>
              </w:rPr>
              <w:t>84,874</w:t>
            </w:r>
          </w:p>
        </w:tc>
      </w:tr>
      <w:tr w:rsidR="002E1403" w:rsidRPr="00A31D93" w14:paraId="1B279F35" w14:textId="77777777" w:rsidTr="00B53577">
        <w:trPr>
          <w:trHeight w:val="247"/>
        </w:trPr>
        <w:tc>
          <w:tcPr>
            <w:tcW w:w="5387" w:type="dxa"/>
            <w:tcBorders>
              <w:top w:val="nil"/>
              <w:bottom w:val="nil"/>
              <w:right w:val="nil"/>
            </w:tcBorders>
            <w:shd w:val="clear" w:color="000000" w:fill="FFFFFF"/>
            <w:noWrap/>
            <w:vAlign w:val="bottom"/>
            <w:hideMark/>
          </w:tcPr>
          <w:p w14:paraId="2A89DA7F" w14:textId="77777777" w:rsidR="002E1403" w:rsidRPr="00A31D93" w:rsidRDefault="002E1403" w:rsidP="002E1403">
            <w:pPr>
              <w:ind w:left="32"/>
              <w:rPr>
                <w:rFonts w:ascii="Arial" w:hAnsi="Arial" w:cs="Arial"/>
                <w:color w:val="000000"/>
                <w:sz w:val="22"/>
                <w:szCs w:val="22"/>
              </w:rPr>
            </w:pPr>
            <w:r w:rsidRPr="00A31D93">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058FFC3A"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49B87CEC" w14:textId="791F6CFC" w:rsidR="002E1403" w:rsidRPr="00A31D93" w:rsidRDefault="002E1403" w:rsidP="002E1403">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F08AED2" w14:textId="213087F6" w:rsidR="002E1403" w:rsidRPr="00A31D93" w:rsidRDefault="002E1403" w:rsidP="002E1403">
            <w:pPr>
              <w:jc w:val="right"/>
              <w:rPr>
                <w:rFonts w:ascii="Arial" w:hAnsi="Arial" w:cs="Arial"/>
                <w:b/>
                <w:bCs/>
                <w:color w:val="000000"/>
                <w:sz w:val="22"/>
                <w:szCs w:val="22"/>
              </w:rPr>
            </w:pPr>
          </w:p>
        </w:tc>
      </w:tr>
      <w:tr w:rsidR="002E1403" w:rsidRPr="00B64150" w14:paraId="0B63B6D1" w14:textId="77777777" w:rsidTr="00B53577">
        <w:trPr>
          <w:trHeight w:val="482"/>
        </w:trPr>
        <w:tc>
          <w:tcPr>
            <w:tcW w:w="5387" w:type="dxa"/>
            <w:tcBorders>
              <w:top w:val="nil"/>
              <w:bottom w:val="nil"/>
              <w:right w:val="nil"/>
            </w:tcBorders>
            <w:shd w:val="clear" w:color="000000" w:fill="FFFFFF"/>
            <w:vAlign w:val="bottom"/>
            <w:hideMark/>
          </w:tcPr>
          <w:p w14:paraId="5A1383D4" w14:textId="5C9BB451" w:rsidR="002E1403" w:rsidRPr="00A31D93" w:rsidRDefault="002E1403" w:rsidP="002E1403">
            <w:pPr>
              <w:ind w:left="32"/>
              <w:rPr>
                <w:rFonts w:ascii="Arial" w:hAnsi="Arial" w:cs="Arial"/>
                <w:b/>
                <w:bCs/>
                <w:color w:val="000000"/>
                <w:sz w:val="22"/>
                <w:szCs w:val="22"/>
              </w:rPr>
            </w:pPr>
            <w:r w:rsidRPr="00A31D93">
              <w:rPr>
                <w:rFonts w:ascii="Arial" w:hAnsi="Arial" w:cs="Arial"/>
                <w:b/>
                <w:bCs/>
                <w:color w:val="000000"/>
                <w:sz w:val="22"/>
                <w:szCs w:val="22"/>
              </w:rPr>
              <w:t>Net increase</w:t>
            </w:r>
            <w:r w:rsidR="0087739A" w:rsidRPr="00A31D93">
              <w:rPr>
                <w:rFonts w:ascii="Arial" w:hAnsi="Arial" w:cs="Arial"/>
                <w:b/>
                <w:bCs/>
                <w:color w:val="000000"/>
                <w:sz w:val="22"/>
                <w:szCs w:val="22"/>
              </w:rPr>
              <w:t xml:space="preserve"> </w:t>
            </w:r>
            <w:r w:rsidRPr="00A31D93">
              <w:rPr>
                <w:rFonts w:ascii="Arial" w:hAnsi="Arial" w:cs="Arial"/>
                <w:b/>
                <w:bCs/>
                <w:color w:val="000000"/>
                <w:sz w:val="22"/>
                <w:szCs w:val="22"/>
              </w:rPr>
              <w:t>in the net assets available for benefits during the year</w:t>
            </w:r>
          </w:p>
        </w:tc>
        <w:tc>
          <w:tcPr>
            <w:tcW w:w="1134" w:type="dxa"/>
            <w:tcBorders>
              <w:top w:val="nil"/>
              <w:left w:val="nil"/>
              <w:bottom w:val="nil"/>
              <w:right w:val="nil"/>
            </w:tcBorders>
            <w:shd w:val="clear" w:color="000000" w:fill="FFFFFF"/>
            <w:vAlign w:val="bottom"/>
            <w:hideMark/>
          </w:tcPr>
          <w:p w14:paraId="39B5321C" w14:textId="77777777" w:rsidR="002E1403" w:rsidRPr="00A31D93" w:rsidRDefault="002E1403" w:rsidP="002E1403">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single" w:sz="8" w:space="0" w:color="auto"/>
              <w:right w:val="nil"/>
            </w:tcBorders>
            <w:shd w:val="clear" w:color="000000" w:fill="FFFFFF"/>
            <w:vAlign w:val="bottom"/>
          </w:tcPr>
          <w:p w14:paraId="742FB1AC" w14:textId="17AB5F37" w:rsidR="002E1403" w:rsidRPr="00A31D93" w:rsidRDefault="002E1403" w:rsidP="002E1403">
            <w:pPr>
              <w:jc w:val="right"/>
              <w:rPr>
                <w:rFonts w:ascii="Arial" w:hAnsi="Arial" w:cs="Arial"/>
                <w:color w:val="000000"/>
                <w:sz w:val="22"/>
                <w:szCs w:val="22"/>
              </w:rPr>
            </w:pPr>
            <w:r w:rsidRPr="00A31D93">
              <w:rPr>
                <w:rFonts w:ascii="Arial" w:hAnsi="Arial" w:cs="Arial"/>
                <w:color w:val="000000"/>
                <w:sz w:val="22"/>
                <w:szCs w:val="22"/>
              </w:rPr>
              <w:t>151,574</w:t>
            </w:r>
          </w:p>
        </w:tc>
        <w:tc>
          <w:tcPr>
            <w:tcW w:w="1559" w:type="dxa"/>
            <w:tcBorders>
              <w:top w:val="single" w:sz="4" w:space="0" w:color="auto"/>
              <w:left w:val="nil"/>
              <w:bottom w:val="single" w:sz="8" w:space="0" w:color="auto"/>
              <w:right w:val="nil"/>
            </w:tcBorders>
            <w:shd w:val="clear" w:color="000000" w:fill="FFFFFF"/>
            <w:noWrap/>
            <w:vAlign w:val="bottom"/>
          </w:tcPr>
          <w:p w14:paraId="5982D64A" w14:textId="4BC98559" w:rsidR="002E1403" w:rsidRPr="00237E6B" w:rsidRDefault="000D2A13" w:rsidP="002E1403">
            <w:pPr>
              <w:jc w:val="right"/>
              <w:rPr>
                <w:rFonts w:ascii="Arial" w:hAnsi="Arial" w:cs="Arial"/>
                <w:b/>
                <w:bCs/>
                <w:color w:val="000000"/>
                <w:sz w:val="22"/>
                <w:szCs w:val="22"/>
              </w:rPr>
            </w:pPr>
            <w:r w:rsidRPr="00A31D93">
              <w:rPr>
                <w:rFonts w:ascii="Arial" w:hAnsi="Arial" w:cs="Arial"/>
                <w:b/>
                <w:bCs/>
                <w:color w:val="000000"/>
                <w:sz w:val="22"/>
                <w:szCs w:val="22"/>
              </w:rPr>
              <w:t>74,001</w:t>
            </w:r>
          </w:p>
        </w:tc>
      </w:tr>
    </w:tbl>
    <w:p w14:paraId="0B6932EA" w14:textId="7098DABC" w:rsidR="003C45DA" w:rsidRDefault="003C45DA" w:rsidP="003C45DA">
      <w:pPr>
        <w:rPr>
          <w:rFonts w:ascii="Arial" w:hAnsi="Arial" w:cs="Arial"/>
          <w:b/>
          <w:bCs/>
          <w:color w:val="000000"/>
          <w:sz w:val="22"/>
          <w:szCs w:val="22"/>
        </w:rPr>
      </w:pPr>
      <w:bookmarkStart w:id="2" w:name="_Hlk8817120"/>
      <w:bookmarkEnd w:id="1"/>
    </w:p>
    <w:p w14:paraId="330C512A" w14:textId="77777777" w:rsidR="00D5170F" w:rsidRPr="008A0A4E" w:rsidRDefault="00D5170F" w:rsidP="003C45DA">
      <w:pPr>
        <w:rPr>
          <w:rFonts w:ascii="Arial" w:hAnsi="Arial" w:cs="Arial"/>
          <w:b/>
          <w:bCs/>
          <w:color w:val="000000"/>
          <w:sz w:val="22"/>
          <w:szCs w:val="22"/>
        </w:rPr>
      </w:pPr>
    </w:p>
    <w:p w14:paraId="5DD2FD51" w14:textId="77777777" w:rsidR="003C45DA" w:rsidRPr="008A0A4E" w:rsidRDefault="003C45DA" w:rsidP="003C45DA">
      <w:pPr>
        <w:ind w:left="284"/>
        <w:rPr>
          <w:rFonts w:ascii="Arial" w:hAnsi="Arial" w:cs="Arial"/>
          <w:b/>
          <w:bCs/>
          <w:color w:val="000000"/>
          <w:sz w:val="22"/>
          <w:szCs w:val="22"/>
        </w:rPr>
      </w:pPr>
    </w:p>
    <w:p w14:paraId="024D031E" w14:textId="48D23346" w:rsidR="003C45DA" w:rsidRPr="008A0A4E" w:rsidRDefault="003C45DA" w:rsidP="003C45DA">
      <w:pPr>
        <w:ind w:left="284"/>
        <w:rPr>
          <w:rFonts w:ascii="Arial" w:hAnsi="Arial" w:cs="Arial"/>
          <w:b/>
          <w:bCs/>
          <w:color w:val="000000"/>
          <w:sz w:val="22"/>
          <w:szCs w:val="22"/>
        </w:rPr>
      </w:pPr>
      <w:r w:rsidRPr="003C4F5F">
        <w:rPr>
          <w:rFonts w:ascii="Arial" w:hAnsi="Arial" w:cs="Arial"/>
          <w:b/>
          <w:bCs/>
          <w:color w:val="000000"/>
          <w:sz w:val="22"/>
          <w:szCs w:val="22"/>
        </w:rPr>
        <w:t xml:space="preserve">Net Assets Statement as </w:t>
      </w:r>
      <w:proofErr w:type="gramStart"/>
      <w:r w:rsidRPr="003C4F5F">
        <w:rPr>
          <w:rFonts w:ascii="Arial" w:hAnsi="Arial" w:cs="Arial"/>
          <w:b/>
          <w:bCs/>
          <w:color w:val="000000"/>
          <w:sz w:val="22"/>
          <w:szCs w:val="22"/>
        </w:rPr>
        <w:t>at</w:t>
      </w:r>
      <w:proofErr w:type="gramEnd"/>
      <w:r w:rsidRPr="003C4F5F">
        <w:rPr>
          <w:rFonts w:ascii="Arial" w:hAnsi="Arial" w:cs="Arial"/>
          <w:b/>
          <w:bCs/>
          <w:color w:val="000000"/>
          <w:sz w:val="22"/>
          <w:szCs w:val="22"/>
        </w:rPr>
        <w:t xml:space="preserve"> 31 March 20</w:t>
      </w:r>
      <w:r w:rsidR="00F977D4" w:rsidRPr="003C4F5F">
        <w:rPr>
          <w:rFonts w:ascii="Arial" w:hAnsi="Arial" w:cs="Arial"/>
          <w:b/>
          <w:bCs/>
          <w:color w:val="000000"/>
          <w:sz w:val="22"/>
          <w:szCs w:val="22"/>
        </w:rPr>
        <w:t>2</w:t>
      </w:r>
      <w:r w:rsidR="005E7084">
        <w:rPr>
          <w:rFonts w:ascii="Arial" w:hAnsi="Arial" w:cs="Arial"/>
          <w:b/>
          <w:bCs/>
          <w:color w:val="000000"/>
          <w:sz w:val="22"/>
          <w:szCs w:val="22"/>
        </w:rPr>
        <w:t>5</w:t>
      </w:r>
    </w:p>
    <w:p w14:paraId="5F7D3E95" w14:textId="77777777" w:rsidR="003C45DA" w:rsidRPr="008A0A4E" w:rsidRDefault="003C45DA" w:rsidP="003C45DA">
      <w:pPr>
        <w:ind w:left="142"/>
        <w:rPr>
          <w:rFonts w:ascii="Arial" w:hAnsi="Arial" w:cs="Arial"/>
          <w:sz w:val="22"/>
          <w:szCs w:val="22"/>
        </w:rPr>
      </w:pPr>
    </w:p>
    <w:p w14:paraId="62D6CC2C" w14:textId="77777777" w:rsidR="003C45DA" w:rsidRPr="008A0A4E" w:rsidRDefault="003C45DA" w:rsidP="003C45DA">
      <w:pPr>
        <w:tabs>
          <w:tab w:val="left" w:pos="284"/>
        </w:tabs>
        <w:ind w:left="284"/>
        <w:jc w:val="both"/>
        <w:rPr>
          <w:rFonts w:ascii="Arial" w:hAnsi="Arial" w:cs="Arial"/>
          <w:sz w:val="22"/>
          <w:szCs w:val="22"/>
        </w:rPr>
      </w:pPr>
      <w:r w:rsidRPr="008A0A4E">
        <w:rPr>
          <w:rFonts w:ascii="Arial" w:hAnsi="Arial" w:cs="Arial"/>
          <w:sz w:val="22"/>
          <w:szCs w:val="22"/>
        </w:rPr>
        <w:t>The accounts summarise the transactions and net assets of the Fund. They do not take account of liabilities to pay pensions and other benefits in the future.</w:t>
      </w:r>
    </w:p>
    <w:p w14:paraId="65638FFF" w14:textId="77777777" w:rsidR="003C45DA" w:rsidRPr="008A0A4E" w:rsidRDefault="003C45DA" w:rsidP="003C45DA">
      <w:pPr>
        <w:tabs>
          <w:tab w:val="left" w:pos="284"/>
        </w:tabs>
        <w:ind w:left="284"/>
        <w:jc w:val="both"/>
        <w:rPr>
          <w:rFonts w:ascii="Arial" w:hAnsi="Arial" w:cs="Arial"/>
          <w:b/>
          <w:sz w:val="22"/>
          <w:szCs w:val="22"/>
        </w:rPr>
      </w:pPr>
    </w:p>
    <w:tbl>
      <w:tblPr>
        <w:tblW w:w="9639" w:type="dxa"/>
        <w:tblLook w:val="04A0" w:firstRow="1" w:lastRow="0" w:firstColumn="1" w:lastColumn="0" w:noHBand="0" w:noVBand="1"/>
      </w:tblPr>
      <w:tblGrid>
        <w:gridCol w:w="5387"/>
        <w:gridCol w:w="1134"/>
        <w:gridCol w:w="1559"/>
        <w:gridCol w:w="1559"/>
      </w:tblGrid>
      <w:tr w:rsidR="00D774FD" w:rsidRPr="00A31D93" w14:paraId="02ACC9A3" w14:textId="77777777" w:rsidTr="00D774FD">
        <w:trPr>
          <w:trHeight w:val="242"/>
        </w:trPr>
        <w:tc>
          <w:tcPr>
            <w:tcW w:w="5387" w:type="dxa"/>
            <w:tcBorders>
              <w:top w:val="nil"/>
              <w:bottom w:val="nil"/>
              <w:right w:val="nil"/>
            </w:tcBorders>
            <w:shd w:val="clear" w:color="000000" w:fill="FFFFFF"/>
            <w:vAlign w:val="bottom"/>
            <w:hideMark/>
          </w:tcPr>
          <w:bookmarkEnd w:id="2"/>
          <w:p w14:paraId="37980593" w14:textId="77777777" w:rsidR="00D774FD" w:rsidRPr="008A0A4E" w:rsidRDefault="00D774FD" w:rsidP="00D774F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bottom"/>
            <w:hideMark/>
          </w:tcPr>
          <w:p w14:paraId="5E1AAD5F" w14:textId="77777777" w:rsidR="00D774FD" w:rsidRPr="00A31D93" w:rsidRDefault="00D774FD" w:rsidP="00D774FD">
            <w:pPr>
              <w:jc w:val="center"/>
              <w:rPr>
                <w:rFonts w:ascii="Arial" w:hAnsi="Arial" w:cs="Arial"/>
                <w:b/>
                <w:bCs/>
                <w:color w:val="000000"/>
                <w:sz w:val="22"/>
                <w:szCs w:val="22"/>
              </w:rPr>
            </w:pPr>
            <w:r w:rsidRPr="00A31D93">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7BA20129" w14:textId="73EA91B8" w:rsidR="00D774FD" w:rsidRPr="002D1995" w:rsidRDefault="005E7084" w:rsidP="00692913">
            <w:pPr>
              <w:jc w:val="center"/>
              <w:rPr>
                <w:rFonts w:ascii="Arial" w:hAnsi="Arial" w:cs="Arial"/>
                <w:b/>
                <w:color w:val="000000"/>
                <w:sz w:val="22"/>
                <w:szCs w:val="22"/>
              </w:rPr>
            </w:pPr>
            <w:r w:rsidRPr="002D1995">
              <w:rPr>
                <w:rFonts w:ascii="Arial" w:hAnsi="Arial" w:cs="Arial"/>
                <w:b/>
                <w:color w:val="000000"/>
                <w:sz w:val="22"/>
                <w:szCs w:val="22"/>
              </w:rPr>
              <w:t>31 March 2024</w:t>
            </w:r>
          </w:p>
        </w:tc>
        <w:tc>
          <w:tcPr>
            <w:tcW w:w="1559" w:type="dxa"/>
            <w:tcBorders>
              <w:top w:val="nil"/>
              <w:left w:val="nil"/>
              <w:bottom w:val="nil"/>
              <w:right w:val="nil"/>
            </w:tcBorders>
            <w:shd w:val="clear" w:color="000000" w:fill="FFFFFF"/>
            <w:vAlign w:val="center"/>
          </w:tcPr>
          <w:p w14:paraId="20C362AA" w14:textId="49E96C5A" w:rsidR="00D774FD" w:rsidRPr="00A31D93" w:rsidRDefault="005E7084" w:rsidP="00692913">
            <w:pPr>
              <w:jc w:val="center"/>
              <w:rPr>
                <w:rFonts w:ascii="Arial" w:hAnsi="Arial" w:cs="Arial"/>
                <w:b/>
                <w:color w:val="000000"/>
                <w:sz w:val="22"/>
                <w:szCs w:val="22"/>
              </w:rPr>
            </w:pPr>
            <w:r w:rsidRPr="00A31D93">
              <w:rPr>
                <w:rFonts w:ascii="Arial" w:hAnsi="Arial" w:cs="Arial"/>
                <w:b/>
                <w:color w:val="000000"/>
                <w:sz w:val="22"/>
                <w:szCs w:val="22"/>
              </w:rPr>
              <w:t>31 March 2025</w:t>
            </w:r>
          </w:p>
        </w:tc>
      </w:tr>
      <w:tr w:rsidR="00D774FD" w:rsidRPr="00A31D93" w14:paraId="2BA1D0FE" w14:textId="77777777" w:rsidTr="00D774FD">
        <w:trPr>
          <w:trHeight w:val="242"/>
        </w:trPr>
        <w:tc>
          <w:tcPr>
            <w:tcW w:w="5387" w:type="dxa"/>
            <w:tcBorders>
              <w:top w:val="nil"/>
              <w:bottom w:val="nil"/>
              <w:right w:val="nil"/>
            </w:tcBorders>
            <w:shd w:val="clear" w:color="000000" w:fill="FFFFFF"/>
            <w:noWrap/>
            <w:vAlign w:val="bottom"/>
            <w:hideMark/>
          </w:tcPr>
          <w:p w14:paraId="39C01655" w14:textId="77777777" w:rsidR="00D774FD" w:rsidRPr="00A31D93" w:rsidRDefault="00D774FD" w:rsidP="00D774FD">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1925837D" w14:textId="77777777" w:rsidR="00D774FD" w:rsidRPr="00A31D93" w:rsidRDefault="00D774FD" w:rsidP="00D774FD">
            <w:pP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26841C99" w14:textId="085E522A" w:rsidR="00D774FD" w:rsidRPr="002D1995" w:rsidRDefault="00D774FD" w:rsidP="0090046D">
            <w:pPr>
              <w:jc w:val="center"/>
              <w:rPr>
                <w:rFonts w:ascii="Arial" w:hAnsi="Arial" w:cs="Arial"/>
                <w:b/>
                <w:color w:val="000000"/>
                <w:sz w:val="22"/>
                <w:szCs w:val="22"/>
              </w:rPr>
            </w:pPr>
            <w:r w:rsidRPr="002D1995">
              <w:rPr>
                <w:rFonts w:ascii="Arial" w:hAnsi="Arial" w:cs="Arial"/>
                <w:b/>
                <w:color w:val="000000"/>
                <w:sz w:val="22"/>
                <w:szCs w:val="22"/>
              </w:rPr>
              <w:t>£000</w:t>
            </w:r>
          </w:p>
        </w:tc>
        <w:tc>
          <w:tcPr>
            <w:tcW w:w="1559" w:type="dxa"/>
            <w:tcBorders>
              <w:top w:val="nil"/>
              <w:left w:val="nil"/>
              <w:bottom w:val="nil"/>
              <w:right w:val="nil"/>
            </w:tcBorders>
            <w:shd w:val="clear" w:color="000000" w:fill="FFFFFF"/>
            <w:vAlign w:val="bottom"/>
          </w:tcPr>
          <w:p w14:paraId="50997EC9" w14:textId="77777777" w:rsidR="00D774FD" w:rsidRPr="00A31D93" w:rsidRDefault="00D774FD" w:rsidP="0090046D">
            <w:pPr>
              <w:jc w:val="center"/>
              <w:rPr>
                <w:rFonts w:ascii="Arial" w:hAnsi="Arial" w:cs="Arial"/>
                <w:b/>
                <w:color w:val="000000"/>
                <w:sz w:val="22"/>
                <w:szCs w:val="22"/>
              </w:rPr>
            </w:pPr>
            <w:r w:rsidRPr="00A31D93">
              <w:rPr>
                <w:rFonts w:ascii="Arial" w:hAnsi="Arial" w:cs="Arial"/>
                <w:b/>
                <w:color w:val="000000"/>
                <w:sz w:val="22"/>
                <w:szCs w:val="22"/>
              </w:rPr>
              <w:t>£000</w:t>
            </w:r>
          </w:p>
        </w:tc>
      </w:tr>
      <w:tr w:rsidR="00884AA7" w:rsidRPr="00A31D93" w14:paraId="7EBFBFCB" w14:textId="77777777" w:rsidTr="00181886">
        <w:trPr>
          <w:trHeight w:val="259"/>
        </w:trPr>
        <w:tc>
          <w:tcPr>
            <w:tcW w:w="5387" w:type="dxa"/>
            <w:tcBorders>
              <w:top w:val="nil"/>
              <w:bottom w:val="nil"/>
              <w:right w:val="nil"/>
            </w:tcBorders>
            <w:shd w:val="clear" w:color="000000" w:fill="FFFFFF"/>
            <w:vAlign w:val="bottom"/>
            <w:hideMark/>
          </w:tcPr>
          <w:p w14:paraId="79DB704B" w14:textId="77777777" w:rsidR="00884AA7" w:rsidRPr="00A31D93" w:rsidRDefault="00884AA7" w:rsidP="00884AA7">
            <w:pPr>
              <w:ind w:firstLineChars="100" w:firstLine="221"/>
              <w:rPr>
                <w:rFonts w:ascii="Arial" w:hAnsi="Arial" w:cs="Arial"/>
                <w:b/>
                <w:bCs/>
                <w:color w:val="000000"/>
                <w:sz w:val="22"/>
                <w:szCs w:val="22"/>
              </w:rPr>
            </w:pPr>
            <w:r w:rsidRPr="00A31D93">
              <w:rPr>
                <w:rFonts w:ascii="Arial" w:hAnsi="Arial" w:cs="Arial"/>
                <w:b/>
                <w:bCs/>
                <w:color w:val="000000"/>
                <w:sz w:val="22"/>
                <w:szCs w:val="22"/>
              </w:rPr>
              <w:t>Investment Assets</w:t>
            </w:r>
          </w:p>
        </w:tc>
        <w:tc>
          <w:tcPr>
            <w:tcW w:w="1134" w:type="dxa"/>
            <w:tcBorders>
              <w:top w:val="nil"/>
              <w:left w:val="nil"/>
              <w:bottom w:val="nil"/>
              <w:right w:val="nil"/>
            </w:tcBorders>
            <w:shd w:val="clear" w:color="000000" w:fill="FFFFFF"/>
            <w:noWrap/>
            <w:vAlign w:val="bottom"/>
            <w:hideMark/>
          </w:tcPr>
          <w:p w14:paraId="726FED25" w14:textId="18CC7F16" w:rsidR="00884AA7" w:rsidRPr="00A31D93" w:rsidRDefault="00884AA7" w:rsidP="00884AA7">
            <w:pPr>
              <w:jc w:val="center"/>
              <w:rPr>
                <w:rFonts w:ascii="Arial" w:hAnsi="Arial" w:cs="Arial"/>
                <w:b/>
                <w:bCs/>
                <w:color w:val="000000"/>
                <w:sz w:val="22"/>
                <w:szCs w:val="22"/>
              </w:rPr>
            </w:pPr>
            <w:r w:rsidRPr="00A31D93">
              <w:rPr>
                <w:rFonts w:ascii="Arial" w:hAnsi="Arial" w:cs="Arial"/>
                <w:b/>
                <w:bCs/>
                <w:color w:val="000000"/>
                <w:sz w:val="22"/>
                <w:szCs w:val="22"/>
              </w:rPr>
              <w:t>1</w:t>
            </w:r>
            <w:r w:rsidR="009D396B">
              <w:rPr>
                <w:rFonts w:ascii="Arial" w:hAnsi="Arial" w:cs="Arial"/>
                <w:b/>
                <w:bCs/>
                <w:color w:val="000000"/>
                <w:sz w:val="22"/>
                <w:szCs w:val="22"/>
              </w:rPr>
              <w:t>4</w:t>
            </w:r>
          </w:p>
        </w:tc>
        <w:tc>
          <w:tcPr>
            <w:tcW w:w="1559" w:type="dxa"/>
            <w:tcBorders>
              <w:top w:val="nil"/>
              <w:left w:val="nil"/>
              <w:bottom w:val="nil"/>
              <w:right w:val="nil"/>
            </w:tcBorders>
            <w:shd w:val="clear" w:color="000000" w:fill="FFFFFF"/>
            <w:vAlign w:val="bottom"/>
          </w:tcPr>
          <w:p w14:paraId="1E686272" w14:textId="59ABF9B4" w:rsidR="00884AA7" w:rsidRPr="00A31D93" w:rsidRDefault="009437C0" w:rsidP="00884AA7">
            <w:pPr>
              <w:jc w:val="right"/>
              <w:rPr>
                <w:rFonts w:ascii="Arial" w:hAnsi="Arial" w:cs="Arial"/>
                <w:color w:val="000000"/>
                <w:sz w:val="22"/>
                <w:szCs w:val="22"/>
              </w:rPr>
            </w:pPr>
            <w:r w:rsidRPr="00A31D93">
              <w:rPr>
                <w:rFonts w:ascii="Arial" w:hAnsi="Arial" w:cs="Arial"/>
                <w:color w:val="000000"/>
                <w:sz w:val="22"/>
                <w:szCs w:val="22"/>
              </w:rPr>
              <w:t>1,447,108</w:t>
            </w:r>
          </w:p>
        </w:tc>
        <w:tc>
          <w:tcPr>
            <w:tcW w:w="1559" w:type="dxa"/>
            <w:tcBorders>
              <w:top w:val="nil"/>
              <w:left w:val="nil"/>
              <w:bottom w:val="nil"/>
              <w:right w:val="nil"/>
            </w:tcBorders>
            <w:shd w:val="clear" w:color="000000" w:fill="FFFFFF"/>
            <w:noWrap/>
            <w:vAlign w:val="bottom"/>
          </w:tcPr>
          <w:p w14:paraId="00BA1B8E" w14:textId="3C872619" w:rsidR="00884AA7" w:rsidRPr="00A31D93" w:rsidRDefault="00884AA7" w:rsidP="00884AA7">
            <w:pPr>
              <w:jc w:val="right"/>
              <w:rPr>
                <w:rFonts w:ascii="Arial" w:hAnsi="Arial" w:cs="Arial"/>
                <w:b/>
                <w:bCs/>
                <w:color w:val="000000"/>
                <w:sz w:val="22"/>
                <w:szCs w:val="22"/>
              </w:rPr>
            </w:pPr>
            <w:r w:rsidRPr="00A31D93">
              <w:rPr>
                <w:rFonts w:ascii="Arial" w:hAnsi="Arial" w:cs="Arial"/>
                <w:b/>
                <w:bCs/>
                <w:color w:val="000000"/>
                <w:sz w:val="22"/>
                <w:szCs w:val="22"/>
              </w:rPr>
              <w:t>1,</w:t>
            </w:r>
            <w:r w:rsidR="00B72108" w:rsidRPr="00A31D93">
              <w:rPr>
                <w:rFonts w:ascii="Arial" w:hAnsi="Arial" w:cs="Arial"/>
                <w:b/>
                <w:bCs/>
                <w:color w:val="000000"/>
                <w:sz w:val="22"/>
                <w:szCs w:val="22"/>
              </w:rPr>
              <w:t>511,093</w:t>
            </w:r>
          </w:p>
        </w:tc>
      </w:tr>
      <w:tr w:rsidR="00884AA7" w:rsidRPr="00A31D93" w14:paraId="7B5F8EAC" w14:textId="77777777" w:rsidTr="00A32588">
        <w:trPr>
          <w:trHeight w:val="242"/>
        </w:trPr>
        <w:tc>
          <w:tcPr>
            <w:tcW w:w="5387" w:type="dxa"/>
            <w:tcBorders>
              <w:top w:val="nil"/>
              <w:bottom w:val="nil"/>
              <w:right w:val="nil"/>
            </w:tcBorders>
            <w:shd w:val="clear" w:color="000000" w:fill="FFFFFF"/>
            <w:noWrap/>
            <w:vAlign w:val="bottom"/>
            <w:hideMark/>
          </w:tcPr>
          <w:p w14:paraId="420B90F4" w14:textId="77777777" w:rsidR="00884AA7" w:rsidRPr="00A31D93" w:rsidRDefault="00884AA7" w:rsidP="00884AA7">
            <w:pPr>
              <w:ind w:firstLineChars="100" w:firstLine="221"/>
              <w:rPr>
                <w:rFonts w:ascii="Arial" w:hAnsi="Arial" w:cs="Arial"/>
                <w:b/>
                <w:bCs/>
                <w:color w:val="000000"/>
                <w:sz w:val="22"/>
                <w:szCs w:val="22"/>
              </w:rPr>
            </w:pPr>
            <w:r w:rsidRPr="00A31D93">
              <w:rPr>
                <w:rFonts w:ascii="Arial" w:hAnsi="Arial" w:cs="Arial"/>
                <w:b/>
                <w:bCs/>
                <w:color w:val="000000"/>
                <w:sz w:val="22"/>
                <w:szCs w:val="22"/>
              </w:rPr>
              <w:t>Current Assets</w:t>
            </w:r>
          </w:p>
        </w:tc>
        <w:tc>
          <w:tcPr>
            <w:tcW w:w="1134" w:type="dxa"/>
            <w:tcBorders>
              <w:top w:val="nil"/>
              <w:left w:val="nil"/>
              <w:bottom w:val="nil"/>
              <w:right w:val="nil"/>
            </w:tcBorders>
            <w:shd w:val="clear" w:color="000000" w:fill="FFFFFF"/>
            <w:noWrap/>
            <w:vAlign w:val="bottom"/>
            <w:hideMark/>
          </w:tcPr>
          <w:p w14:paraId="50C4B708" w14:textId="7E3E6C9F" w:rsidR="00884AA7" w:rsidRPr="00A31D93" w:rsidRDefault="00884AA7" w:rsidP="00884AA7">
            <w:pPr>
              <w:jc w:val="center"/>
              <w:rPr>
                <w:rFonts w:ascii="Arial" w:hAnsi="Arial" w:cs="Arial"/>
                <w:b/>
                <w:bCs/>
                <w:color w:val="000000"/>
                <w:sz w:val="22"/>
                <w:szCs w:val="22"/>
              </w:rPr>
            </w:pPr>
            <w:r w:rsidRPr="00A31D93">
              <w:rPr>
                <w:rFonts w:ascii="Arial" w:hAnsi="Arial" w:cs="Arial"/>
                <w:b/>
                <w:bCs/>
                <w:color w:val="000000"/>
                <w:sz w:val="22"/>
                <w:szCs w:val="22"/>
              </w:rPr>
              <w:t>1</w:t>
            </w:r>
            <w:r w:rsidR="009D396B">
              <w:rPr>
                <w:rFonts w:ascii="Arial" w:hAnsi="Arial" w:cs="Arial"/>
                <w:b/>
                <w:bCs/>
                <w:color w:val="000000"/>
                <w:sz w:val="22"/>
                <w:szCs w:val="22"/>
              </w:rPr>
              <w:t>7</w:t>
            </w:r>
          </w:p>
        </w:tc>
        <w:tc>
          <w:tcPr>
            <w:tcW w:w="1559" w:type="dxa"/>
            <w:tcBorders>
              <w:top w:val="nil"/>
              <w:left w:val="nil"/>
              <w:bottom w:val="nil"/>
              <w:right w:val="nil"/>
            </w:tcBorders>
            <w:shd w:val="clear" w:color="000000" w:fill="FFFFFF"/>
            <w:vAlign w:val="bottom"/>
          </w:tcPr>
          <w:p w14:paraId="45C091E6" w14:textId="7AA87586" w:rsidR="00884AA7" w:rsidRPr="00A31D93" w:rsidRDefault="009437C0" w:rsidP="00884AA7">
            <w:pPr>
              <w:jc w:val="right"/>
              <w:rPr>
                <w:rFonts w:ascii="Arial" w:hAnsi="Arial" w:cs="Arial"/>
                <w:color w:val="000000"/>
                <w:sz w:val="22"/>
                <w:szCs w:val="22"/>
              </w:rPr>
            </w:pPr>
            <w:r w:rsidRPr="00A31D93">
              <w:rPr>
                <w:rFonts w:ascii="Arial" w:hAnsi="Arial" w:cs="Arial"/>
                <w:color w:val="000000"/>
                <w:sz w:val="22"/>
                <w:szCs w:val="22"/>
              </w:rPr>
              <w:t>20,422</w:t>
            </w:r>
          </w:p>
        </w:tc>
        <w:tc>
          <w:tcPr>
            <w:tcW w:w="1559" w:type="dxa"/>
            <w:tcBorders>
              <w:top w:val="nil"/>
              <w:left w:val="nil"/>
              <w:bottom w:val="nil"/>
              <w:right w:val="nil"/>
            </w:tcBorders>
            <w:shd w:val="clear" w:color="000000" w:fill="FFFFFF"/>
            <w:noWrap/>
            <w:vAlign w:val="bottom"/>
          </w:tcPr>
          <w:p w14:paraId="3615BF7A" w14:textId="24CF089C" w:rsidR="00884AA7" w:rsidRPr="00A31D93" w:rsidRDefault="004E20FC" w:rsidP="00884AA7">
            <w:pPr>
              <w:jc w:val="right"/>
              <w:rPr>
                <w:rFonts w:ascii="Arial" w:hAnsi="Arial" w:cs="Arial"/>
                <w:b/>
                <w:bCs/>
                <w:color w:val="000000"/>
                <w:sz w:val="22"/>
                <w:szCs w:val="22"/>
              </w:rPr>
            </w:pPr>
            <w:r w:rsidRPr="00A31D93">
              <w:rPr>
                <w:rFonts w:ascii="Arial" w:hAnsi="Arial" w:cs="Arial"/>
                <w:b/>
                <w:bCs/>
                <w:color w:val="000000"/>
                <w:sz w:val="22"/>
                <w:szCs w:val="22"/>
              </w:rPr>
              <w:t>26,243</w:t>
            </w:r>
          </w:p>
        </w:tc>
      </w:tr>
      <w:tr w:rsidR="00884AA7" w:rsidRPr="00A31D93" w14:paraId="1379D949" w14:textId="77777777" w:rsidTr="00B53577">
        <w:trPr>
          <w:trHeight w:val="256"/>
        </w:trPr>
        <w:tc>
          <w:tcPr>
            <w:tcW w:w="5387" w:type="dxa"/>
            <w:tcBorders>
              <w:top w:val="nil"/>
              <w:bottom w:val="nil"/>
              <w:right w:val="nil"/>
            </w:tcBorders>
            <w:shd w:val="clear" w:color="000000" w:fill="FFFFFF"/>
            <w:noWrap/>
            <w:vAlign w:val="bottom"/>
            <w:hideMark/>
          </w:tcPr>
          <w:p w14:paraId="1BF15725" w14:textId="77777777" w:rsidR="00884AA7" w:rsidRPr="00A31D93" w:rsidRDefault="00884AA7" w:rsidP="00884AA7">
            <w:pPr>
              <w:ind w:firstLineChars="100" w:firstLine="221"/>
              <w:rPr>
                <w:rFonts w:ascii="Arial" w:hAnsi="Arial" w:cs="Arial"/>
                <w:b/>
                <w:bCs/>
                <w:color w:val="000000"/>
                <w:sz w:val="22"/>
                <w:szCs w:val="22"/>
              </w:rPr>
            </w:pPr>
            <w:r w:rsidRPr="00A31D93">
              <w:rPr>
                <w:rFonts w:ascii="Arial" w:hAnsi="Arial" w:cs="Arial"/>
                <w:b/>
                <w:bCs/>
                <w:color w:val="000000"/>
                <w:sz w:val="22"/>
                <w:szCs w:val="22"/>
              </w:rPr>
              <w:t>Current Liabilities</w:t>
            </w:r>
          </w:p>
        </w:tc>
        <w:tc>
          <w:tcPr>
            <w:tcW w:w="1134" w:type="dxa"/>
            <w:tcBorders>
              <w:top w:val="nil"/>
              <w:left w:val="nil"/>
              <w:bottom w:val="nil"/>
              <w:right w:val="nil"/>
            </w:tcBorders>
            <w:shd w:val="clear" w:color="000000" w:fill="FFFFFF"/>
            <w:noWrap/>
            <w:vAlign w:val="bottom"/>
            <w:hideMark/>
          </w:tcPr>
          <w:p w14:paraId="14A8E742" w14:textId="3513E5F7" w:rsidR="00884AA7" w:rsidRPr="00A31D93" w:rsidRDefault="00884AA7" w:rsidP="00884AA7">
            <w:pPr>
              <w:jc w:val="center"/>
              <w:rPr>
                <w:rFonts w:ascii="Arial" w:hAnsi="Arial" w:cs="Arial"/>
                <w:b/>
                <w:bCs/>
                <w:color w:val="000000"/>
                <w:sz w:val="22"/>
                <w:szCs w:val="22"/>
              </w:rPr>
            </w:pPr>
            <w:r w:rsidRPr="00A31D93">
              <w:rPr>
                <w:rFonts w:ascii="Arial" w:hAnsi="Arial" w:cs="Arial"/>
                <w:b/>
                <w:bCs/>
                <w:color w:val="000000"/>
                <w:sz w:val="22"/>
                <w:szCs w:val="22"/>
              </w:rPr>
              <w:t>1</w:t>
            </w:r>
            <w:r w:rsidR="009D396B">
              <w:rPr>
                <w:rFonts w:ascii="Arial" w:hAnsi="Arial" w:cs="Arial"/>
                <w:b/>
                <w:bCs/>
                <w:color w:val="000000"/>
                <w:sz w:val="22"/>
                <w:szCs w:val="22"/>
              </w:rPr>
              <w:t>7</w:t>
            </w:r>
          </w:p>
        </w:tc>
        <w:tc>
          <w:tcPr>
            <w:tcW w:w="1559" w:type="dxa"/>
            <w:tcBorders>
              <w:top w:val="nil"/>
              <w:left w:val="nil"/>
              <w:bottom w:val="single" w:sz="4" w:space="0" w:color="auto"/>
              <w:right w:val="nil"/>
            </w:tcBorders>
            <w:shd w:val="clear" w:color="000000" w:fill="FFFFFF"/>
            <w:vAlign w:val="bottom"/>
          </w:tcPr>
          <w:p w14:paraId="12B688FA" w14:textId="068EDB9C" w:rsidR="00884AA7" w:rsidRPr="00A31D93" w:rsidRDefault="009437C0" w:rsidP="00884AA7">
            <w:pPr>
              <w:jc w:val="right"/>
              <w:rPr>
                <w:rFonts w:ascii="Arial" w:hAnsi="Arial" w:cs="Arial"/>
                <w:color w:val="000000"/>
                <w:sz w:val="22"/>
                <w:szCs w:val="22"/>
              </w:rPr>
            </w:pPr>
            <w:r w:rsidRPr="00A31D93">
              <w:rPr>
                <w:rFonts w:ascii="Arial" w:hAnsi="Arial" w:cs="Arial"/>
                <w:color w:val="000000"/>
                <w:sz w:val="22"/>
                <w:szCs w:val="22"/>
              </w:rPr>
              <w:t>(1,304)</w:t>
            </w:r>
          </w:p>
        </w:tc>
        <w:tc>
          <w:tcPr>
            <w:tcW w:w="1559" w:type="dxa"/>
            <w:tcBorders>
              <w:top w:val="nil"/>
              <w:left w:val="nil"/>
              <w:bottom w:val="single" w:sz="4" w:space="0" w:color="auto"/>
              <w:right w:val="nil"/>
            </w:tcBorders>
            <w:shd w:val="clear" w:color="000000" w:fill="FFFFFF"/>
            <w:noWrap/>
            <w:vAlign w:val="bottom"/>
          </w:tcPr>
          <w:p w14:paraId="1194C5ED" w14:textId="4FD33FCC" w:rsidR="00884AA7" w:rsidRPr="00A31D93" w:rsidRDefault="00884AA7" w:rsidP="00884AA7">
            <w:pPr>
              <w:jc w:val="right"/>
              <w:rPr>
                <w:rFonts w:ascii="Arial" w:hAnsi="Arial" w:cs="Arial"/>
                <w:b/>
                <w:bCs/>
                <w:color w:val="000000"/>
                <w:sz w:val="22"/>
                <w:szCs w:val="22"/>
              </w:rPr>
            </w:pPr>
            <w:r w:rsidRPr="00A31D93">
              <w:rPr>
                <w:rFonts w:ascii="Arial" w:hAnsi="Arial" w:cs="Arial"/>
                <w:b/>
                <w:bCs/>
                <w:color w:val="000000"/>
                <w:sz w:val="22"/>
                <w:szCs w:val="22"/>
              </w:rPr>
              <w:t>(</w:t>
            </w:r>
            <w:r w:rsidR="00EA537B" w:rsidRPr="00A31D93">
              <w:rPr>
                <w:rFonts w:ascii="Arial" w:hAnsi="Arial" w:cs="Arial"/>
                <w:b/>
                <w:bCs/>
                <w:color w:val="000000"/>
                <w:sz w:val="22"/>
                <w:szCs w:val="22"/>
              </w:rPr>
              <w:t>2,316</w:t>
            </w:r>
            <w:r w:rsidRPr="00A31D93">
              <w:rPr>
                <w:rFonts w:ascii="Arial" w:hAnsi="Arial" w:cs="Arial"/>
                <w:b/>
                <w:bCs/>
                <w:color w:val="000000"/>
                <w:sz w:val="22"/>
                <w:szCs w:val="22"/>
              </w:rPr>
              <w:t>)</w:t>
            </w:r>
          </w:p>
        </w:tc>
      </w:tr>
      <w:tr w:rsidR="00884AA7" w:rsidRPr="00B64150" w14:paraId="0C64E162" w14:textId="77777777" w:rsidTr="00B53577">
        <w:trPr>
          <w:trHeight w:val="365"/>
        </w:trPr>
        <w:tc>
          <w:tcPr>
            <w:tcW w:w="5387" w:type="dxa"/>
            <w:tcBorders>
              <w:top w:val="nil"/>
              <w:right w:val="nil"/>
            </w:tcBorders>
            <w:shd w:val="clear" w:color="000000" w:fill="FFFFFF"/>
            <w:noWrap/>
            <w:vAlign w:val="bottom"/>
            <w:hideMark/>
          </w:tcPr>
          <w:p w14:paraId="4491843C" w14:textId="708BCB45" w:rsidR="00884AA7" w:rsidRPr="00A31D93" w:rsidRDefault="00884AA7" w:rsidP="00884AA7">
            <w:pPr>
              <w:ind w:left="284"/>
              <w:rPr>
                <w:rFonts w:ascii="Arial" w:hAnsi="Arial" w:cs="Arial"/>
                <w:b/>
                <w:bCs/>
                <w:color w:val="000000"/>
                <w:sz w:val="22"/>
                <w:szCs w:val="22"/>
              </w:rPr>
            </w:pPr>
            <w:r w:rsidRPr="00A31D93">
              <w:rPr>
                <w:rFonts w:ascii="Arial" w:hAnsi="Arial" w:cs="Arial"/>
                <w:b/>
                <w:bCs/>
                <w:color w:val="000000"/>
                <w:sz w:val="22"/>
                <w:szCs w:val="22"/>
              </w:rPr>
              <w:t>Net asset</w:t>
            </w:r>
            <w:r w:rsidR="009D396B">
              <w:rPr>
                <w:rFonts w:ascii="Arial" w:hAnsi="Arial" w:cs="Arial"/>
                <w:b/>
                <w:bCs/>
                <w:color w:val="000000"/>
                <w:sz w:val="22"/>
                <w:szCs w:val="22"/>
              </w:rPr>
              <w:t>s</w:t>
            </w:r>
            <w:r w:rsidRPr="00A31D93">
              <w:rPr>
                <w:rFonts w:ascii="Arial" w:hAnsi="Arial" w:cs="Arial"/>
                <w:b/>
                <w:bCs/>
                <w:color w:val="000000"/>
                <w:sz w:val="22"/>
                <w:szCs w:val="22"/>
              </w:rPr>
              <w:t xml:space="preserve"> of the fund available to fund benefits at the end of the reporting period</w:t>
            </w:r>
          </w:p>
        </w:tc>
        <w:tc>
          <w:tcPr>
            <w:tcW w:w="1134" w:type="dxa"/>
            <w:tcBorders>
              <w:top w:val="nil"/>
              <w:left w:val="nil"/>
              <w:right w:val="nil"/>
            </w:tcBorders>
            <w:shd w:val="clear" w:color="000000" w:fill="FFFFFF"/>
            <w:noWrap/>
            <w:vAlign w:val="bottom"/>
            <w:hideMark/>
          </w:tcPr>
          <w:p w14:paraId="1D8ACCE9" w14:textId="77777777" w:rsidR="00884AA7" w:rsidRPr="00A31D93" w:rsidRDefault="00884AA7" w:rsidP="00884AA7">
            <w:pPr>
              <w:jc w:val="center"/>
              <w:rPr>
                <w:rFonts w:ascii="Arial" w:hAnsi="Arial" w:cs="Arial"/>
                <w:b/>
                <w:bCs/>
                <w:color w:val="000000"/>
                <w:sz w:val="22"/>
                <w:szCs w:val="22"/>
              </w:rPr>
            </w:pPr>
            <w:r w:rsidRPr="00A31D93">
              <w:rPr>
                <w:rFonts w:ascii="Arial" w:hAnsi="Arial" w:cs="Arial"/>
                <w:b/>
                <w:bCs/>
                <w:color w:val="000000"/>
                <w:sz w:val="22"/>
                <w:szCs w:val="22"/>
              </w:rPr>
              <w:t> </w:t>
            </w:r>
          </w:p>
        </w:tc>
        <w:tc>
          <w:tcPr>
            <w:tcW w:w="1559" w:type="dxa"/>
            <w:tcBorders>
              <w:top w:val="single" w:sz="4" w:space="0" w:color="auto"/>
              <w:left w:val="nil"/>
              <w:bottom w:val="single" w:sz="8" w:space="0" w:color="auto"/>
              <w:right w:val="nil"/>
            </w:tcBorders>
            <w:shd w:val="clear" w:color="000000" w:fill="FFFFFF"/>
            <w:vAlign w:val="bottom"/>
          </w:tcPr>
          <w:p w14:paraId="53C70869" w14:textId="4FEEF612" w:rsidR="00884AA7" w:rsidRPr="00A31D93" w:rsidRDefault="009437C0" w:rsidP="00884AA7">
            <w:pPr>
              <w:jc w:val="right"/>
              <w:rPr>
                <w:rFonts w:ascii="Arial" w:hAnsi="Arial" w:cs="Arial"/>
                <w:color w:val="000000"/>
                <w:sz w:val="22"/>
                <w:szCs w:val="22"/>
              </w:rPr>
            </w:pPr>
            <w:r w:rsidRPr="00A31D93">
              <w:rPr>
                <w:rFonts w:ascii="Arial" w:hAnsi="Arial" w:cs="Arial"/>
                <w:color w:val="000000"/>
                <w:sz w:val="22"/>
                <w:szCs w:val="22"/>
              </w:rPr>
              <w:t>1,466,226</w:t>
            </w:r>
          </w:p>
        </w:tc>
        <w:tc>
          <w:tcPr>
            <w:tcW w:w="1559" w:type="dxa"/>
            <w:tcBorders>
              <w:top w:val="single" w:sz="4" w:space="0" w:color="auto"/>
              <w:left w:val="nil"/>
              <w:bottom w:val="single" w:sz="8" w:space="0" w:color="auto"/>
              <w:right w:val="nil"/>
            </w:tcBorders>
            <w:shd w:val="clear" w:color="000000" w:fill="FFFFFF"/>
            <w:noWrap/>
            <w:vAlign w:val="bottom"/>
          </w:tcPr>
          <w:p w14:paraId="706FCEFE" w14:textId="7A55E4A9" w:rsidR="00884AA7" w:rsidRPr="00B215F9" w:rsidRDefault="00884AA7" w:rsidP="00884AA7">
            <w:pPr>
              <w:jc w:val="right"/>
              <w:rPr>
                <w:rFonts w:ascii="Arial" w:hAnsi="Arial" w:cs="Arial"/>
                <w:b/>
                <w:bCs/>
                <w:color w:val="000000"/>
                <w:sz w:val="22"/>
                <w:szCs w:val="22"/>
              </w:rPr>
            </w:pPr>
            <w:r w:rsidRPr="00A31D93">
              <w:rPr>
                <w:rFonts w:ascii="Arial" w:hAnsi="Arial" w:cs="Arial"/>
                <w:b/>
                <w:bCs/>
                <w:color w:val="000000"/>
                <w:sz w:val="22"/>
                <w:szCs w:val="22"/>
              </w:rPr>
              <w:t>1,</w:t>
            </w:r>
            <w:r w:rsidR="008544D6" w:rsidRPr="00A31D93">
              <w:rPr>
                <w:rFonts w:ascii="Arial" w:hAnsi="Arial" w:cs="Arial"/>
                <w:b/>
                <w:bCs/>
                <w:color w:val="000000"/>
                <w:sz w:val="22"/>
                <w:szCs w:val="22"/>
              </w:rPr>
              <w:t>535,020</w:t>
            </w:r>
          </w:p>
        </w:tc>
      </w:tr>
    </w:tbl>
    <w:p w14:paraId="72AED728" w14:textId="625B6A9E" w:rsidR="003F2D27" w:rsidRPr="008A0A4E" w:rsidRDefault="0082780D" w:rsidP="003F2D27">
      <w:pPr>
        <w:tabs>
          <w:tab w:val="left" w:pos="284"/>
        </w:tabs>
        <w:rPr>
          <w:rFonts w:ascii="Arial" w:hAnsi="Arial" w:cs="Arial"/>
          <w:b/>
          <w:sz w:val="22"/>
          <w:szCs w:val="22"/>
        </w:rPr>
      </w:pPr>
      <w:r>
        <w:rPr>
          <w:rFonts w:ascii="Arial" w:hAnsi="Arial" w:cs="Arial"/>
          <w:b/>
          <w:sz w:val="22"/>
          <w:szCs w:val="22"/>
        </w:rPr>
        <w:tab/>
      </w:r>
    </w:p>
    <w:p w14:paraId="47BD2166" w14:textId="77777777" w:rsidR="003F2D27" w:rsidRPr="008A0A4E" w:rsidRDefault="003F2D27" w:rsidP="003F2D27">
      <w:pPr>
        <w:tabs>
          <w:tab w:val="left" w:pos="284"/>
        </w:tabs>
        <w:rPr>
          <w:rFonts w:ascii="Arial" w:hAnsi="Arial" w:cs="Arial"/>
          <w:b/>
          <w:sz w:val="22"/>
          <w:szCs w:val="22"/>
        </w:rPr>
      </w:pPr>
    </w:p>
    <w:p w14:paraId="32BD237B" w14:textId="77777777" w:rsidR="003F2D27" w:rsidRPr="008A0A4E" w:rsidRDefault="003F2D27" w:rsidP="003F2D27">
      <w:pPr>
        <w:tabs>
          <w:tab w:val="left" w:pos="284"/>
        </w:tabs>
        <w:rPr>
          <w:rFonts w:ascii="Arial" w:hAnsi="Arial" w:cs="Arial"/>
          <w:b/>
          <w:sz w:val="22"/>
          <w:szCs w:val="22"/>
        </w:rPr>
      </w:pPr>
    </w:p>
    <w:p w14:paraId="2E2704A4" w14:textId="427AE154" w:rsidR="003F2D27" w:rsidRDefault="003F2D27" w:rsidP="003F2D27">
      <w:pPr>
        <w:tabs>
          <w:tab w:val="left" w:pos="284"/>
        </w:tabs>
        <w:rPr>
          <w:rFonts w:ascii="Arial" w:hAnsi="Arial" w:cs="Arial"/>
          <w:b/>
          <w:sz w:val="22"/>
          <w:szCs w:val="22"/>
        </w:rPr>
      </w:pPr>
    </w:p>
    <w:p w14:paraId="7F231D77" w14:textId="77777777" w:rsidR="00421785" w:rsidRDefault="00421785" w:rsidP="003F2D27">
      <w:pPr>
        <w:tabs>
          <w:tab w:val="left" w:pos="284"/>
        </w:tabs>
        <w:rPr>
          <w:rFonts w:ascii="Arial" w:hAnsi="Arial" w:cs="Arial"/>
          <w:b/>
          <w:sz w:val="22"/>
          <w:szCs w:val="22"/>
        </w:rPr>
      </w:pPr>
    </w:p>
    <w:p w14:paraId="59320F8F" w14:textId="77777777" w:rsidR="009D396B" w:rsidRPr="008A0A4E" w:rsidRDefault="009D396B" w:rsidP="003F2D27">
      <w:pPr>
        <w:tabs>
          <w:tab w:val="left" w:pos="284"/>
        </w:tabs>
        <w:rPr>
          <w:rFonts w:ascii="Arial" w:hAnsi="Arial" w:cs="Arial"/>
          <w:b/>
          <w:sz w:val="22"/>
          <w:szCs w:val="22"/>
        </w:rPr>
      </w:pPr>
    </w:p>
    <w:p w14:paraId="3D1CF8F6" w14:textId="73494E3B" w:rsidR="003120CF" w:rsidRDefault="003120CF" w:rsidP="003F2D27">
      <w:pPr>
        <w:tabs>
          <w:tab w:val="left" w:pos="284"/>
        </w:tabs>
        <w:rPr>
          <w:rFonts w:ascii="Arial" w:hAnsi="Arial" w:cs="Arial"/>
          <w:b/>
          <w:sz w:val="22"/>
          <w:szCs w:val="22"/>
        </w:rPr>
      </w:pPr>
    </w:p>
    <w:p w14:paraId="5E4B1CDA" w14:textId="77777777" w:rsidR="00D3110F" w:rsidRDefault="00D3110F" w:rsidP="003F2D27">
      <w:pPr>
        <w:tabs>
          <w:tab w:val="left" w:pos="284"/>
        </w:tabs>
        <w:rPr>
          <w:rFonts w:ascii="Arial" w:hAnsi="Arial" w:cs="Arial"/>
          <w:b/>
          <w:sz w:val="22"/>
          <w:szCs w:val="22"/>
        </w:rPr>
      </w:pPr>
    </w:p>
    <w:p w14:paraId="152730DD" w14:textId="21ECC5E0" w:rsidR="003C45DA" w:rsidRPr="008A0A4E" w:rsidRDefault="003C45DA" w:rsidP="003F2D27">
      <w:pPr>
        <w:tabs>
          <w:tab w:val="left" w:pos="284"/>
        </w:tabs>
        <w:jc w:val="center"/>
        <w:rPr>
          <w:rFonts w:ascii="Arial" w:hAnsi="Arial" w:cs="Arial"/>
          <w:b/>
          <w:sz w:val="22"/>
          <w:szCs w:val="22"/>
        </w:rPr>
      </w:pPr>
      <w:r w:rsidRPr="008A0A4E">
        <w:rPr>
          <w:rFonts w:ascii="Arial" w:hAnsi="Arial" w:cs="Arial"/>
          <w:b/>
          <w:sz w:val="22"/>
          <w:szCs w:val="22"/>
        </w:rPr>
        <w:lastRenderedPageBreak/>
        <w:t>Notes to the Pension Fund Accounts for the year ended</w:t>
      </w:r>
    </w:p>
    <w:p w14:paraId="1B8A53F9" w14:textId="49680261" w:rsidR="003C45DA" w:rsidRDefault="003C45DA" w:rsidP="003C45DA">
      <w:pPr>
        <w:ind w:left="720"/>
        <w:jc w:val="center"/>
        <w:rPr>
          <w:rFonts w:ascii="Arial" w:hAnsi="Arial" w:cs="Arial"/>
          <w:b/>
          <w:sz w:val="22"/>
          <w:szCs w:val="22"/>
        </w:rPr>
      </w:pPr>
      <w:r w:rsidRPr="008A0A4E">
        <w:rPr>
          <w:rFonts w:ascii="Arial" w:hAnsi="Arial" w:cs="Arial"/>
          <w:b/>
          <w:sz w:val="22"/>
          <w:szCs w:val="22"/>
        </w:rPr>
        <w:t>31 March 20</w:t>
      </w:r>
      <w:r w:rsidR="00B65CBE" w:rsidRPr="008A0A4E">
        <w:rPr>
          <w:rFonts w:ascii="Arial" w:hAnsi="Arial" w:cs="Arial"/>
          <w:b/>
          <w:sz w:val="22"/>
          <w:szCs w:val="22"/>
        </w:rPr>
        <w:t>2</w:t>
      </w:r>
      <w:r w:rsidR="000A59A4">
        <w:rPr>
          <w:rFonts w:ascii="Arial" w:hAnsi="Arial" w:cs="Arial"/>
          <w:b/>
          <w:sz w:val="22"/>
          <w:szCs w:val="22"/>
        </w:rPr>
        <w:t>5</w:t>
      </w:r>
    </w:p>
    <w:p w14:paraId="24C42816" w14:textId="77777777" w:rsidR="003C45DA" w:rsidRPr="008A0A4E" w:rsidRDefault="003C45DA" w:rsidP="003C45DA">
      <w:pPr>
        <w:rPr>
          <w:rFonts w:ascii="Arial" w:hAnsi="Arial" w:cs="Arial"/>
          <w:b/>
          <w:sz w:val="22"/>
          <w:szCs w:val="22"/>
        </w:rPr>
      </w:pPr>
    </w:p>
    <w:p w14:paraId="1442A96A" w14:textId="77777777" w:rsidR="003C45DA" w:rsidRPr="008A0A4E" w:rsidRDefault="003C45DA" w:rsidP="003C45DA">
      <w:pPr>
        <w:pStyle w:val="ListParagraph"/>
        <w:numPr>
          <w:ilvl w:val="0"/>
          <w:numId w:val="10"/>
        </w:numPr>
        <w:spacing w:after="0" w:line="240" w:lineRule="auto"/>
        <w:ind w:left="284" w:hanging="284"/>
        <w:rPr>
          <w:rFonts w:ascii="Arial" w:hAnsi="Arial" w:cs="Arial"/>
          <w:b/>
        </w:rPr>
      </w:pPr>
      <w:r w:rsidRPr="008A0A4E">
        <w:rPr>
          <w:rFonts w:ascii="Arial" w:hAnsi="Arial" w:cs="Arial"/>
          <w:b/>
        </w:rPr>
        <w:t>Introduction</w:t>
      </w:r>
    </w:p>
    <w:p w14:paraId="5C69FDAE" w14:textId="77777777" w:rsidR="003C45DA" w:rsidRPr="008A0A4E" w:rsidRDefault="003C45DA" w:rsidP="003C45DA">
      <w:pPr>
        <w:rPr>
          <w:rFonts w:ascii="Arial" w:hAnsi="Arial" w:cs="Arial"/>
          <w:b/>
          <w:sz w:val="22"/>
          <w:szCs w:val="22"/>
        </w:rPr>
      </w:pPr>
    </w:p>
    <w:p w14:paraId="6935E290" w14:textId="77777777" w:rsidR="003C45DA" w:rsidRPr="00C60574" w:rsidRDefault="003C45DA" w:rsidP="003C45DA">
      <w:pPr>
        <w:ind w:left="284"/>
        <w:jc w:val="both"/>
        <w:rPr>
          <w:rFonts w:ascii="Arial" w:hAnsi="Arial" w:cs="Arial"/>
          <w:sz w:val="22"/>
          <w:szCs w:val="22"/>
        </w:rPr>
      </w:pPr>
      <w:r w:rsidRPr="00C60574">
        <w:rPr>
          <w:rFonts w:ascii="Arial" w:hAnsi="Arial" w:cs="Arial"/>
          <w:sz w:val="22"/>
          <w:szCs w:val="22"/>
        </w:rPr>
        <w:t>The Barking and Dagenham Pension Fund (“the Fund”) is part of the Local Government Pension Scheme (“LGPS”) and is administered by the London Borough of Barking and Dagenham (“LBBD”). The Council is the reporting entity for this Fund. The Fund is governed by the Public Service Pensions Act 2013 and the following secondary legislation:</w:t>
      </w:r>
    </w:p>
    <w:p w14:paraId="53418CCC" w14:textId="77777777" w:rsidR="003C45DA" w:rsidRPr="00C60574" w:rsidRDefault="003C45DA" w:rsidP="003C45DA">
      <w:pPr>
        <w:ind w:left="284"/>
        <w:jc w:val="both"/>
        <w:rPr>
          <w:rFonts w:ascii="Arial" w:hAnsi="Arial" w:cs="Arial"/>
          <w:sz w:val="22"/>
          <w:szCs w:val="22"/>
        </w:rPr>
      </w:pPr>
    </w:p>
    <w:p w14:paraId="14C349D3"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Regulations 2013 (as amended)</w:t>
      </w:r>
    </w:p>
    <w:p w14:paraId="22F3E3B8"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(Transitional Provisions, Savings and Amendment) Regulations 2014 (as amended) and</w:t>
      </w:r>
    </w:p>
    <w:p w14:paraId="0173C8F0"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(Management and Investment of Funds) Regulations 2016.</w:t>
      </w:r>
    </w:p>
    <w:p w14:paraId="51F0506A" w14:textId="77777777" w:rsidR="003C45DA" w:rsidRPr="00C60574" w:rsidRDefault="003C45DA" w:rsidP="003C45DA">
      <w:pPr>
        <w:ind w:left="284"/>
        <w:jc w:val="both"/>
        <w:rPr>
          <w:rFonts w:ascii="Arial" w:hAnsi="Arial" w:cs="Arial"/>
          <w:sz w:val="22"/>
          <w:szCs w:val="22"/>
        </w:rPr>
      </w:pPr>
      <w:r w:rsidRPr="00C60574">
        <w:rPr>
          <w:rFonts w:ascii="Arial" w:hAnsi="Arial" w:cs="Arial"/>
          <w:sz w:val="22"/>
          <w:szCs w:val="22"/>
        </w:rPr>
        <w:t xml:space="preserve">The Fund is operated as a funded, defined benefit scheme which provides for the payment of benefits to former employees of LBBD and those bodies admitted to the Fund, referred to as “members”. The benefits include not only retirement pensions, but also widow’s pensions, death grants and lump sum payments in certain circumstances. The Fund is financed by contributions from members, employers and from interest and dividends on the Fund’s investments. </w:t>
      </w:r>
    </w:p>
    <w:p w14:paraId="0B49D950" w14:textId="77777777" w:rsidR="003C45DA" w:rsidRPr="00C60574" w:rsidRDefault="003C45DA" w:rsidP="003C45DA">
      <w:pPr>
        <w:ind w:left="284"/>
        <w:jc w:val="both"/>
        <w:rPr>
          <w:rFonts w:ascii="Arial" w:hAnsi="Arial" w:cs="Arial"/>
          <w:sz w:val="22"/>
          <w:szCs w:val="22"/>
        </w:rPr>
      </w:pPr>
    </w:p>
    <w:p w14:paraId="2B229919" w14:textId="64971ED5" w:rsidR="003C45DA" w:rsidRDefault="003C45DA" w:rsidP="003C45DA">
      <w:pPr>
        <w:ind w:left="284"/>
        <w:jc w:val="both"/>
        <w:rPr>
          <w:rFonts w:ascii="Arial" w:hAnsi="Arial" w:cs="Arial"/>
          <w:sz w:val="22"/>
          <w:szCs w:val="22"/>
        </w:rPr>
      </w:pPr>
      <w:r w:rsidRPr="00C60574">
        <w:rPr>
          <w:rFonts w:ascii="Arial" w:hAnsi="Arial" w:cs="Arial"/>
          <w:sz w:val="22"/>
          <w:szCs w:val="22"/>
        </w:rPr>
        <w:t>The objective of the</w:t>
      </w:r>
      <w:r w:rsidR="007A3E4F" w:rsidRPr="00C60574">
        <w:rPr>
          <w:rFonts w:ascii="Arial" w:hAnsi="Arial" w:cs="Arial"/>
          <w:sz w:val="22"/>
          <w:szCs w:val="22"/>
        </w:rPr>
        <w:t xml:space="preserve"> </w:t>
      </w:r>
      <w:r w:rsidRPr="00C60574">
        <w:rPr>
          <w:rFonts w:ascii="Arial" w:hAnsi="Arial" w:cs="Arial"/>
          <w:sz w:val="22"/>
          <w:szCs w:val="22"/>
        </w:rPr>
        <w:t xml:space="preserve">financial statements is to provide information about the </w:t>
      </w:r>
      <w:r w:rsidR="007A3E4F" w:rsidRPr="00C60574">
        <w:rPr>
          <w:rFonts w:ascii="Arial" w:hAnsi="Arial" w:cs="Arial"/>
          <w:sz w:val="22"/>
          <w:szCs w:val="22"/>
        </w:rPr>
        <w:t>fund</w:t>
      </w:r>
      <w:r w:rsidR="007A5A5F">
        <w:rPr>
          <w:rFonts w:ascii="Arial" w:hAnsi="Arial" w:cs="Arial"/>
          <w:sz w:val="22"/>
          <w:szCs w:val="22"/>
        </w:rPr>
        <w:t>’</w:t>
      </w:r>
      <w:r w:rsidR="007A3E4F" w:rsidRPr="00C60574">
        <w:rPr>
          <w:rFonts w:ascii="Arial" w:hAnsi="Arial" w:cs="Arial"/>
          <w:sz w:val="22"/>
          <w:szCs w:val="22"/>
        </w:rPr>
        <w:t xml:space="preserve">s </w:t>
      </w:r>
      <w:r w:rsidRPr="00C60574">
        <w:rPr>
          <w:rFonts w:ascii="Arial" w:hAnsi="Arial" w:cs="Arial"/>
          <w:sz w:val="22"/>
          <w:szCs w:val="22"/>
        </w:rPr>
        <w:t>financial position</w:t>
      </w:r>
      <w:r w:rsidR="007A5A5F">
        <w:rPr>
          <w:rFonts w:ascii="Arial" w:hAnsi="Arial" w:cs="Arial"/>
          <w:sz w:val="22"/>
          <w:szCs w:val="22"/>
        </w:rPr>
        <w:t xml:space="preserve"> and</w:t>
      </w:r>
      <w:r w:rsidRPr="00C60574">
        <w:rPr>
          <w:rFonts w:ascii="Arial" w:hAnsi="Arial" w:cs="Arial"/>
          <w:sz w:val="22"/>
          <w:szCs w:val="22"/>
        </w:rPr>
        <w:t xml:space="preserve"> performance and show the results of the Council’s stewardship in managing the resources entrusted to it and for the assets at the period end. </w:t>
      </w:r>
    </w:p>
    <w:p w14:paraId="4AEA4FDA" w14:textId="77777777" w:rsidR="00E55A85" w:rsidRDefault="00E55A85" w:rsidP="003C45DA">
      <w:pPr>
        <w:ind w:left="284"/>
        <w:jc w:val="both"/>
        <w:rPr>
          <w:rFonts w:ascii="Arial" w:hAnsi="Arial" w:cs="Arial"/>
          <w:sz w:val="22"/>
          <w:szCs w:val="22"/>
        </w:rPr>
      </w:pPr>
    </w:p>
    <w:p w14:paraId="607033B9" w14:textId="77777777" w:rsidR="00E55A85" w:rsidRPr="00E55A85" w:rsidRDefault="00E55A85" w:rsidP="00E55A85">
      <w:pPr>
        <w:ind w:left="284"/>
        <w:jc w:val="both"/>
        <w:rPr>
          <w:rFonts w:ascii="Arial" w:hAnsi="Arial" w:cs="Arial"/>
          <w:sz w:val="22"/>
          <w:szCs w:val="22"/>
        </w:rPr>
      </w:pPr>
      <w:r w:rsidRPr="00E55A85">
        <w:rPr>
          <w:rFonts w:ascii="Arial" w:hAnsi="Arial" w:cs="Arial"/>
          <w:sz w:val="22"/>
          <w:szCs w:val="22"/>
        </w:rPr>
        <w:t>The Council is the administering authority for the London Borough of Barking and Dagenham Pension Fund. The Council’s Constitution delegates responsibility for managing the Pension Fund to the Pensions Committee supported by the Strategic Director Resources.</w:t>
      </w:r>
    </w:p>
    <w:p w14:paraId="4B7D1F24" w14:textId="77777777" w:rsidR="00E55A85" w:rsidRPr="00E55A85" w:rsidRDefault="00E55A85" w:rsidP="00E55A85">
      <w:pPr>
        <w:ind w:left="284"/>
        <w:jc w:val="both"/>
        <w:rPr>
          <w:rFonts w:ascii="Arial" w:hAnsi="Arial" w:cs="Arial"/>
          <w:sz w:val="22"/>
          <w:szCs w:val="22"/>
        </w:rPr>
      </w:pPr>
    </w:p>
    <w:p w14:paraId="1A20873D" w14:textId="3AD2F92E" w:rsidR="00E55A85" w:rsidRPr="00E55A85" w:rsidRDefault="00E55A85" w:rsidP="00E55A85">
      <w:pPr>
        <w:ind w:left="284"/>
        <w:jc w:val="both"/>
        <w:rPr>
          <w:rFonts w:ascii="Arial" w:hAnsi="Arial" w:cs="Arial"/>
          <w:sz w:val="22"/>
          <w:szCs w:val="22"/>
        </w:rPr>
      </w:pPr>
      <w:r w:rsidRPr="00E55A85">
        <w:rPr>
          <w:rFonts w:ascii="Arial" w:hAnsi="Arial" w:cs="Arial"/>
          <w:sz w:val="22"/>
          <w:szCs w:val="22"/>
        </w:rPr>
        <w:t xml:space="preserve">The Fund’s investment return in 2024/25 was 5.01%, 1.2% lower than the benchmark return. The </w:t>
      </w:r>
      <w:proofErr w:type="gramStart"/>
      <w:r w:rsidRPr="00E55A85">
        <w:rPr>
          <w:rFonts w:ascii="Arial" w:hAnsi="Arial" w:cs="Arial"/>
          <w:sz w:val="22"/>
          <w:szCs w:val="22"/>
        </w:rPr>
        <w:t>3 year</w:t>
      </w:r>
      <w:proofErr w:type="gramEnd"/>
      <w:r w:rsidRPr="00E55A85">
        <w:rPr>
          <w:rFonts w:ascii="Arial" w:hAnsi="Arial" w:cs="Arial"/>
          <w:sz w:val="22"/>
          <w:szCs w:val="22"/>
        </w:rPr>
        <w:t xml:space="preserve"> return was 4.86% (1.69% below benchmark) and the </w:t>
      </w:r>
      <w:proofErr w:type="gramStart"/>
      <w:r w:rsidRPr="00E55A85">
        <w:rPr>
          <w:rFonts w:ascii="Arial" w:hAnsi="Arial" w:cs="Arial"/>
          <w:sz w:val="22"/>
          <w:szCs w:val="22"/>
        </w:rPr>
        <w:t>5 year</w:t>
      </w:r>
      <w:proofErr w:type="gramEnd"/>
      <w:r w:rsidRPr="00E55A85">
        <w:rPr>
          <w:rFonts w:ascii="Arial" w:hAnsi="Arial" w:cs="Arial"/>
          <w:sz w:val="22"/>
          <w:szCs w:val="22"/>
        </w:rPr>
        <w:t xml:space="preserve"> return was 9.49% (0.44% lower than benchmark). However, based upon independent data the Fund outperformed the Local Authority Average over 1, 3 and 5 years</w:t>
      </w:r>
      <w:r w:rsidR="00A439AD">
        <w:rPr>
          <w:rFonts w:ascii="Arial" w:hAnsi="Arial" w:cs="Arial"/>
          <w:sz w:val="22"/>
          <w:szCs w:val="22"/>
        </w:rPr>
        <w:t xml:space="preserve"> - </w:t>
      </w:r>
      <w:r w:rsidRPr="00E55A85">
        <w:rPr>
          <w:rFonts w:ascii="Arial" w:hAnsi="Arial" w:cs="Arial"/>
          <w:sz w:val="22"/>
          <w:szCs w:val="22"/>
        </w:rPr>
        <w:t>performing in the top decile (10% of Funds).</w:t>
      </w:r>
    </w:p>
    <w:p w14:paraId="7A5BB18D" w14:textId="77777777" w:rsidR="00E55A85" w:rsidRPr="00C60574" w:rsidRDefault="00E55A85" w:rsidP="003C45DA">
      <w:pPr>
        <w:ind w:left="284"/>
        <w:jc w:val="both"/>
        <w:rPr>
          <w:rFonts w:ascii="Arial" w:hAnsi="Arial" w:cs="Arial"/>
          <w:sz w:val="22"/>
          <w:szCs w:val="22"/>
        </w:rPr>
      </w:pPr>
    </w:p>
    <w:p w14:paraId="374E5FFA" w14:textId="58647730" w:rsidR="004A4DC9" w:rsidRPr="00B2029C" w:rsidRDefault="004A4DC9" w:rsidP="004A4DC9">
      <w:pPr>
        <w:ind w:left="284"/>
        <w:rPr>
          <w:rFonts w:ascii="Arial" w:hAnsi="Arial" w:cs="Arial"/>
          <w:sz w:val="22"/>
          <w:szCs w:val="22"/>
        </w:rPr>
      </w:pPr>
      <w:r w:rsidRPr="00701FBE">
        <w:rPr>
          <w:rFonts w:ascii="Arial" w:hAnsi="Arial" w:cs="Arial"/>
          <w:sz w:val="22"/>
          <w:szCs w:val="22"/>
        </w:rPr>
        <w:t xml:space="preserve">During the year, the total number of active employers within the Fund was </w:t>
      </w:r>
      <w:r w:rsidR="00701FBE" w:rsidRPr="00701FBE">
        <w:rPr>
          <w:rFonts w:ascii="Arial" w:hAnsi="Arial" w:cs="Arial"/>
          <w:sz w:val="22"/>
          <w:szCs w:val="22"/>
        </w:rPr>
        <w:t>3</w:t>
      </w:r>
      <w:r w:rsidR="00E95774">
        <w:rPr>
          <w:rFonts w:ascii="Arial" w:hAnsi="Arial" w:cs="Arial"/>
          <w:sz w:val="22"/>
          <w:szCs w:val="22"/>
        </w:rPr>
        <w:t>9</w:t>
      </w:r>
      <w:r w:rsidRPr="00701FBE">
        <w:rPr>
          <w:rFonts w:ascii="Arial" w:hAnsi="Arial" w:cs="Arial"/>
          <w:sz w:val="22"/>
          <w:szCs w:val="22"/>
        </w:rPr>
        <w:t>.</w:t>
      </w:r>
      <w:r w:rsidRPr="00B2029C">
        <w:rPr>
          <w:rFonts w:ascii="Arial" w:hAnsi="Arial" w:cs="Arial"/>
          <w:sz w:val="22"/>
          <w:szCs w:val="22"/>
        </w:rPr>
        <w:t xml:space="preserve"> </w:t>
      </w:r>
    </w:p>
    <w:p w14:paraId="67C52354" w14:textId="77777777" w:rsidR="004947C0" w:rsidRPr="00BC014A" w:rsidRDefault="004947C0" w:rsidP="00B03ED7">
      <w:pPr>
        <w:rPr>
          <w:rFonts w:ascii="Arial" w:hAnsi="Arial" w:cs="Arial"/>
          <w:b/>
          <w:sz w:val="22"/>
          <w:szCs w:val="22"/>
          <w:highlight w:val="yellow"/>
        </w:rPr>
      </w:pPr>
    </w:p>
    <w:p w14:paraId="34EF6D11" w14:textId="77777777" w:rsidR="003C45DA" w:rsidRPr="002E2E10" w:rsidRDefault="003C45DA" w:rsidP="003C45DA">
      <w:pPr>
        <w:pStyle w:val="ListParagraph"/>
        <w:numPr>
          <w:ilvl w:val="0"/>
          <w:numId w:val="10"/>
        </w:numPr>
        <w:spacing w:after="0" w:line="240" w:lineRule="auto"/>
        <w:ind w:left="284" w:hanging="284"/>
        <w:rPr>
          <w:rFonts w:ascii="Arial" w:hAnsi="Arial" w:cs="Arial"/>
          <w:b/>
        </w:rPr>
      </w:pPr>
      <w:r w:rsidRPr="002E2E10">
        <w:rPr>
          <w:rFonts w:ascii="Arial" w:hAnsi="Arial" w:cs="Arial"/>
          <w:b/>
        </w:rPr>
        <w:t>Format of the Pension Fund Statement of Accounts</w:t>
      </w:r>
    </w:p>
    <w:p w14:paraId="6037FCEA" w14:textId="77777777" w:rsidR="003C45DA" w:rsidRPr="002E2E10" w:rsidRDefault="003C45DA" w:rsidP="003C45DA">
      <w:pPr>
        <w:ind w:left="284"/>
        <w:jc w:val="both"/>
        <w:rPr>
          <w:rFonts w:ascii="Arial" w:hAnsi="Arial" w:cs="Arial"/>
          <w:sz w:val="22"/>
          <w:szCs w:val="22"/>
        </w:rPr>
      </w:pPr>
    </w:p>
    <w:p w14:paraId="5EEE91BF" w14:textId="6635097C" w:rsidR="003C45DA" w:rsidRPr="002E2E10" w:rsidRDefault="003C45DA" w:rsidP="003C45DA">
      <w:pPr>
        <w:ind w:left="284"/>
        <w:jc w:val="both"/>
        <w:rPr>
          <w:rFonts w:ascii="Arial" w:hAnsi="Arial" w:cs="Arial"/>
          <w:sz w:val="22"/>
          <w:szCs w:val="22"/>
        </w:rPr>
      </w:pPr>
      <w:r w:rsidRPr="002E2E10">
        <w:rPr>
          <w:rFonts w:ascii="Arial" w:hAnsi="Arial" w:cs="Arial"/>
          <w:sz w:val="22"/>
          <w:szCs w:val="22"/>
        </w:rPr>
        <w:t>The day</w:t>
      </w:r>
      <w:r w:rsidR="00F5422C">
        <w:rPr>
          <w:rFonts w:ascii="Arial" w:hAnsi="Arial" w:cs="Arial"/>
          <w:sz w:val="22"/>
          <w:szCs w:val="22"/>
        </w:rPr>
        <w:t>-</w:t>
      </w:r>
      <w:r w:rsidRPr="002E2E10">
        <w:rPr>
          <w:rFonts w:ascii="Arial" w:hAnsi="Arial" w:cs="Arial"/>
          <w:sz w:val="22"/>
          <w:szCs w:val="22"/>
        </w:rPr>
        <w:t>to</w:t>
      </w:r>
      <w:r w:rsidR="00F5422C">
        <w:rPr>
          <w:rFonts w:ascii="Arial" w:hAnsi="Arial" w:cs="Arial"/>
          <w:sz w:val="22"/>
          <w:szCs w:val="22"/>
        </w:rPr>
        <w:t>-</w:t>
      </w:r>
      <w:r w:rsidRPr="002E2E10">
        <w:rPr>
          <w:rFonts w:ascii="Arial" w:hAnsi="Arial" w:cs="Arial"/>
          <w:sz w:val="22"/>
          <w:szCs w:val="22"/>
        </w:rPr>
        <w:t xml:space="preserve">day administration of the Fund and the operation of the management arrangements and investment portfolio are delegated to the </w:t>
      </w:r>
      <w:r w:rsidR="0008358B" w:rsidRPr="0008358B">
        <w:rPr>
          <w:rFonts w:ascii="Arial" w:hAnsi="Arial" w:cs="Arial"/>
          <w:sz w:val="22"/>
          <w:szCs w:val="22"/>
        </w:rPr>
        <w:t>Strategic Director</w:t>
      </w:r>
      <w:r w:rsidR="00DE3411">
        <w:rPr>
          <w:rFonts w:ascii="Arial" w:hAnsi="Arial" w:cs="Arial"/>
          <w:sz w:val="22"/>
          <w:szCs w:val="22"/>
        </w:rPr>
        <w:t xml:space="preserve"> </w:t>
      </w:r>
      <w:r w:rsidR="0008358B" w:rsidRPr="0008358B">
        <w:rPr>
          <w:rFonts w:ascii="Arial" w:hAnsi="Arial" w:cs="Arial"/>
          <w:sz w:val="22"/>
          <w:szCs w:val="22"/>
        </w:rPr>
        <w:t>Resources</w:t>
      </w:r>
      <w:r w:rsidRPr="002E2E10">
        <w:rPr>
          <w:rFonts w:ascii="Arial" w:hAnsi="Arial" w:cs="Arial"/>
          <w:sz w:val="22"/>
          <w:szCs w:val="22"/>
        </w:rPr>
        <w:t>.</w:t>
      </w:r>
    </w:p>
    <w:p w14:paraId="015A2614" w14:textId="77777777" w:rsidR="003C45DA" w:rsidRPr="002E2E10" w:rsidRDefault="003C45DA" w:rsidP="003C45DA">
      <w:pPr>
        <w:ind w:left="284"/>
        <w:jc w:val="both"/>
        <w:rPr>
          <w:rFonts w:ascii="Arial" w:hAnsi="Arial" w:cs="Arial"/>
          <w:sz w:val="22"/>
          <w:szCs w:val="22"/>
        </w:rPr>
      </w:pPr>
    </w:p>
    <w:p w14:paraId="7A7390FF" w14:textId="3E1A8F33" w:rsidR="003C45DA" w:rsidRPr="002E2E10" w:rsidRDefault="003C45DA" w:rsidP="003C45DA">
      <w:pPr>
        <w:ind w:left="284"/>
        <w:jc w:val="both"/>
        <w:rPr>
          <w:rStyle w:val="Hyperlink"/>
          <w:rFonts w:ascii="Arial" w:hAnsi="Arial" w:cs="Arial"/>
          <w:sz w:val="22"/>
          <w:szCs w:val="22"/>
        </w:rPr>
      </w:pPr>
      <w:r w:rsidRPr="002E2E10">
        <w:rPr>
          <w:rFonts w:ascii="Arial" w:hAnsi="Arial" w:cs="Arial"/>
          <w:sz w:val="22"/>
          <w:szCs w:val="22"/>
        </w:rPr>
        <w:t>The following description of the Fund is a summary only. For more details, reference should be made to the Fund’s Annual Report for 20</w:t>
      </w:r>
      <w:r w:rsidR="00520BE2">
        <w:rPr>
          <w:rFonts w:ascii="Arial" w:hAnsi="Arial" w:cs="Arial"/>
          <w:sz w:val="22"/>
          <w:szCs w:val="22"/>
        </w:rPr>
        <w:t>2</w:t>
      </w:r>
      <w:r w:rsidR="00F52DF4">
        <w:rPr>
          <w:rFonts w:ascii="Arial" w:hAnsi="Arial" w:cs="Arial"/>
          <w:sz w:val="22"/>
          <w:szCs w:val="22"/>
        </w:rPr>
        <w:t>4</w:t>
      </w:r>
      <w:r w:rsidR="00520BE2">
        <w:rPr>
          <w:rFonts w:ascii="Arial" w:hAnsi="Arial" w:cs="Arial"/>
          <w:sz w:val="22"/>
          <w:szCs w:val="22"/>
        </w:rPr>
        <w:t>/2</w:t>
      </w:r>
      <w:r w:rsidR="00F52DF4">
        <w:rPr>
          <w:rFonts w:ascii="Arial" w:hAnsi="Arial" w:cs="Arial"/>
          <w:sz w:val="22"/>
          <w:szCs w:val="22"/>
        </w:rPr>
        <w:t>5</w:t>
      </w:r>
      <w:r w:rsidRPr="002E2E10">
        <w:rPr>
          <w:rFonts w:ascii="Arial" w:hAnsi="Arial" w:cs="Arial"/>
          <w:sz w:val="22"/>
          <w:szCs w:val="22"/>
        </w:rPr>
        <w:t xml:space="preserve">, which can be obtained from the Council’s website: </w:t>
      </w:r>
      <w:hyperlink r:id="rId14" w:history="1">
        <w:r w:rsidRPr="002E2E10">
          <w:rPr>
            <w:rStyle w:val="Hyperlink"/>
            <w:rFonts w:ascii="Arial" w:hAnsi="Arial" w:cs="Arial"/>
            <w:sz w:val="22"/>
            <w:szCs w:val="22"/>
          </w:rPr>
          <w:t>http://www.lbbdpensionfund.org</w:t>
        </w:r>
      </w:hyperlink>
      <w:r w:rsidR="00D4313F" w:rsidRPr="002E2E10">
        <w:rPr>
          <w:rStyle w:val="Hyperlink"/>
          <w:rFonts w:ascii="Arial" w:hAnsi="Arial" w:cs="Arial"/>
          <w:sz w:val="22"/>
          <w:szCs w:val="22"/>
        </w:rPr>
        <w:t>.</w:t>
      </w:r>
    </w:p>
    <w:p w14:paraId="6D5DD7BF" w14:textId="77777777" w:rsidR="00C61222" w:rsidRPr="002E2E10" w:rsidRDefault="00C61222" w:rsidP="008E6945">
      <w:pPr>
        <w:autoSpaceDE w:val="0"/>
        <w:autoSpaceDN w:val="0"/>
        <w:adjustRightInd w:val="0"/>
        <w:ind w:left="284"/>
        <w:jc w:val="both"/>
        <w:rPr>
          <w:rFonts w:ascii="Arial" w:hAnsi="Arial" w:cs="Arial"/>
          <w:sz w:val="22"/>
          <w:szCs w:val="22"/>
        </w:rPr>
      </w:pPr>
    </w:p>
    <w:p w14:paraId="7E02B5F0" w14:textId="6E73D922" w:rsidR="003C45DA" w:rsidRPr="002E2E10" w:rsidRDefault="003C45DA" w:rsidP="008E6945">
      <w:pPr>
        <w:autoSpaceDE w:val="0"/>
        <w:autoSpaceDN w:val="0"/>
        <w:adjustRightInd w:val="0"/>
        <w:ind w:left="284"/>
        <w:jc w:val="both"/>
        <w:rPr>
          <w:rFonts w:ascii="Arial" w:eastAsia="Calibri" w:hAnsi="Arial" w:cs="Arial"/>
          <w:color w:val="000000"/>
          <w:sz w:val="22"/>
          <w:szCs w:val="22"/>
          <w:lang w:eastAsia="en-US"/>
        </w:rPr>
      </w:pPr>
      <w:r w:rsidRPr="002E2E10">
        <w:rPr>
          <w:rFonts w:ascii="Arial" w:eastAsia="Calibri" w:hAnsi="Arial" w:cs="Arial"/>
          <w:color w:val="000000"/>
          <w:sz w:val="22"/>
          <w:szCs w:val="22"/>
          <w:lang w:eastAsia="en-US"/>
        </w:rPr>
        <w:t>The statutory powers that underpin the scheme are the Superannuation Act 1972 and the Local Government Pension Scheme (LGPS) regulations, which can be found at:</w:t>
      </w:r>
    </w:p>
    <w:p w14:paraId="2C1A1B0C" w14:textId="11BC8888" w:rsidR="008E6945" w:rsidRDefault="008E6945" w:rsidP="00B2029C">
      <w:pPr>
        <w:ind w:firstLine="284"/>
        <w:jc w:val="both"/>
        <w:rPr>
          <w:rFonts w:ascii="Arial" w:eastAsia="Calibri" w:hAnsi="Arial" w:cs="Arial"/>
          <w:color w:val="000000"/>
          <w:sz w:val="22"/>
          <w:szCs w:val="22"/>
          <w:lang w:eastAsia="en-US"/>
        </w:rPr>
      </w:pPr>
      <w:hyperlink r:id="rId15" w:history="1">
        <w:r w:rsidRPr="002E2E10">
          <w:rPr>
            <w:rStyle w:val="Hyperlink"/>
            <w:rFonts w:ascii="Arial" w:eastAsia="Calibri" w:hAnsi="Arial" w:cs="Arial"/>
            <w:sz w:val="22"/>
            <w:szCs w:val="22"/>
            <w:lang w:eastAsia="en-US"/>
          </w:rPr>
          <w:t>www.legislation.gov.uk</w:t>
        </w:r>
      </w:hyperlink>
      <w:r w:rsidR="003C45DA" w:rsidRPr="002E2E10">
        <w:rPr>
          <w:rFonts w:ascii="Arial" w:eastAsia="Calibri" w:hAnsi="Arial" w:cs="Arial"/>
          <w:color w:val="000000"/>
          <w:sz w:val="22"/>
          <w:szCs w:val="22"/>
          <w:lang w:eastAsia="en-US"/>
        </w:rPr>
        <w:t>.</w:t>
      </w:r>
    </w:p>
    <w:p w14:paraId="156078F3" w14:textId="77777777" w:rsidR="003120CF" w:rsidRDefault="003120CF" w:rsidP="008016F8">
      <w:pPr>
        <w:jc w:val="both"/>
        <w:rPr>
          <w:rFonts w:ascii="Arial" w:eastAsia="Calibri" w:hAnsi="Arial" w:cs="Arial"/>
          <w:color w:val="000000"/>
          <w:sz w:val="22"/>
          <w:szCs w:val="22"/>
          <w:lang w:eastAsia="en-US"/>
        </w:rPr>
      </w:pPr>
    </w:p>
    <w:p w14:paraId="2561FC04" w14:textId="77777777" w:rsidR="008B28F5" w:rsidRDefault="008B28F5" w:rsidP="008016F8">
      <w:pPr>
        <w:jc w:val="both"/>
        <w:rPr>
          <w:rFonts w:ascii="Arial" w:eastAsia="Calibri" w:hAnsi="Arial" w:cs="Arial"/>
          <w:color w:val="000000"/>
          <w:sz w:val="22"/>
          <w:szCs w:val="22"/>
          <w:lang w:eastAsia="en-US"/>
        </w:rPr>
      </w:pPr>
    </w:p>
    <w:p w14:paraId="4945816E" w14:textId="77777777" w:rsidR="00D17250" w:rsidRDefault="00D17250" w:rsidP="008016F8">
      <w:pPr>
        <w:jc w:val="both"/>
        <w:rPr>
          <w:rFonts w:ascii="Arial" w:eastAsia="Calibri" w:hAnsi="Arial" w:cs="Arial"/>
          <w:color w:val="000000"/>
          <w:sz w:val="22"/>
          <w:szCs w:val="22"/>
          <w:lang w:eastAsia="en-US"/>
        </w:rPr>
      </w:pPr>
    </w:p>
    <w:p w14:paraId="54A2322B" w14:textId="77777777" w:rsidR="00E2112F" w:rsidRDefault="00E2112F" w:rsidP="008016F8">
      <w:pPr>
        <w:jc w:val="both"/>
        <w:rPr>
          <w:rFonts w:ascii="Arial" w:eastAsia="Calibri" w:hAnsi="Arial" w:cs="Arial"/>
          <w:color w:val="000000"/>
          <w:sz w:val="22"/>
          <w:szCs w:val="22"/>
          <w:lang w:eastAsia="en-US"/>
        </w:rPr>
      </w:pPr>
    </w:p>
    <w:p w14:paraId="47C65791" w14:textId="77777777" w:rsidR="00E95774" w:rsidRDefault="00E95774" w:rsidP="008016F8">
      <w:pPr>
        <w:jc w:val="both"/>
        <w:rPr>
          <w:rFonts w:ascii="Arial" w:eastAsia="Calibri" w:hAnsi="Arial" w:cs="Arial"/>
          <w:color w:val="000000"/>
          <w:sz w:val="22"/>
          <w:szCs w:val="22"/>
          <w:lang w:eastAsia="en-US"/>
        </w:rPr>
      </w:pPr>
    </w:p>
    <w:p w14:paraId="29DCF308" w14:textId="43216BF7" w:rsidR="003C45DA" w:rsidRDefault="003C45DA" w:rsidP="002C4F7F">
      <w:pPr>
        <w:ind w:firstLine="284"/>
        <w:jc w:val="both"/>
        <w:rPr>
          <w:rFonts w:ascii="Arial" w:hAnsi="Arial" w:cs="Arial"/>
          <w:b/>
          <w:sz w:val="22"/>
          <w:szCs w:val="22"/>
        </w:rPr>
      </w:pPr>
      <w:r w:rsidRPr="002E2E10">
        <w:rPr>
          <w:rFonts w:ascii="Arial" w:hAnsi="Arial" w:cs="Arial"/>
          <w:b/>
          <w:sz w:val="22"/>
          <w:szCs w:val="22"/>
        </w:rPr>
        <w:t>Membership</w:t>
      </w:r>
    </w:p>
    <w:p w14:paraId="1FC9F179" w14:textId="77777777" w:rsidR="00093B38" w:rsidRPr="00093B38" w:rsidRDefault="00093B38" w:rsidP="00093B38">
      <w:pPr>
        <w:ind w:firstLine="284"/>
        <w:jc w:val="both"/>
        <w:rPr>
          <w:rFonts w:ascii="Arial" w:hAnsi="Arial" w:cs="Arial"/>
          <w:sz w:val="22"/>
          <w:szCs w:val="22"/>
        </w:rPr>
      </w:pPr>
    </w:p>
    <w:p w14:paraId="1C644284" w14:textId="5007D0C1" w:rsidR="003C45DA" w:rsidRPr="008A0A4E" w:rsidRDefault="003C45DA" w:rsidP="003C45DA">
      <w:pPr>
        <w:ind w:left="284"/>
        <w:jc w:val="both"/>
        <w:rPr>
          <w:rFonts w:ascii="Arial" w:hAnsi="Arial" w:cs="Arial"/>
          <w:sz w:val="22"/>
          <w:szCs w:val="22"/>
        </w:rPr>
      </w:pPr>
      <w:r w:rsidRPr="008A0A4E">
        <w:rPr>
          <w:rFonts w:ascii="Arial" w:hAnsi="Arial" w:cs="Arial"/>
          <w:sz w:val="22"/>
          <w:szCs w:val="22"/>
        </w:rPr>
        <w:t>All local government employees (except casual employees and teachers) are automatically enrolled into the Scheme.  However, membership of the LGPS is voluntary and employees are free to choose whether to opt out, remain in the Scheme or make their own personal arrangements outside the Scheme. Organisations participating in the Fund include:</w:t>
      </w:r>
    </w:p>
    <w:p w14:paraId="4D5875CE" w14:textId="77777777" w:rsidR="003C45DA" w:rsidRPr="008A0A4E" w:rsidRDefault="003C45DA" w:rsidP="003C45DA">
      <w:pPr>
        <w:jc w:val="both"/>
        <w:rPr>
          <w:rFonts w:ascii="Arial" w:hAnsi="Arial" w:cs="Arial"/>
          <w:sz w:val="22"/>
          <w:szCs w:val="22"/>
        </w:rPr>
      </w:pPr>
    </w:p>
    <w:p w14:paraId="496D07B2" w14:textId="6012107A" w:rsidR="003C45DA" w:rsidRPr="003F208C" w:rsidRDefault="003C45DA" w:rsidP="003F208C">
      <w:pPr>
        <w:pStyle w:val="ListParagraph"/>
        <w:numPr>
          <w:ilvl w:val="3"/>
          <w:numId w:val="8"/>
        </w:numPr>
        <w:ind w:left="993"/>
        <w:jc w:val="both"/>
        <w:rPr>
          <w:rFonts w:ascii="Arial" w:hAnsi="Arial" w:cs="Arial"/>
        </w:rPr>
      </w:pPr>
      <w:r w:rsidRPr="003F208C">
        <w:rPr>
          <w:rFonts w:ascii="Arial" w:hAnsi="Arial" w:cs="Arial"/>
        </w:rPr>
        <w:t>Scheduled bodies, which are local authorities and similar bodies whose staff are automatically entitled to be members of the Fund; and</w:t>
      </w:r>
    </w:p>
    <w:p w14:paraId="76CD07C2" w14:textId="77777777" w:rsidR="003C45DA" w:rsidRPr="008A0A4E" w:rsidRDefault="003C45DA" w:rsidP="003C45DA">
      <w:pPr>
        <w:pStyle w:val="ListParagraph"/>
        <w:numPr>
          <w:ilvl w:val="0"/>
          <w:numId w:val="8"/>
        </w:numPr>
        <w:spacing w:after="0" w:line="240" w:lineRule="auto"/>
        <w:ind w:left="993" w:hanging="357"/>
        <w:jc w:val="both"/>
        <w:rPr>
          <w:rFonts w:ascii="Arial" w:hAnsi="Arial" w:cs="Arial"/>
        </w:rPr>
      </w:pPr>
      <w:r w:rsidRPr="008A0A4E">
        <w:rPr>
          <w:rFonts w:ascii="Arial" w:hAnsi="Arial" w:cs="Arial"/>
        </w:rPr>
        <w:t>Admitted bodies, which are other organisations that participate in the Fund under an admission agreement between the Fund and the relevant organisation. Admitted bodies include voluntary, charitable and similar bodies or private contractors undertaking a local authority function following outsourcing to the private sector.</w:t>
      </w:r>
    </w:p>
    <w:p w14:paraId="32AFA459" w14:textId="77777777" w:rsidR="003C45DA" w:rsidRPr="008A0A4E" w:rsidRDefault="003C45DA" w:rsidP="00B9316D">
      <w:pPr>
        <w:ind w:left="993"/>
        <w:jc w:val="both"/>
        <w:rPr>
          <w:rFonts w:ascii="Arial" w:hAnsi="Arial" w:cs="Arial"/>
          <w:sz w:val="22"/>
          <w:szCs w:val="22"/>
        </w:rPr>
      </w:pPr>
    </w:p>
    <w:p w14:paraId="1740C260"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A list of the Fund’s scheduled and admitted employers are provided below. Not Active employers do not have any current members but have either deferred or pensioners. The obligations and assets for these employers have been absorbed by the Council.</w:t>
      </w:r>
    </w:p>
    <w:p w14:paraId="2A6DA0C3" w14:textId="77777777" w:rsidR="003C45DA" w:rsidRPr="008A0A4E" w:rsidRDefault="003C45DA" w:rsidP="003C45DA">
      <w:pPr>
        <w:ind w:left="284"/>
        <w:jc w:val="both"/>
        <w:rPr>
          <w:rFonts w:ascii="Arial" w:hAnsi="Arial" w:cs="Arial"/>
          <w:sz w:val="22"/>
          <w:szCs w:val="22"/>
        </w:rPr>
      </w:pPr>
    </w:p>
    <w:p w14:paraId="0DC0C0C3" w14:textId="3C271155" w:rsidR="003C45DA" w:rsidRDefault="003C45DA" w:rsidP="0063372B">
      <w:pPr>
        <w:jc w:val="both"/>
        <w:rPr>
          <w:rFonts w:ascii="Arial" w:hAnsi="Arial" w:cs="Arial"/>
          <w:sz w:val="22"/>
          <w:szCs w:val="22"/>
        </w:rPr>
      </w:pPr>
      <w:r w:rsidRPr="008A0A4E">
        <w:rPr>
          <w:rFonts w:ascii="Arial" w:hAnsi="Arial" w:cs="Arial"/>
          <w:sz w:val="22"/>
          <w:szCs w:val="22"/>
        </w:rPr>
        <w:t>A breakdown of the Fund’s member</w:t>
      </w:r>
      <w:r w:rsidR="00612529">
        <w:rPr>
          <w:rFonts w:ascii="Arial" w:hAnsi="Arial" w:cs="Arial"/>
          <w:sz w:val="22"/>
          <w:szCs w:val="22"/>
        </w:rPr>
        <w:t>s</w:t>
      </w:r>
      <w:r w:rsidRPr="008A0A4E">
        <w:rPr>
          <w:rFonts w:ascii="Arial" w:hAnsi="Arial" w:cs="Arial"/>
          <w:sz w:val="22"/>
          <w:szCs w:val="22"/>
        </w:rPr>
        <w:t xml:space="preserve"> by employer type and by member type is included in the table below:</w:t>
      </w:r>
    </w:p>
    <w:p w14:paraId="7523DBA0" w14:textId="77777777" w:rsidR="000F6C97" w:rsidRDefault="000F6C97" w:rsidP="0063372B">
      <w:pPr>
        <w:jc w:val="both"/>
        <w:rPr>
          <w:rFonts w:ascii="Arial" w:hAnsi="Arial" w:cs="Arial"/>
          <w:sz w:val="22"/>
          <w:szCs w:val="22"/>
        </w:rPr>
      </w:pPr>
    </w:p>
    <w:tbl>
      <w:tblPr>
        <w:tblW w:w="8921" w:type="dxa"/>
        <w:tblLook w:val="04A0" w:firstRow="1" w:lastRow="0" w:firstColumn="1" w:lastColumn="0" w:noHBand="0" w:noVBand="1"/>
      </w:tblPr>
      <w:tblGrid>
        <w:gridCol w:w="4385"/>
        <w:gridCol w:w="4536"/>
      </w:tblGrid>
      <w:tr w:rsidR="004B74E2" w14:paraId="6816D983" w14:textId="77777777" w:rsidTr="008C1838">
        <w:trPr>
          <w:trHeight w:val="315"/>
          <w:tblHeader/>
        </w:trPr>
        <w:tc>
          <w:tcPr>
            <w:tcW w:w="43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262248" w14:textId="77777777" w:rsidR="004B74E2" w:rsidRDefault="004B74E2">
            <w:pPr>
              <w:jc w:val="center"/>
              <w:rPr>
                <w:rFonts w:ascii="Arial" w:hAnsi="Arial" w:cs="Arial"/>
                <w:b/>
                <w:bCs/>
                <w:color w:val="000000"/>
                <w:sz w:val="22"/>
                <w:szCs w:val="22"/>
              </w:rPr>
            </w:pPr>
            <w:r>
              <w:rPr>
                <w:rFonts w:ascii="Arial" w:hAnsi="Arial" w:cs="Arial"/>
                <w:b/>
                <w:bCs/>
                <w:color w:val="000000"/>
                <w:sz w:val="22"/>
                <w:szCs w:val="22"/>
              </w:rPr>
              <w:t>Scheduled Bodies</w:t>
            </w:r>
          </w:p>
        </w:tc>
        <w:tc>
          <w:tcPr>
            <w:tcW w:w="4536" w:type="dxa"/>
            <w:tcBorders>
              <w:top w:val="single" w:sz="8" w:space="0" w:color="auto"/>
              <w:left w:val="nil"/>
              <w:bottom w:val="single" w:sz="8" w:space="0" w:color="auto"/>
              <w:right w:val="single" w:sz="8" w:space="0" w:color="auto"/>
            </w:tcBorders>
            <w:shd w:val="clear" w:color="000000" w:fill="FFFFFF"/>
            <w:noWrap/>
            <w:vAlign w:val="center"/>
            <w:hideMark/>
          </w:tcPr>
          <w:p w14:paraId="77FE0BC7" w14:textId="77777777" w:rsidR="004B74E2" w:rsidRDefault="004B74E2">
            <w:pPr>
              <w:jc w:val="center"/>
              <w:rPr>
                <w:rFonts w:ascii="Arial" w:hAnsi="Arial" w:cs="Arial"/>
                <w:b/>
                <w:bCs/>
                <w:color w:val="000000"/>
                <w:sz w:val="22"/>
                <w:szCs w:val="22"/>
              </w:rPr>
            </w:pPr>
            <w:r>
              <w:rPr>
                <w:rFonts w:ascii="Arial" w:hAnsi="Arial" w:cs="Arial"/>
                <w:b/>
                <w:bCs/>
                <w:color w:val="000000"/>
                <w:sz w:val="22"/>
                <w:szCs w:val="22"/>
              </w:rPr>
              <w:t>Admitted Bodies</w:t>
            </w:r>
          </w:p>
        </w:tc>
      </w:tr>
      <w:tr w:rsidR="004B74E2" w14:paraId="0F69E490"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FA3591F"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LBBD</w:t>
            </w:r>
          </w:p>
        </w:tc>
        <w:tc>
          <w:tcPr>
            <w:tcW w:w="4536" w:type="dxa"/>
            <w:tcBorders>
              <w:top w:val="nil"/>
              <w:left w:val="nil"/>
              <w:bottom w:val="nil"/>
              <w:right w:val="single" w:sz="8" w:space="0" w:color="auto"/>
            </w:tcBorders>
            <w:shd w:val="clear" w:color="000000" w:fill="FFFFFF"/>
            <w:noWrap/>
            <w:vAlign w:val="center"/>
            <w:hideMark/>
          </w:tcPr>
          <w:p w14:paraId="489ECEA1"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Aspens</w:t>
            </w:r>
          </w:p>
        </w:tc>
      </w:tr>
      <w:tr w:rsidR="004B74E2" w14:paraId="6DB8840F"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6C721544"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Barking College</w:t>
            </w:r>
          </w:p>
        </w:tc>
        <w:tc>
          <w:tcPr>
            <w:tcW w:w="4536" w:type="dxa"/>
            <w:tcBorders>
              <w:top w:val="nil"/>
              <w:left w:val="nil"/>
              <w:bottom w:val="nil"/>
              <w:right w:val="single" w:sz="8" w:space="0" w:color="auto"/>
            </w:tcBorders>
            <w:shd w:val="clear" w:color="000000" w:fill="FFFFFF"/>
            <w:noWrap/>
            <w:vAlign w:val="center"/>
            <w:hideMark/>
          </w:tcPr>
          <w:p w14:paraId="6FA6D14E"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BD Corporate Cleaning Ltd</w:t>
            </w:r>
          </w:p>
        </w:tc>
      </w:tr>
      <w:tr w:rsidR="004B74E2" w14:paraId="1388E41F"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AAF34D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Dorothy Barley Academy</w:t>
            </w:r>
          </w:p>
        </w:tc>
        <w:tc>
          <w:tcPr>
            <w:tcW w:w="4536" w:type="dxa"/>
            <w:tcBorders>
              <w:top w:val="nil"/>
              <w:left w:val="nil"/>
              <w:bottom w:val="nil"/>
              <w:right w:val="single" w:sz="8" w:space="0" w:color="auto"/>
            </w:tcBorders>
            <w:shd w:val="clear" w:color="000000" w:fill="FFFFFF"/>
            <w:noWrap/>
            <w:vAlign w:val="center"/>
            <w:hideMark/>
          </w:tcPr>
          <w:p w14:paraId="0E8B5D5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BD Schools Improvement Partnership</w:t>
            </w:r>
          </w:p>
        </w:tc>
      </w:tr>
      <w:tr w:rsidR="004B74E2" w14:paraId="0B04707C"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05A42300"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Eastbury Academy</w:t>
            </w:r>
          </w:p>
        </w:tc>
        <w:tc>
          <w:tcPr>
            <w:tcW w:w="4536" w:type="dxa"/>
            <w:tcBorders>
              <w:top w:val="nil"/>
              <w:left w:val="nil"/>
              <w:bottom w:val="nil"/>
              <w:right w:val="single" w:sz="8" w:space="0" w:color="auto"/>
            </w:tcBorders>
            <w:shd w:val="clear" w:color="000000" w:fill="FFFFFF"/>
            <w:noWrap/>
            <w:vAlign w:val="center"/>
            <w:hideMark/>
          </w:tcPr>
          <w:p w14:paraId="04DF7126"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BD Together</w:t>
            </w:r>
          </w:p>
        </w:tc>
      </w:tr>
      <w:tr w:rsidR="004B74E2" w14:paraId="48BC3224"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45C08EF"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Brook College</w:t>
            </w:r>
          </w:p>
        </w:tc>
        <w:tc>
          <w:tcPr>
            <w:tcW w:w="4536" w:type="dxa"/>
            <w:tcBorders>
              <w:top w:val="nil"/>
              <w:left w:val="nil"/>
              <w:bottom w:val="nil"/>
              <w:right w:val="single" w:sz="8" w:space="0" w:color="auto"/>
            </w:tcBorders>
            <w:shd w:val="clear" w:color="000000" w:fill="FFFFFF"/>
            <w:noWrap/>
            <w:vAlign w:val="center"/>
            <w:hideMark/>
          </w:tcPr>
          <w:p w14:paraId="19CF820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Be First</w:t>
            </w:r>
          </w:p>
        </w:tc>
      </w:tr>
      <w:tr w:rsidR="004B74E2" w14:paraId="1192ADB9"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76DC629F" w14:textId="77777777" w:rsidR="004B74E2" w:rsidRDefault="004B74E2">
            <w:pPr>
              <w:ind w:firstLineChars="100" w:firstLine="220"/>
              <w:rPr>
                <w:rFonts w:ascii="Arial" w:hAnsi="Arial" w:cs="Arial"/>
                <w:color w:val="000000"/>
                <w:sz w:val="22"/>
                <w:szCs w:val="22"/>
              </w:rPr>
            </w:pPr>
            <w:proofErr w:type="spellStart"/>
            <w:r>
              <w:rPr>
                <w:rFonts w:ascii="Arial" w:hAnsi="Arial" w:cs="Arial"/>
                <w:color w:val="000000"/>
                <w:sz w:val="22"/>
                <w:szCs w:val="22"/>
              </w:rPr>
              <w:t>Goresbrook</w:t>
            </w:r>
            <w:proofErr w:type="spellEnd"/>
            <w:r>
              <w:rPr>
                <w:rFonts w:ascii="Arial" w:hAnsi="Arial" w:cs="Arial"/>
                <w:color w:val="000000"/>
                <w:sz w:val="22"/>
                <w:szCs w:val="22"/>
              </w:rPr>
              <w:t xml:space="preserve"> Free School</w:t>
            </w:r>
          </w:p>
        </w:tc>
        <w:tc>
          <w:tcPr>
            <w:tcW w:w="4536" w:type="dxa"/>
            <w:tcBorders>
              <w:top w:val="nil"/>
              <w:left w:val="nil"/>
              <w:bottom w:val="nil"/>
              <w:right w:val="single" w:sz="8" w:space="0" w:color="auto"/>
            </w:tcBorders>
            <w:shd w:val="clear" w:color="000000" w:fill="FFFFFF"/>
            <w:noWrap/>
            <w:vAlign w:val="center"/>
            <w:hideMark/>
          </w:tcPr>
          <w:p w14:paraId="7FC05BE7"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BD Trading Partnerships</w:t>
            </w:r>
          </w:p>
        </w:tc>
      </w:tr>
      <w:tr w:rsidR="004B74E2" w14:paraId="7280C0B7"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31F4EF9" w14:textId="77777777" w:rsidR="004B74E2" w:rsidRDefault="004B74E2">
            <w:pPr>
              <w:ind w:firstLineChars="100" w:firstLine="220"/>
              <w:rPr>
                <w:rFonts w:ascii="Arial" w:hAnsi="Arial" w:cs="Arial"/>
                <w:color w:val="000000"/>
                <w:sz w:val="22"/>
                <w:szCs w:val="22"/>
              </w:rPr>
            </w:pPr>
            <w:proofErr w:type="spellStart"/>
            <w:r>
              <w:rPr>
                <w:rFonts w:ascii="Arial" w:hAnsi="Arial" w:cs="Arial"/>
                <w:color w:val="000000"/>
                <w:sz w:val="22"/>
                <w:szCs w:val="22"/>
              </w:rPr>
              <w:t>Greatfields</w:t>
            </w:r>
            <w:proofErr w:type="spellEnd"/>
            <w:r>
              <w:rPr>
                <w:rFonts w:ascii="Arial" w:hAnsi="Arial" w:cs="Arial"/>
                <w:color w:val="000000"/>
                <w:sz w:val="22"/>
                <w:szCs w:val="22"/>
              </w:rPr>
              <w:t xml:space="preserve"> Free School</w:t>
            </w:r>
          </w:p>
        </w:tc>
        <w:tc>
          <w:tcPr>
            <w:tcW w:w="4536" w:type="dxa"/>
            <w:tcBorders>
              <w:top w:val="nil"/>
              <w:left w:val="nil"/>
              <w:bottom w:val="nil"/>
              <w:right w:val="single" w:sz="8" w:space="0" w:color="auto"/>
            </w:tcBorders>
            <w:shd w:val="clear" w:color="000000" w:fill="FFFFFF"/>
            <w:noWrap/>
            <w:vAlign w:val="center"/>
            <w:hideMark/>
          </w:tcPr>
          <w:p w14:paraId="23258C36"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BD Management Services Ltd</w:t>
            </w:r>
          </w:p>
        </w:tc>
      </w:tr>
      <w:tr w:rsidR="004B74E2" w14:paraId="55F6646A"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06E292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James Campbell Primary</w:t>
            </w:r>
          </w:p>
        </w:tc>
        <w:tc>
          <w:tcPr>
            <w:tcW w:w="4536" w:type="dxa"/>
            <w:tcBorders>
              <w:top w:val="nil"/>
              <w:left w:val="nil"/>
              <w:bottom w:val="nil"/>
              <w:right w:val="single" w:sz="8" w:space="0" w:color="auto"/>
            </w:tcBorders>
            <w:shd w:val="clear" w:color="000000" w:fill="FFFFFF"/>
            <w:noWrap/>
            <w:vAlign w:val="center"/>
            <w:hideMark/>
          </w:tcPr>
          <w:p w14:paraId="2D2DED53"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Schools Offices Services Ltd</w:t>
            </w:r>
          </w:p>
        </w:tc>
      </w:tr>
      <w:tr w:rsidR="004B74E2" w14:paraId="3F578E6A"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6877197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Partnerships Learning</w:t>
            </w:r>
          </w:p>
        </w:tc>
        <w:tc>
          <w:tcPr>
            <w:tcW w:w="4536" w:type="dxa"/>
            <w:tcBorders>
              <w:top w:val="nil"/>
              <w:left w:val="nil"/>
              <w:bottom w:val="nil"/>
              <w:right w:val="single" w:sz="8" w:space="0" w:color="auto"/>
            </w:tcBorders>
            <w:shd w:val="clear" w:color="000000" w:fill="FFFFFF"/>
            <w:noWrap/>
            <w:vAlign w:val="center"/>
            <w:hideMark/>
          </w:tcPr>
          <w:p w14:paraId="3C19A83A"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Sports Leisure Management</w:t>
            </w:r>
          </w:p>
        </w:tc>
      </w:tr>
      <w:tr w:rsidR="004B74E2" w14:paraId="39D155FC"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1CFF4E14"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Pathways</w:t>
            </w:r>
          </w:p>
        </w:tc>
        <w:tc>
          <w:tcPr>
            <w:tcW w:w="4536" w:type="dxa"/>
            <w:tcBorders>
              <w:top w:val="nil"/>
              <w:left w:val="nil"/>
              <w:bottom w:val="nil"/>
              <w:right w:val="single" w:sz="8" w:space="0" w:color="auto"/>
            </w:tcBorders>
            <w:shd w:val="clear" w:color="000000" w:fill="FFFFFF"/>
            <w:noWrap/>
            <w:vAlign w:val="center"/>
            <w:hideMark/>
          </w:tcPr>
          <w:p w14:paraId="09631961"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The Broadway Theatre</w:t>
            </w:r>
          </w:p>
        </w:tc>
      </w:tr>
      <w:tr w:rsidR="004B74E2" w14:paraId="28EDA7BC"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2EDC83C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Riverside Bridge</w:t>
            </w:r>
          </w:p>
        </w:tc>
        <w:tc>
          <w:tcPr>
            <w:tcW w:w="4536" w:type="dxa"/>
            <w:tcBorders>
              <w:top w:val="nil"/>
              <w:left w:val="nil"/>
              <w:bottom w:val="nil"/>
              <w:right w:val="single" w:sz="8" w:space="0" w:color="auto"/>
            </w:tcBorders>
            <w:shd w:val="clear" w:color="000000" w:fill="FFFFFF"/>
            <w:noWrap/>
            <w:vAlign w:val="center"/>
            <w:hideMark/>
          </w:tcPr>
          <w:p w14:paraId="5CB86453"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Reside</w:t>
            </w:r>
          </w:p>
        </w:tc>
      </w:tr>
      <w:tr w:rsidR="004B74E2" w14:paraId="135A7BEC"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0489A22"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Riverside Free School</w:t>
            </w:r>
          </w:p>
        </w:tc>
        <w:tc>
          <w:tcPr>
            <w:tcW w:w="4536" w:type="dxa"/>
            <w:tcBorders>
              <w:top w:val="nil"/>
              <w:left w:val="nil"/>
              <w:bottom w:val="nil"/>
              <w:right w:val="single" w:sz="8" w:space="0" w:color="auto"/>
            </w:tcBorders>
            <w:shd w:val="clear" w:color="000000" w:fill="FFFFFF"/>
            <w:noWrap/>
            <w:vAlign w:val="center"/>
            <w:hideMark/>
          </w:tcPr>
          <w:p w14:paraId="3C4DE517"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r>
      <w:tr w:rsidR="004B74E2" w14:paraId="38E56A21"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1150DB0A"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Riverside School</w:t>
            </w:r>
          </w:p>
        </w:tc>
        <w:tc>
          <w:tcPr>
            <w:tcW w:w="4536" w:type="dxa"/>
            <w:tcBorders>
              <w:top w:val="nil"/>
              <w:left w:val="nil"/>
              <w:bottom w:val="nil"/>
              <w:right w:val="nil"/>
            </w:tcBorders>
            <w:shd w:val="clear" w:color="auto" w:fill="auto"/>
            <w:noWrap/>
            <w:vAlign w:val="bottom"/>
            <w:hideMark/>
          </w:tcPr>
          <w:p w14:paraId="65EFBAFD" w14:textId="77777777" w:rsidR="004B74E2" w:rsidRDefault="004B74E2">
            <w:pPr>
              <w:ind w:firstLineChars="100" w:firstLine="220"/>
              <w:rPr>
                <w:rFonts w:ascii="Arial" w:hAnsi="Arial" w:cs="Arial"/>
                <w:color w:val="000000"/>
                <w:sz w:val="22"/>
                <w:szCs w:val="22"/>
              </w:rPr>
            </w:pPr>
          </w:p>
        </w:tc>
      </w:tr>
      <w:tr w:rsidR="004B74E2" w14:paraId="4BFB1F81"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425553F"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St Margarets</w:t>
            </w:r>
          </w:p>
        </w:tc>
        <w:tc>
          <w:tcPr>
            <w:tcW w:w="4536" w:type="dxa"/>
            <w:tcBorders>
              <w:top w:val="nil"/>
              <w:left w:val="nil"/>
              <w:bottom w:val="nil"/>
              <w:right w:val="single" w:sz="8" w:space="0" w:color="auto"/>
            </w:tcBorders>
            <w:shd w:val="clear" w:color="000000" w:fill="FFFFFF"/>
            <w:noWrap/>
            <w:vAlign w:val="center"/>
            <w:hideMark/>
          </w:tcPr>
          <w:p w14:paraId="374422E3" w14:textId="77777777" w:rsidR="004B74E2" w:rsidRDefault="004B74E2">
            <w:pPr>
              <w:ind w:firstLineChars="100" w:firstLine="221"/>
              <w:rPr>
                <w:rFonts w:ascii="Arial" w:hAnsi="Arial" w:cs="Arial"/>
                <w:b/>
                <w:bCs/>
                <w:color w:val="000000"/>
                <w:sz w:val="22"/>
                <w:szCs w:val="22"/>
              </w:rPr>
            </w:pPr>
            <w:r>
              <w:rPr>
                <w:rFonts w:ascii="Arial" w:hAnsi="Arial" w:cs="Arial"/>
                <w:b/>
                <w:bCs/>
                <w:color w:val="000000"/>
                <w:sz w:val="22"/>
                <w:szCs w:val="22"/>
              </w:rPr>
              <w:t>Not Active</w:t>
            </w:r>
          </w:p>
        </w:tc>
      </w:tr>
      <w:tr w:rsidR="004B74E2" w14:paraId="62B09228"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7BF464D0"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St Joseph’s Dagenham</w:t>
            </w:r>
          </w:p>
        </w:tc>
        <w:tc>
          <w:tcPr>
            <w:tcW w:w="4536" w:type="dxa"/>
            <w:tcBorders>
              <w:top w:val="nil"/>
              <w:left w:val="nil"/>
              <w:bottom w:val="nil"/>
              <w:right w:val="single" w:sz="8" w:space="0" w:color="auto"/>
            </w:tcBorders>
            <w:shd w:val="clear" w:color="000000" w:fill="FFFFFF"/>
            <w:noWrap/>
            <w:vAlign w:val="center"/>
            <w:hideMark/>
          </w:tcPr>
          <w:p w14:paraId="69CC6E4E"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Abbeyfield Barking Society </w:t>
            </w:r>
          </w:p>
        </w:tc>
      </w:tr>
      <w:tr w:rsidR="004B74E2" w14:paraId="00651526"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2AE3F0F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St Joseph’s Barking </w:t>
            </w:r>
          </w:p>
        </w:tc>
        <w:tc>
          <w:tcPr>
            <w:tcW w:w="4536" w:type="dxa"/>
            <w:tcBorders>
              <w:top w:val="nil"/>
              <w:left w:val="nil"/>
              <w:bottom w:val="nil"/>
              <w:right w:val="single" w:sz="8" w:space="0" w:color="auto"/>
            </w:tcBorders>
            <w:shd w:val="clear" w:color="000000" w:fill="FFFFFF"/>
            <w:noWrap/>
            <w:vAlign w:val="center"/>
            <w:hideMark/>
          </w:tcPr>
          <w:p w14:paraId="05A0AEF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Age UK </w:t>
            </w:r>
          </w:p>
        </w:tc>
      </w:tr>
      <w:tr w:rsidR="004B74E2" w14:paraId="0E095019"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0E8F6FF"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St Theresa’s Dagenham</w:t>
            </w:r>
          </w:p>
        </w:tc>
        <w:tc>
          <w:tcPr>
            <w:tcW w:w="4536" w:type="dxa"/>
            <w:tcBorders>
              <w:top w:val="nil"/>
              <w:left w:val="nil"/>
              <w:bottom w:val="nil"/>
              <w:right w:val="single" w:sz="8" w:space="0" w:color="auto"/>
            </w:tcBorders>
            <w:shd w:val="clear" w:color="000000" w:fill="FFFFFF"/>
            <w:noWrap/>
            <w:vAlign w:val="center"/>
            <w:hideMark/>
          </w:tcPr>
          <w:p w14:paraId="44586436"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B&amp;D Citizen's Advice Bureau</w:t>
            </w:r>
          </w:p>
        </w:tc>
      </w:tr>
      <w:tr w:rsidR="004B74E2" w14:paraId="6A627BAD"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165298D0"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St Vincents </w:t>
            </w:r>
          </w:p>
        </w:tc>
        <w:tc>
          <w:tcPr>
            <w:tcW w:w="4536" w:type="dxa"/>
            <w:tcBorders>
              <w:top w:val="nil"/>
              <w:left w:val="nil"/>
              <w:bottom w:val="nil"/>
              <w:right w:val="single" w:sz="8" w:space="0" w:color="auto"/>
            </w:tcBorders>
            <w:shd w:val="clear" w:color="000000" w:fill="FFFFFF"/>
            <w:noWrap/>
            <w:vAlign w:val="center"/>
            <w:hideMark/>
          </w:tcPr>
          <w:p w14:paraId="79BD3335" w14:textId="77777777" w:rsidR="004B74E2" w:rsidRDefault="004B74E2">
            <w:pPr>
              <w:ind w:firstLineChars="100" w:firstLine="220"/>
              <w:rPr>
                <w:rFonts w:ascii="Arial" w:hAnsi="Arial" w:cs="Arial"/>
                <w:color w:val="000000"/>
                <w:sz w:val="22"/>
                <w:szCs w:val="22"/>
              </w:rPr>
            </w:pPr>
            <w:proofErr w:type="spellStart"/>
            <w:r>
              <w:rPr>
                <w:rFonts w:ascii="Arial" w:hAnsi="Arial" w:cs="Arial"/>
                <w:color w:val="000000"/>
                <w:sz w:val="22"/>
                <w:szCs w:val="22"/>
              </w:rPr>
              <w:t>Cleantec</w:t>
            </w:r>
            <w:proofErr w:type="spellEnd"/>
          </w:p>
        </w:tc>
      </w:tr>
      <w:tr w:rsidR="004B74E2" w14:paraId="07024A64"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F2F8CC3"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Sydney Russell Academy</w:t>
            </w:r>
          </w:p>
        </w:tc>
        <w:tc>
          <w:tcPr>
            <w:tcW w:w="4536" w:type="dxa"/>
            <w:tcBorders>
              <w:top w:val="nil"/>
              <w:left w:val="nil"/>
              <w:bottom w:val="nil"/>
              <w:right w:val="single" w:sz="8" w:space="0" w:color="auto"/>
            </w:tcBorders>
            <w:shd w:val="clear" w:color="000000" w:fill="FFFFFF"/>
            <w:noWrap/>
            <w:vAlign w:val="center"/>
            <w:hideMark/>
          </w:tcPr>
          <w:p w14:paraId="3E380AC7"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Council for Voluntary Service </w:t>
            </w:r>
          </w:p>
        </w:tc>
      </w:tr>
      <w:tr w:rsidR="004B74E2" w14:paraId="1F61A834"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7DEC867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Thames View Infants Academy</w:t>
            </w:r>
          </w:p>
        </w:tc>
        <w:tc>
          <w:tcPr>
            <w:tcW w:w="4536" w:type="dxa"/>
            <w:tcBorders>
              <w:top w:val="nil"/>
              <w:left w:val="nil"/>
              <w:bottom w:val="nil"/>
              <w:right w:val="single" w:sz="8" w:space="0" w:color="auto"/>
            </w:tcBorders>
            <w:shd w:val="clear" w:color="000000" w:fill="FFFFFF"/>
            <w:noWrap/>
            <w:vAlign w:val="center"/>
            <w:hideMark/>
          </w:tcPr>
          <w:p w14:paraId="75F0510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Disablement Assoc. of B&amp;D </w:t>
            </w:r>
          </w:p>
        </w:tc>
      </w:tr>
      <w:tr w:rsidR="004B74E2" w14:paraId="51B77BF0"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007E95F5"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Thames View Junior Academy </w:t>
            </w:r>
          </w:p>
        </w:tc>
        <w:tc>
          <w:tcPr>
            <w:tcW w:w="4536" w:type="dxa"/>
            <w:tcBorders>
              <w:top w:val="nil"/>
              <w:left w:val="nil"/>
              <w:bottom w:val="nil"/>
              <w:right w:val="single" w:sz="8" w:space="0" w:color="auto"/>
            </w:tcBorders>
            <w:shd w:val="clear" w:color="000000" w:fill="FFFFFF"/>
            <w:noWrap/>
            <w:vAlign w:val="center"/>
            <w:hideMark/>
          </w:tcPr>
          <w:p w14:paraId="134B7AE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East London E-Learning </w:t>
            </w:r>
          </w:p>
        </w:tc>
      </w:tr>
      <w:tr w:rsidR="004B74E2" w14:paraId="615CCCD9"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071A811E"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University of East London</w:t>
            </w:r>
          </w:p>
        </w:tc>
        <w:tc>
          <w:tcPr>
            <w:tcW w:w="4536" w:type="dxa"/>
            <w:tcBorders>
              <w:top w:val="nil"/>
              <w:left w:val="nil"/>
              <w:bottom w:val="nil"/>
              <w:right w:val="single" w:sz="8" w:space="0" w:color="auto"/>
            </w:tcBorders>
            <w:shd w:val="clear" w:color="000000" w:fill="FFFFFF"/>
            <w:noWrap/>
            <w:vAlign w:val="center"/>
            <w:hideMark/>
          </w:tcPr>
          <w:p w14:paraId="1ED80C4E"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London Riverside </w:t>
            </w:r>
          </w:p>
        </w:tc>
      </w:tr>
      <w:tr w:rsidR="004B74E2" w14:paraId="4925FDF2"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02B89BB"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Warren Academy</w:t>
            </w:r>
          </w:p>
        </w:tc>
        <w:tc>
          <w:tcPr>
            <w:tcW w:w="4536" w:type="dxa"/>
            <w:tcBorders>
              <w:top w:val="nil"/>
              <w:left w:val="nil"/>
              <w:bottom w:val="nil"/>
              <w:right w:val="single" w:sz="8" w:space="0" w:color="auto"/>
            </w:tcBorders>
            <w:shd w:val="clear" w:color="000000" w:fill="FFFFFF"/>
            <w:noWrap/>
            <w:vAlign w:val="center"/>
            <w:hideMark/>
          </w:tcPr>
          <w:p w14:paraId="614FB02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Lewis and Graves</w:t>
            </w:r>
          </w:p>
        </w:tc>
      </w:tr>
      <w:tr w:rsidR="004B74E2" w14:paraId="18E55E70"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18BF9B7" w14:textId="77777777" w:rsidR="004B74E2" w:rsidRDefault="004B74E2">
            <w:pPr>
              <w:ind w:firstLineChars="100" w:firstLine="221"/>
              <w:rPr>
                <w:rFonts w:ascii="Arial" w:hAnsi="Arial" w:cs="Arial"/>
                <w:b/>
                <w:bCs/>
                <w:color w:val="000000"/>
                <w:sz w:val="22"/>
                <w:szCs w:val="22"/>
              </w:rPr>
            </w:pPr>
            <w:r>
              <w:rPr>
                <w:rFonts w:ascii="Arial" w:hAnsi="Arial" w:cs="Arial"/>
                <w:b/>
                <w:bCs/>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01F7C24B"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Laing O'Rourke </w:t>
            </w:r>
          </w:p>
        </w:tc>
      </w:tr>
      <w:tr w:rsidR="004B74E2" w14:paraId="1712F042"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3264A218" w14:textId="77777777" w:rsidR="004B74E2" w:rsidRDefault="004B74E2">
            <w:pPr>
              <w:ind w:firstLineChars="100" w:firstLine="221"/>
              <w:rPr>
                <w:rFonts w:ascii="Arial" w:hAnsi="Arial" w:cs="Arial"/>
                <w:b/>
                <w:bCs/>
                <w:color w:val="000000"/>
                <w:sz w:val="22"/>
                <w:szCs w:val="22"/>
              </w:rPr>
            </w:pPr>
            <w:r>
              <w:rPr>
                <w:rFonts w:ascii="Arial" w:hAnsi="Arial" w:cs="Arial"/>
                <w:b/>
                <w:bCs/>
                <w:color w:val="000000"/>
                <w:sz w:val="22"/>
                <w:szCs w:val="22"/>
              </w:rPr>
              <w:t>Not Active</w:t>
            </w:r>
          </w:p>
        </w:tc>
        <w:tc>
          <w:tcPr>
            <w:tcW w:w="4536" w:type="dxa"/>
            <w:tcBorders>
              <w:top w:val="nil"/>
              <w:left w:val="nil"/>
              <w:bottom w:val="nil"/>
              <w:right w:val="single" w:sz="8" w:space="0" w:color="auto"/>
            </w:tcBorders>
            <w:shd w:val="clear" w:color="000000" w:fill="FFFFFF"/>
            <w:noWrap/>
            <w:vAlign w:val="center"/>
            <w:hideMark/>
          </w:tcPr>
          <w:p w14:paraId="59AB2E10"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Town and Country Cleaners</w:t>
            </w:r>
          </w:p>
        </w:tc>
      </w:tr>
      <w:tr w:rsidR="004B74E2" w14:paraId="78A4F142"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4C97E2A7"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Magistrates Court</w:t>
            </w:r>
          </w:p>
        </w:tc>
        <w:tc>
          <w:tcPr>
            <w:tcW w:w="4536" w:type="dxa"/>
            <w:tcBorders>
              <w:top w:val="nil"/>
              <w:left w:val="nil"/>
              <w:bottom w:val="nil"/>
              <w:right w:val="single" w:sz="8" w:space="0" w:color="auto"/>
            </w:tcBorders>
            <w:shd w:val="clear" w:color="000000" w:fill="FFFFFF"/>
            <w:noWrap/>
            <w:vAlign w:val="center"/>
            <w:hideMark/>
          </w:tcPr>
          <w:p w14:paraId="79DEEFDD"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Aspens 2 </w:t>
            </w:r>
          </w:p>
        </w:tc>
      </w:tr>
      <w:tr w:rsidR="004B74E2" w14:paraId="6A348A60" w14:textId="77777777" w:rsidTr="008C1838">
        <w:trPr>
          <w:trHeight w:val="300"/>
        </w:trPr>
        <w:tc>
          <w:tcPr>
            <w:tcW w:w="4385" w:type="dxa"/>
            <w:tcBorders>
              <w:top w:val="nil"/>
              <w:left w:val="single" w:sz="8" w:space="0" w:color="auto"/>
              <w:bottom w:val="nil"/>
              <w:right w:val="single" w:sz="8" w:space="0" w:color="auto"/>
            </w:tcBorders>
            <w:shd w:val="clear" w:color="auto" w:fill="auto"/>
            <w:noWrap/>
            <w:vAlign w:val="bottom"/>
            <w:hideMark/>
          </w:tcPr>
          <w:p w14:paraId="6AC87A78" w14:textId="77777777" w:rsidR="004B74E2" w:rsidRDefault="004B74E2">
            <w:pPr>
              <w:rPr>
                <w:rFonts w:ascii="Aptos Narrow" w:hAnsi="Aptos Narrow"/>
                <w:color w:val="000000"/>
                <w:sz w:val="22"/>
                <w:szCs w:val="22"/>
              </w:rPr>
            </w:pPr>
            <w:r>
              <w:rPr>
                <w:rFonts w:ascii="Aptos Narrow" w:hAnsi="Aptos Narrow"/>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280F336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Aspens 3</w:t>
            </w:r>
          </w:p>
        </w:tc>
      </w:tr>
      <w:tr w:rsidR="004B74E2" w14:paraId="22C414A3"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7CAD8466"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27BD431A"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Caterlink</w:t>
            </w:r>
          </w:p>
        </w:tc>
      </w:tr>
      <w:tr w:rsidR="004B74E2" w14:paraId="3706CE91"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5758830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79A7D79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Caterlink 2</w:t>
            </w:r>
          </w:p>
        </w:tc>
      </w:tr>
      <w:tr w:rsidR="004B74E2" w14:paraId="6BC5D5C1"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1B2F5D54"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031C3264"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Caterlink 3</w:t>
            </w:r>
          </w:p>
        </w:tc>
      </w:tr>
      <w:tr w:rsidR="004B74E2" w14:paraId="0159D9D9"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1FA64C7F"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49D16699"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Caterlink 4</w:t>
            </w:r>
          </w:p>
        </w:tc>
      </w:tr>
      <w:tr w:rsidR="004B74E2" w14:paraId="46454E36"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6F06FA46"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79BC4238"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CGL</w:t>
            </w:r>
          </w:p>
        </w:tc>
      </w:tr>
      <w:tr w:rsidR="004B74E2" w14:paraId="04139207"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6BD64ECC"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1799D881"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Elevate</w:t>
            </w:r>
          </w:p>
        </w:tc>
      </w:tr>
      <w:tr w:rsidR="004B74E2" w14:paraId="0CE1A53B"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7DD5BCC1"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0BB72A62"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Enterprise</w:t>
            </w:r>
          </w:p>
        </w:tc>
      </w:tr>
      <w:tr w:rsidR="004B74E2" w14:paraId="65A1B565" w14:textId="77777777" w:rsidTr="008C1838">
        <w:trPr>
          <w:trHeight w:val="300"/>
        </w:trPr>
        <w:tc>
          <w:tcPr>
            <w:tcW w:w="4385" w:type="dxa"/>
            <w:tcBorders>
              <w:top w:val="nil"/>
              <w:left w:val="single" w:sz="8" w:space="0" w:color="auto"/>
              <w:bottom w:val="nil"/>
              <w:right w:val="single" w:sz="8" w:space="0" w:color="auto"/>
            </w:tcBorders>
            <w:shd w:val="clear" w:color="auto" w:fill="auto"/>
            <w:noWrap/>
            <w:vAlign w:val="bottom"/>
            <w:hideMark/>
          </w:tcPr>
          <w:p w14:paraId="478C81AE" w14:textId="77777777" w:rsidR="004B74E2" w:rsidRDefault="004B74E2">
            <w:pPr>
              <w:rPr>
                <w:rFonts w:ascii="Aptos Narrow" w:hAnsi="Aptos Narrow"/>
                <w:color w:val="000000"/>
                <w:sz w:val="22"/>
                <w:szCs w:val="22"/>
              </w:rPr>
            </w:pPr>
            <w:r>
              <w:rPr>
                <w:rFonts w:ascii="Aptos Narrow" w:hAnsi="Aptos Narrow"/>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7457C15B"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May Gurney</w:t>
            </w:r>
          </w:p>
        </w:tc>
      </w:tr>
      <w:tr w:rsidR="004B74E2" w14:paraId="4A16BB4A" w14:textId="77777777" w:rsidTr="008C1838">
        <w:trPr>
          <w:trHeight w:val="300"/>
        </w:trPr>
        <w:tc>
          <w:tcPr>
            <w:tcW w:w="4385" w:type="dxa"/>
            <w:tcBorders>
              <w:top w:val="nil"/>
              <w:left w:val="single" w:sz="8" w:space="0" w:color="auto"/>
              <w:bottom w:val="nil"/>
              <w:right w:val="single" w:sz="8" w:space="0" w:color="auto"/>
            </w:tcBorders>
            <w:shd w:val="clear" w:color="000000" w:fill="FFFFFF"/>
            <w:noWrap/>
            <w:vAlign w:val="center"/>
            <w:hideMark/>
          </w:tcPr>
          <w:p w14:paraId="07B8CEEB" w14:textId="77777777" w:rsidR="004B74E2" w:rsidRDefault="004B74E2">
            <w:pPr>
              <w:rPr>
                <w:rFonts w:ascii="Calibri" w:hAnsi="Calibri" w:cs="Calibri"/>
                <w:color w:val="000000"/>
                <w:sz w:val="22"/>
                <w:szCs w:val="22"/>
              </w:rPr>
            </w:pPr>
            <w:r>
              <w:rPr>
                <w:rFonts w:ascii="Calibri" w:hAnsi="Calibri" w:cs="Calibri"/>
                <w:color w:val="000000"/>
                <w:sz w:val="22"/>
                <w:szCs w:val="22"/>
              </w:rPr>
              <w:t> </w:t>
            </w:r>
          </w:p>
        </w:tc>
        <w:tc>
          <w:tcPr>
            <w:tcW w:w="4536" w:type="dxa"/>
            <w:tcBorders>
              <w:top w:val="nil"/>
              <w:left w:val="nil"/>
              <w:bottom w:val="nil"/>
              <w:right w:val="single" w:sz="8" w:space="0" w:color="auto"/>
            </w:tcBorders>
            <w:shd w:val="clear" w:color="000000" w:fill="FFFFFF"/>
            <w:noWrap/>
            <w:vAlign w:val="center"/>
            <w:hideMark/>
          </w:tcPr>
          <w:p w14:paraId="57E6BE13"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Pantry Cleaning </w:t>
            </w:r>
          </w:p>
        </w:tc>
      </w:tr>
      <w:tr w:rsidR="004B74E2" w14:paraId="25AFEE35" w14:textId="77777777" w:rsidTr="008C1838">
        <w:trPr>
          <w:trHeight w:val="315"/>
        </w:trPr>
        <w:tc>
          <w:tcPr>
            <w:tcW w:w="4385" w:type="dxa"/>
            <w:tcBorders>
              <w:top w:val="nil"/>
              <w:left w:val="single" w:sz="8" w:space="0" w:color="auto"/>
              <w:bottom w:val="single" w:sz="8" w:space="0" w:color="auto"/>
              <w:right w:val="single" w:sz="8" w:space="0" w:color="auto"/>
            </w:tcBorders>
            <w:shd w:val="clear" w:color="auto" w:fill="auto"/>
            <w:noWrap/>
            <w:vAlign w:val="bottom"/>
            <w:hideMark/>
          </w:tcPr>
          <w:p w14:paraId="651BDE4C" w14:textId="77777777" w:rsidR="004B74E2" w:rsidRDefault="004B74E2">
            <w:pPr>
              <w:rPr>
                <w:rFonts w:ascii="Aptos Narrow" w:hAnsi="Aptos Narrow"/>
                <w:color w:val="000000"/>
                <w:sz w:val="22"/>
                <w:szCs w:val="22"/>
              </w:rPr>
            </w:pPr>
            <w:r>
              <w:rPr>
                <w:rFonts w:ascii="Aptos Narrow" w:hAnsi="Aptos Narrow"/>
                <w:color w:val="000000"/>
                <w:sz w:val="22"/>
                <w:szCs w:val="22"/>
              </w:rPr>
              <w:t> </w:t>
            </w:r>
          </w:p>
        </w:tc>
        <w:tc>
          <w:tcPr>
            <w:tcW w:w="4536" w:type="dxa"/>
            <w:tcBorders>
              <w:top w:val="nil"/>
              <w:left w:val="nil"/>
              <w:bottom w:val="single" w:sz="8" w:space="0" w:color="auto"/>
              <w:right w:val="single" w:sz="8" w:space="0" w:color="auto"/>
            </w:tcBorders>
            <w:shd w:val="clear" w:color="000000" w:fill="FFFFFF"/>
            <w:noWrap/>
            <w:vAlign w:val="center"/>
            <w:hideMark/>
          </w:tcPr>
          <w:p w14:paraId="792BF055" w14:textId="77777777" w:rsidR="004B74E2" w:rsidRDefault="004B74E2">
            <w:pPr>
              <w:ind w:firstLineChars="100" w:firstLine="220"/>
              <w:rPr>
                <w:rFonts w:ascii="Arial" w:hAnsi="Arial" w:cs="Arial"/>
                <w:color w:val="000000"/>
                <w:sz w:val="22"/>
                <w:szCs w:val="22"/>
              </w:rPr>
            </w:pPr>
            <w:r>
              <w:rPr>
                <w:rFonts w:ascii="Arial" w:hAnsi="Arial" w:cs="Arial"/>
                <w:color w:val="000000"/>
                <w:sz w:val="22"/>
                <w:szCs w:val="22"/>
              </w:rPr>
              <w:t xml:space="preserve">RM Education </w:t>
            </w:r>
          </w:p>
        </w:tc>
      </w:tr>
    </w:tbl>
    <w:p w14:paraId="4C014742" w14:textId="77777777" w:rsidR="000F6C97" w:rsidRDefault="000F6C97" w:rsidP="0063372B">
      <w:pPr>
        <w:jc w:val="both"/>
        <w:rPr>
          <w:rFonts w:ascii="Arial" w:hAnsi="Arial" w:cs="Arial"/>
          <w:sz w:val="22"/>
          <w:szCs w:val="22"/>
        </w:rPr>
      </w:pPr>
    </w:p>
    <w:p w14:paraId="7348A423" w14:textId="77777777" w:rsidR="00112C23" w:rsidRPr="008A0A4E" w:rsidRDefault="00112C23" w:rsidP="00112C23">
      <w:pPr>
        <w:ind w:left="720"/>
        <w:jc w:val="both"/>
        <w:rPr>
          <w:rFonts w:ascii="Arial" w:hAnsi="Arial" w:cs="Arial"/>
          <w:sz w:val="22"/>
          <w:szCs w:val="22"/>
        </w:rPr>
      </w:pPr>
    </w:p>
    <w:tbl>
      <w:tblPr>
        <w:tblW w:w="8931" w:type="dxa"/>
        <w:jc w:val="center"/>
        <w:tblLayout w:type="fixed"/>
        <w:tblLook w:val="04A0" w:firstRow="1" w:lastRow="0" w:firstColumn="1" w:lastColumn="0" w:noHBand="0" w:noVBand="1"/>
      </w:tblPr>
      <w:tblGrid>
        <w:gridCol w:w="311"/>
        <w:gridCol w:w="4792"/>
        <w:gridCol w:w="1843"/>
        <w:gridCol w:w="236"/>
        <w:gridCol w:w="1749"/>
      </w:tblGrid>
      <w:tr w:rsidR="00AF23C8" w:rsidRPr="00B64150" w14:paraId="5BBB7013" w14:textId="77777777" w:rsidTr="00F940E9">
        <w:trPr>
          <w:trHeight w:val="198"/>
          <w:jc w:val="center"/>
        </w:trPr>
        <w:tc>
          <w:tcPr>
            <w:tcW w:w="5103" w:type="dxa"/>
            <w:gridSpan w:val="2"/>
            <w:tcBorders>
              <w:top w:val="nil"/>
              <w:left w:val="nil"/>
              <w:right w:val="nil"/>
            </w:tcBorders>
            <w:shd w:val="clear" w:color="auto" w:fill="auto"/>
            <w:noWrap/>
            <w:vAlign w:val="bottom"/>
            <w:hideMark/>
          </w:tcPr>
          <w:p w14:paraId="36AF9E4F" w14:textId="77777777" w:rsidR="00AF23C8" w:rsidRPr="008A0A4E" w:rsidRDefault="00AF23C8" w:rsidP="00AF23C8">
            <w:pPr>
              <w:ind w:left="191"/>
              <w:rPr>
                <w:rFonts w:ascii="Arial" w:hAnsi="Arial" w:cs="Arial"/>
                <w:b/>
                <w:bCs/>
                <w:color w:val="000000"/>
                <w:sz w:val="22"/>
                <w:szCs w:val="22"/>
              </w:rPr>
            </w:pPr>
          </w:p>
        </w:tc>
        <w:tc>
          <w:tcPr>
            <w:tcW w:w="1843" w:type="dxa"/>
            <w:tcBorders>
              <w:top w:val="nil"/>
              <w:left w:val="nil"/>
              <w:right w:val="nil"/>
            </w:tcBorders>
            <w:shd w:val="clear" w:color="auto" w:fill="auto"/>
            <w:noWrap/>
          </w:tcPr>
          <w:p w14:paraId="0A59004A" w14:textId="6FCEB6B7" w:rsidR="00AF23C8" w:rsidRPr="002D1995" w:rsidRDefault="000B69C0" w:rsidP="00692913">
            <w:pPr>
              <w:ind w:left="191"/>
              <w:jc w:val="center"/>
              <w:rPr>
                <w:rFonts w:ascii="Arial" w:hAnsi="Arial" w:cs="Arial"/>
                <w:b/>
                <w:bCs/>
                <w:color w:val="000000"/>
                <w:sz w:val="22"/>
                <w:szCs w:val="22"/>
              </w:rPr>
            </w:pPr>
            <w:r w:rsidRPr="002D1995">
              <w:rPr>
                <w:rFonts w:ascii="Arial" w:hAnsi="Arial" w:cs="Arial"/>
                <w:b/>
                <w:bCs/>
                <w:color w:val="000000"/>
                <w:sz w:val="22"/>
                <w:szCs w:val="22"/>
              </w:rPr>
              <w:t>31 March 2024</w:t>
            </w:r>
          </w:p>
        </w:tc>
        <w:tc>
          <w:tcPr>
            <w:tcW w:w="236" w:type="dxa"/>
            <w:tcBorders>
              <w:top w:val="nil"/>
              <w:left w:val="nil"/>
              <w:right w:val="nil"/>
            </w:tcBorders>
            <w:shd w:val="clear" w:color="auto" w:fill="auto"/>
            <w:noWrap/>
            <w:hideMark/>
          </w:tcPr>
          <w:p w14:paraId="136CC438" w14:textId="77777777" w:rsidR="00AF23C8" w:rsidRPr="008A0A4E" w:rsidRDefault="00AF23C8" w:rsidP="00692913">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tcPr>
          <w:p w14:paraId="4EB047B3" w14:textId="191A18AC" w:rsidR="00AF23C8" w:rsidRPr="003F5E4D" w:rsidRDefault="000B69C0" w:rsidP="00692913">
            <w:pPr>
              <w:ind w:left="191"/>
              <w:jc w:val="center"/>
              <w:rPr>
                <w:rFonts w:ascii="Arial" w:hAnsi="Arial" w:cs="Arial"/>
                <w:b/>
                <w:color w:val="000000"/>
                <w:sz w:val="22"/>
                <w:szCs w:val="22"/>
              </w:rPr>
            </w:pPr>
            <w:r>
              <w:rPr>
                <w:rFonts w:ascii="Arial" w:hAnsi="Arial" w:cs="Arial"/>
                <w:b/>
                <w:bCs/>
                <w:color w:val="000000"/>
                <w:sz w:val="22"/>
                <w:szCs w:val="22"/>
              </w:rPr>
              <w:t>31 March 2025</w:t>
            </w:r>
          </w:p>
        </w:tc>
      </w:tr>
      <w:tr w:rsidR="008B49F5" w:rsidRPr="00B64150" w14:paraId="759B58EF" w14:textId="77777777" w:rsidTr="00F940E9">
        <w:trPr>
          <w:trHeight w:val="198"/>
          <w:jc w:val="center"/>
        </w:trPr>
        <w:tc>
          <w:tcPr>
            <w:tcW w:w="5103" w:type="dxa"/>
            <w:gridSpan w:val="2"/>
            <w:tcBorders>
              <w:top w:val="nil"/>
              <w:left w:val="nil"/>
              <w:right w:val="nil"/>
            </w:tcBorders>
            <w:shd w:val="clear" w:color="auto" w:fill="auto"/>
            <w:noWrap/>
            <w:vAlign w:val="bottom"/>
          </w:tcPr>
          <w:p w14:paraId="6BBA6F04" w14:textId="77777777" w:rsidR="008B49F5" w:rsidRPr="008A0A4E" w:rsidRDefault="008B49F5" w:rsidP="00AF23C8">
            <w:pPr>
              <w:ind w:left="191"/>
              <w:rPr>
                <w:rFonts w:ascii="Arial" w:hAnsi="Arial" w:cs="Arial"/>
                <w:b/>
                <w:bCs/>
                <w:color w:val="000000"/>
                <w:sz w:val="22"/>
                <w:szCs w:val="22"/>
              </w:rPr>
            </w:pPr>
          </w:p>
        </w:tc>
        <w:tc>
          <w:tcPr>
            <w:tcW w:w="1843" w:type="dxa"/>
            <w:tcBorders>
              <w:top w:val="nil"/>
              <w:left w:val="nil"/>
              <w:right w:val="nil"/>
            </w:tcBorders>
            <w:shd w:val="clear" w:color="auto" w:fill="auto"/>
            <w:noWrap/>
            <w:vAlign w:val="bottom"/>
          </w:tcPr>
          <w:p w14:paraId="6A41D0A1" w14:textId="77777777" w:rsidR="008B49F5" w:rsidRDefault="008B49F5" w:rsidP="00AF23C8">
            <w:pPr>
              <w:ind w:left="191"/>
              <w:jc w:val="center"/>
              <w:rPr>
                <w:rFonts w:ascii="Arial" w:hAnsi="Arial" w:cs="Arial"/>
                <w:b/>
                <w:bCs/>
                <w:color w:val="000000"/>
                <w:sz w:val="22"/>
                <w:szCs w:val="22"/>
              </w:rPr>
            </w:pPr>
          </w:p>
        </w:tc>
        <w:tc>
          <w:tcPr>
            <w:tcW w:w="236" w:type="dxa"/>
            <w:tcBorders>
              <w:top w:val="nil"/>
              <w:left w:val="nil"/>
              <w:right w:val="nil"/>
            </w:tcBorders>
            <w:shd w:val="clear" w:color="auto" w:fill="auto"/>
            <w:noWrap/>
            <w:vAlign w:val="bottom"/>
          </w:tcPr>
          <w:p w14:paraId="79EDAB25" w14:textId="77777777" w:rsidR="008B49F5" w:rsidRPr="008A0A4E" w:rsidRDefault="008B49F5" w:rsidP="00AF23C8">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vAlign w:val="bottom"/>
          </w:tcPr>
          <w:p w14:paraId="2DCB918B" w14:textId="77777777" w:rsidR="008B49F5" w:rsidRDefault="008B49F5" w:rsidP="00AF23C8">
            <w:pPr>
              <w:ind w:left="191"/>
              <w:jc w:val="center"/>
              <w:rPr>
                <w:rFonts w:ascii="Arial" w:hAnsi="Arial" w:cs="Arial"/>
                <w:b/>
                <w:bCs/>
                <w:color w:val="000000"/>
                <w:sz w:val="22"/>
                <w:szCs w:val="22"/>
              </w:rPr>
            </w:pPr>
          </w:p>
        </w:tc>
      </w:tr>
      <w:tr w:rsidR="00AF23C8" w:rsidRPr="00B64150" w14:paraId="6349C755" w14:textId="77777777" w:rsidTr="00F940E9">
        <w:trPr>
          <w:trHeight w:val="198"/>
          <w:jc w:val="center"/>
        </w:trPr>
        <w:tc>
          <w:tcPr>
            <w:tcW w:w="5103" w:type="dxa"/>
            <w:gridSpan w:val="2"/>
            <w:tcBorders>
              <w:top w:val="nil"/>
              <w:left w:val="nil"/>
              <w:right w:val="nil"/>
            </w:tcBorders>
            <w:shd w:val="clear" w:color="auto" w:fill="auto"/>
            <w:noWrap/>
            <w:vAlign w:val="bottom"/>
            <w:hideMark/>
          </w:tcPr>
          <w:p w14:paraId="40C75EC5" w14:textId="77777777" w:rsidR="00AF23C8" w:rsidRPr="008A0A4E" w:rsidRDefault="00AF23C8" w:rsidP="00AF23C8">
            <w:pPr>
              <w:ind w:left="191"/>
              <w:rPr>
                <w:rFonts w:ascii="Arial" w:hAnsi="Arial" w:cs="Arial"/>
                <w:b/>
                <w:bCs/>
                <w:color w:val="000000"/>
                <w:sz w:val="22"/>
                <w:szCs w:val="22"/>
              </w:rPr>
            </w:pPr>
            <w:r w:rsidRPr="008A0A4E">
              <w:rPr>
                <w:rFonts w:ascii="Arial" w:hAnsi="Arial" w:cs="Arial"/>
                <w:b/>
                <w:bCs/>
                <w:color w:val="000000"/>
                <w:sz w:val="22"/>
                <w:szCs w:val="22"/>
              </w:rPr>
              <w:t>Number of Employers with active members</w:t>
            </w:r>
          </w:p>
        </w:tc>
        <w:tc>
          <w:tcPr>
            <w:tcW w:w="1843" w:type="dxa"/>
            <w:tcBorders>
              <w:top w:val="nil"/>
              <w:left w:val="nil"/>
              <w:right w:val="nil"/>
            </w:tcBorders>
            <w:shd w:val="clear" w:color="auto" w:fill="auto"/>
            <w:noWrap/>
            <w:vAlign w:val="bottom"/>
          </w:tcPr>
          <w:p w14:paraId="3B8B8B8D" w14:textId="291C5833" w:rsidR="00AF23C8" w:rsidRPr="00A41EC8" w:rsidRDefault="000B69C0" w:rsidP="006860A6">
            <w:pPr>
              <w:ind w:left="191"/>
              <w:jc w:val="right"/>
              <w:rPr>
                <w:rFonts w:ascii="Arial" w:hAnsi="Arial" w:cs="Arial"/>
                <w:color w:val="000000"/>
                <w:sz w:val="22"/>
                <w:szCs w:val="22"/>
              </w:rPr>
            </w:pPr>
            <w:r w:rsidRPr="00A41EC8">
              <w:rPr>
                <w:rFonts w:ascii="Arial" w:hAnsi="Arial" w:cs="Arial"/>
                <w:color w:val="000000"/>
                <w:sz w:val="22"/>
                <w:szCs w:val="22"/>
              </w:rPr>
              <w:t>36</w:t>
            </w:r>
          </w:p>
        </w:tc>
        <w:tc>
          <w:tcPr>
            <w:tcW w:w="236" w:type="dxa"/>
            <w:tcBorders>
              <w:top w:val="nil"/>
              <w:left w:val="nil"/>
              <w:right w:val="nil"/>
            </w:tcBorders>
            <w:shd w:val="clear" w:color="auto" w:fill="auto"/>
            <w:noWrap/>
            <w:vAlign w:val="bottom"/>
            <w:hideMark/>
          </w:tcPr>
          <w:p w14:paraId="73756DD8" w14:textId="77777777" w:rsidR="00AF23C8" w:rsidRPr="008A0A4E" w:rsidRDefault="00AF23C8" w:rsidP="006860A6">
            <w:pPr>
              <w:ind w:left="191"/>
              <w:jc w:val="right"/>
              <w:rPr>
                <w:rFonts w:ascii="Arial" w:hAnsi="Arial" w:cs="Arial"/>
                <w:color w:val="000000"/>
                <w:sz w:val="22"/>
                <w:szCs w:val="22"/>
              </w:rPr>
            </w:pPr>
          </w:p>
        </w:tc>
        <w:tc>
          <w:tcPr>
            <w:tcW w:w="1749" w:type="dxa"/>
            <w:tcBorders>
              <w:top w:val="nil"/>
              <w:left w:val="nil"/>
              <w:right w:val="nil"/>
            </w:tcBorders>
            <w:shd w:val="clear" w:color="auto" w:fill="auto"/>
            <w:noWrap/>
            <w:vAlign w:val="bottom"/>
          </w:tcPr>
          <w:p w14:paraId="7B03FE90" w14:textId="568B5C10" w:rsidR="00AF23C8" w:rsidRPr="003F5E4D" w:rsidRDefault="00093B38" w:rsidP="006860A6">
            <w:pPr>
              <w:ind w:left="191"/>
              <w:jc w:val="right"/>
              <w:rPr>
                <w:rFonts w:ascii="Arial" w:hAnsi="Arial" w:cs="Arial"/>
                <w:b/>
                <w:bCs/>
                <w:color w:val="000000"/>
                <w:sz w:val="22"/>
                <w:szCs w:val="22"/>
              </w:rPr>
            </w:pPr>
            <w:r>
              <w:rPr>
                <w:rFonts w:ascii="Arial" w:hAnsi="Arial" w:cs="Arial"/>
                <w:b/>
                <w:bCs/>
                <w:color w:val="000000"/>
                <w:sz w:val="22"/>
                <w:szCs w:val="22"/>
              </w:rPr>
              <w:t>3</w:t>
            </w:r>
            <w:r w:rsidR="000B69C0">
              <w:rPr>
                <w:rFonts w:ascii="Arial" w:hAnsi="Arial" w:cs="Arial"/>
                <w:b/>
                <w:bCs/>
                <w:color w:val="000000"/>
                <w:sz w:val="22"/>
                <w:szCs w:val="22"/>
              </w:rPr>
              <w:t>9</w:t>
            </w:r>
          </w:p>
        </w:tc>
      </w:tr>
      <w:tr w:rsidR="003C45DA" w:rsidRPr="00B64150" w14:paraId="2F4A2087" w14:textId="77777777" w:rsidTr="00F940E9">
        <w:trPr>
          <w:trHeight w:val="190"/>
          <w:jc w:val="center"/>
        </w:trPr>
        <w:tc>
          <w:tcPr>
            <w:tcW w:w="5103" w:type="dxa"/>
            <w:gridSpan w:val="2"/>
            <w:tcBorders>
              <w:top w:val="nil"/>
              <w:left w:val="nil"/>
              <w:bottom w:val="nil"/>
              <w:right w:val="nil"/>
            </w:tcBorders>
            <w:shd w:val="clear" w:color="auto" w:fill="auto"/>
            <w:noWrap/>
            <w:vAlign w:val="bottom"/>
            <w:hideMark/>
          </w:tcPr>
          <w:p w14:paraId="2070ECCF" w14:textId="77777777" w:rsidR="003C45DA" w:rsidRPr="008A0A4E" w:rsidRDefault="003C45DA" w:rsidP="00DF3ECC">
            <w:pPr>
              <w:ind w:left="191"/>
              <w:rPr>
                <w:rFonts w:ascii="Arial" w:hAnsi="Arial" w:cs="Arial"/>
                <w:b/>
                <w:bCs/>
                <w:color w:val="000000"/>
                <w:sz w:val="22"/>
                <w:szCs w:val="22"/>
              </w:rPr>
            </w:pPr>
            <w:r w:rsidRPr="008A0A4E">
              <w:rPr>
                <w:rFonts w:ascii="Arial" w:hAnsi="Arial" w:cs="Arial"/>
                <w:b/>
                <w:bCs/>
                <w:color w:val="000000"/>
                <w:sz w:val="22"/>
                <w:szCs w:val="22"/>
              </w:rPr>
              <w:t xml:space="preserve">Number of Employees in scheme </w:t>
            </w:r>
          </w:p>
        </w:tc>
        <w:tc>
          <w:tcPr>
            <w:tcW w:w="1843" w:type="dxa"/>
            <w:tcBorders>
              <w:top w:val="nil"/>
              <w:left w:val="nil"/>
              <w:bottom w:val="nil"/>
              <w:right w:val="nil"/>
            </w:tcBorders>
            <w:vAlign w:val="center"/>
          </w:tcPr>
          <w:p w14:paraId="27398E61" w14:textId="77777777" w:rsidR="003C45DA" w:rsidRPr="008A0A4E" w:rsidRDefault="003C45DA" w:rsidP="00DF3ECC">
            <w:pPr>
              <w:ind w:left="191"/>
              <w:jc w:val="right"/>
              <w:rPr>
                <w:rFonts w:ascii="Arial" w:hAnsi="Arial" w:cs="Arial"/>
                <w:color w:val="000000"/>
                <w:sz w:val="22"/>
                <w:szCs w:val="22"/>
              </w:rPr>
            </w:pPr>
          </w:p>
        </w:tc>
        <w:tc>
          <w:tcPr>
            <w:tcW w:w="236" w:type="dxa"/>
            <w:tcBorders>
              <w:top w:val="nil"/>
              <w:left w:val="nil"/>
              <w:bottom w:val="nil"/>
              <w:right w:val="nil"/>
            </w:tcBorders>
            <w:vAlign w:val="center"/>
            <w:hideMark/>
          </w:tcPr>
          <w:p w14:paraId="6617D629" w14:textId="77777777" w:rsidR="003C45DA" w:rsidRPr="008A0A4E" w:rsidRDefault="003C45DA" w:rsidP="00DF3ECC">
            <w:pPr>
              <w:ind w:left="191"/>
              <w:jc w:val="right"/>
              <w:rPr>
                <w:rFonts w:ascii="Arial" w:hAnsi="Arial" w:cs="Arial"/>
                <w:color w:val="000000"/>
                <w:sz w:val="22"/>
                <w:szCs w:val="22"/>
              </w:rPr>
            </w:pPr>
          </w:p>
        </w:tc>
        <w:tc>
          <w:tcPr>
            <w:tcW w:w="1749" w:type="dxa"/>
            <w:tcBorders>
              <w:top w:val="nil"/>
              <w:left w:val="nil"/>
              <w:bottom w:val="nil"/>
              <w:right w:val="nil"/>
            </w:tcBorders>
            <w:vAlign w:val="center"/>
          </w:tcPr>
          <w:p w14:paraId="3B7FC234" w14:textId="77777777" w:rsidR="003C45DA" w:rsidRPr="003F5E4D" w:rsidRDefault="003C45DA" w:rsidP="00DF3ECC">
            <w:pPr>
              <w:ind w:left="191"/>
              <w:jc w:val="right"/>
              <w:rPr>
                <w:rFonts w:ascii="Arial" w:hAnsi="Arial" w:cs="Arial"/>
                <w:color w:val="000000"/>
                <w:sz w:val="22"/>
                <w:szCs w:val="22"/>
              </w:rPr>
            </w:pPr>
          </w:p>
        </w:tc>
      </w:tr>
      <w:tr w:rsidR="003C45DA" w:rsidRPr="00B64150" w14:paraId="3B3C01E2" w14:textId="77777777" w:rsidTr="00F940E9">
        <w:trPr>
          <w:trHeight w:val="63"/>
          <w:jc w:val="center"/>
        </w:trPr>
        <w:tc>
          <w:tcPr>
            <w:tcW w:w="5103" w:type="dxa"/>
            <w:gridSpan w:val="2"/>
            <w:tcBorders>
              <w:top w:val="nil"/>
              <w:left w:val="nil"/>
              <w:bottom w:val="nil"/>
              <w:right w:val="nil"/>
            </w:tcBorders>
            <w:shd w:val="clear" w:color="auto" w:fill="auto"/>
            <w:noWrap/>
            <w:vAlign w:val="bottom"/>
            <w:hideMark/>
          </w:tcPr>
          <w:p w14:paraId="49CEBA80" w14:textId="77777777" w:rsidR="003C45DA" w:rsidRPr="008A0A4E" w:rsidRDefault="003C45DA" w:rsidP="00DF3ECC">
            <w:pPr>
              <w:ind w:left="191"/>
              <w:rPr>
                <w:rFonts w:ascii="Arial" w:hAnsi="Arial" w:cs="Arial"/>
                <w:b/>
                <w:bCs/>
                <w:color w:val="000000"/>
                <w:sz w:val="22"/>
                <w:szCs w:val="22"/>
              </w:rPr>
            </w:pPr>
            <w:r w:rsidRPr="008A0A4E">
              <w:rPr>
                <w:rFonts w:ascii="Arial" w:hAnsi="Arial" w:cs="Arial"/>
                <w:b/>
                <w:bCs/>
                <w:color w:val="000000"/>
                <w:sz w:val="22"/>
                <w:szCs w:val="22"/>
              </w:rPr>
              <w:t>London Borough of Barking and Dagenham</w:t>
            </w:r>
          </w:p>
        </w:tc>
        <w:tc>
          <w:tcPr>
            <w:tcW w:w="1843" w:type="dxa"/>
            <w:tcBorders>
              <w:top w:val="nil"/>
              <w:left w:val="nil"/>
              <w:bottom w:val="nil"/>
              <w:right w:val="nil"/>
            </w:tcBorders>
            <w:shd w:val="clear" w:color="auto" w:fill="auto"/>
            <w:noWrap/>
            <w:vAlign w:val="bottom"/>
          </w:tcPr>
          <w:p w14:paraId="1AD5AA14" w14:textId="77777777" w:rsidR="003C45DA" w:rsidRPr="00B2463B" w:rsidRDefault="003C45DA" w:rsidP="00DF3ECC">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11EA721F" w14:textId="77777777" w:rsidR="003C45DA" w:rsidRPr="00B2463B" w:rsidRDefault="003C45DA" w:rsidP="00DF3ECC">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6A28D338" w14:textId="77777777" w:rsidR="003C45DA" w:rsidRPr="00B2463B" w:rsidRDefault="003C45DA" w:rsidP="00DF3ECC">
            <w:pPr>
              <w:ind w:left="191"/>
              <w:jc w:val="right"/>
              <w:rPr>
                <w:rFonts w:ascii="Arial" w:hAnsi="Arial" w:cs="Arial"/>
                <w:color w:val="000000"/>
                <w:sz w:val="22"/>
                <w:szCs w:val="22"/>
              </w:rPr>
            </w:pPr>
          </w:p>
        </w:tc>
      </w:tr>
      <w:tr w:rsidR="000B69C0" w:rsidRPr="00B64150" w14:paraId="369F7EE2"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0820FC38" w14:textId="77777777" w:rsidR="000B69C0" w:rsidRPr="008A0A4E" w:rsidRDefault="000B69C0" w:rsidP="000B69C0">
            <w:pPr>
              <w:ind w:left="191"/>
              <w:rPr>
                <w:rFonts w:ascii="Arial" w:hAnsi="Arial" w:cs="Arial"/>
                <w:b/>
                <w:bCs/>
                <w:color w:val="000000"/>
                <w:sz w:val="22"/>
                <w:szCs w:val="22"/>
              </w:rPr>
            </w:pPr>
            <w:bookmarkStart w:id="3" w:name="_Hlk3285676"/>
          </w:p>
        </w:tc>
        <w:tc>
          <w:tcPr>
            <w:tcW w:w="4792" w:type="dxa"/>
            <w:tcBorders>
              <w:top w:val="nil"/>
              <w:left w:val="nil"/>
              <w:bottom w:val="nil"/>
              <w:right w:val="nil"/>
            </w:tcBorders>
            <w:shd w:val="clear" w:color="auto" w:fill="auto"/>
            <w:noWrap/>
            <w:vAlign w:val="bottom"/>
            <w:hideMark/>
          </w:tcPr>
          <w:p w14:paraId="74789DE6"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vAlign w:val="bottom"/>
          </w:tcPr>
          <w:p w14:paraId="524E6B2D" w14:textId="2EF0AB99"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4,718 </w:t>
            </w:r>
          </w:p>
        </w:tc>
        <w:tc>
          <w:tcPr>
            <w:tcW w:w="236" w:type="dxa"/>
            <w:tcBorders>
              <w:top w:val="nil"/>
              <w:left w:val="nil"/>
              <w:bottom w:val="nil"/>
              <w:right w:val="nil"/>
            </w:tcBorders>
            <w:shd w:val="clear" w:color="auto" w:fill="auto"/>
            <w:noWrap/>
            <w:vAlign w:val="bottom"/>
            <w:hideMark/>
          </w:tcPr>
          <w:p w14:paraId="25728979" w14:textId="77777777" w:rsidR="000B69C0" w:rsidRPr="00B2463B"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36109E8E" w14:textId="62D3D58E" w:rsidR="000B69C0" w:rsidRPr="00A2580F" w:rsidRDefault="009E07FC" w:rsidP="000B69C0">
            <w:pPr>
              <w:jc w:val="right"/>
              <w:rPr>
                <w:rFonts w:ascii="Arial" w:hAnsi="Arial" w:cs="Arial"/>
                <w:b/>
                <w:bCs/>
                <w:color w:val="000000"/>
                <w:sz w:val="22"/>
                <w:szCs w:val="22"/>
              </w:rPr>
            </w:pPr>
            <w:r>
              <w:rPr>
                <w:rFonts w:ascii="Arial" w:hAnsi="Arial" w:cs="Arial"/>
                <w:b/>
                <w:bCs/>
                <w:color w:val="000000"/>
                <w:sz w:val="22"/>
                <w:szCs w:val="22"/>
              </w:rPr>
              <w:t>4,942</w:t>
            </w:r>
          </w:p>
        </w:tc>
      </w:tr>
      <w:tr w:rsidR="000B69C0" w:rsidRPr="00B64150" w14:paraId="07D34049"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1FD38104" w14:textId="77777777" w:rsidR="000B69C0" w:rsidRPr="008A0A4E" w:rsidRDefault="000B69C0" w:rsidP="000B69C0">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100932EC"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vAlign w:val="bottom"/>
          </w:tcPr>
          <w:p w14:paraId="4BF3519D" w14:textId="640C9837"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5,080 </w:t>
            </w:r>
          </w:p>
        </w:tc>
        <w:tc>
          <w:tcPr>
            <w:tcW w:w="236" w:type="dxa"/>
            <w:tcBorders>
              <w:top w:val="nil"/>
              <w:left w:val="nil"/>
              <w:bottom w:val="nil"/>
              <w:right w:val="nil"/>
            </w:tcBorders>
            <w:shd w:val="clear" w:color="auto" w:fill="auto"/>
            <w:noWrap/>
            <w:vAlign w:val="bottom"/>
            <w:hideMark/>
          </w:tcPr>
          <w:p w14:paraId="508ED19F"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120C9595" w14:textId="4A139A54" w:rsidR="000B69C0" w:rsidRPr="00A2580F" w:rsidRDefault="00CB46ED" w:rsidP="000B69C0">
            <w:pPr>
              <w:jc w:val="right"/>
              <w:rPr>
                <w:rFonts w:ascii="Arial" w:hAnsi="Arial" w:cs="Arial"/>
                <w:b/>
                <w:bCs/>
                <w:color w:val="000000"/>
                <w:sz w:val="22"/>
                <w:szCs w:val="22"/>
              </w:rPr>
            </w:pPr>
            <w:r>
              <w:rPr>
                <w:rFonts w:ascii="Arial" w:hAnsi="Arial" w:cs="Arial"/>
                <w:b/>
                <w:bCs/>
                <w:color w:val="000000"/>
                <w:sz w:val="22"/>
                <w:szCs w:val="22"/>
              </w:rPr>
              <w:t>6,174</w:t>
            </w:r>
          </w:p>
        </w:tc>
      </w:tr>
      <w:tr w:rsidR="000B69C0" w:rsidRPr="00B64150" w14:paraId="0A942032"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4E55EB1D" w14:textId="77777777" w:rsidR="000B69C0" w:rsidRPr="008A0A4E" w:rsidRDefault="000B69C0" w:rsidP="000B69C0">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51299306"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vAlign w:val="bottom"/>
          </w:tcPr>
          <w:p w14:paraId="42FA1EB4" w14:textId="59828D1C"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5,186 </w:t>
            </w:r>
          </w:p>
        </w:tc>
        <w:tc>
          <w:tcPr>
            <w:tcW w:w="236" w:type="dxa"/>
            <w:tcBorders>
              <w:top w:val="nil"/>
              <w:left w:val="nil"/>
              <w:bottom w:val="nil"/>
              <w:right w:val="nil"/>
            </w:tcBorders>
            <w:shd w:val="clear" w:color="auto" w:fill="auto"/>
            <w:noWrap/>
            <w:vAlign w:val="bottom"/>
            <w:hideMark/>
          </w:tcPr>
          <w:p w14:paraId="1078AAD9"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003EF6F1" w14:textId="67FE67B3" w:rsidR="000B69C0" w:rsidRPr="00A2580F" w:rsidRDefault="002436CB" w:rsidP="000B69C0">
            <w:pPr>
              <w:jc w:val="right"/>
              <w:rPr>
                <w:rFonts w:ascii="Arial" w:hAnsi="Arial" w:cs="Arial"/>
                <w:b/>
                <w:bCs/>
                <w:color w:val="000000"/>
                <w:sz w:val="22"/>
                <w:szCs w:val="22"/>
              </w:rPr>
            </w:pPr>
            <w:r>
              <w:rPr>
                <w:rFonts w:ascii="Arial" w:hAnsi="Arial" w:cs="Arial"/>
                <w:b/>
                <w:bCs/>
                <w:color w:val="000000"/>
                <w:sz w:val="22"/>
                <w:szCs w:val="22"/>
              </w:rPr>
              <w:t>5,381</w:t>
            </w:r>
          </w:p>
        </w:tc>
      </w:tr>
      <w:tr w:rsidR="000B69C0" w:rsidRPr="00B64150" w14:paraId="033B3972"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6FA3CAD2" w14:textId="77777777" w:rsidR="000B69C0" w:rsidRPr="008A0A4E" w:rsidRDefault="000B69C0" w:rsidP="000B69C0">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79A8CC64"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vAlign w:val="bottom"/>
          </w:tcPr>
          <w:p w14:paraId="5BB621D2" w14:textId="5604C5B9"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100 </w:t>
            </w:r>
          </w:p>
        </w:tc>
        <w:tc>
          <w:tcPr>
            <w:tcW w:w="236" w:type="dxa"/>
            <w:tcBorders>
              <w:top w:val="nil"/>
              <w:left w:val="nil"/>
              <w:bottom w:val="nil"/>
              <w:right w:val="nil"/>
            </w:tcBorders>
            <w:shd w:val="clear" w:color="auto" w:fill="auto"/>
            <w:noWrap/>
            <w:vAlign w:val="bottom"/>
            <w:hideMark/>
          </w:tcPr>
          <w:p w14:paraId="753C5B1D"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278061F8" w14:textId="25DD1EB0" w:rsidR="000B69C0" w:rsidRPr="00A2580F" w:rsidRDefault="002436CB" w:rsidP="000B69C0">
            <w:pPr>
              <w:jc w:val="right"/>
              <w:rPr>
                <w:rFonts w:ascii="Arial" w:hAnsi="Arial" w:cs="Arial"/>
                <w:b/>
                <w:bCs/>
                <w:color w:val="000000"/>
                <w:sz w:val="22"/>
                <w:szCs w:val="22"/>
              </w:rPr>
            </w:pPr>
            <w:r>
              <w:rPr>
                <w:rFonts w:ascii="Arial" w:hAnsi="Arial" w:cs="Arial"/>
                <w:b/>
                <w:bCs/>
                <w:color w:val="000000"/>
                <w:sz w:val="22"/>
                <w:szCs w:val="22"/>
              </w:rPr>
              <w:t>-</w:t>
            </w:r>
          </w:p>
        </w:tc>
      </w:tr>
      <w:tr w:rsidR="000B69C0" w:rsidRPr="00B64150" w14:paraId="31F2AE64" w14:textId="77777777" w:rsidTr="00B76FD5">
        <w:trPr>
          <w:trHeight w:hRule="exact" w:val="284"/>
          <w:jc w:val="center"/>
        </w:trPr>
        <w:tc>
          <w:tcPr>
            <w:tcW w:w="311" w:type="dxa"/>
            <w:tcBorders>
              <w:top w:val="nil"/>
              <w:left w:val="nil"/>
              <w:bottom w:val="nil"/>
              <w:right w:val="nil"/>
            </w:tcBorders>
            <w:shd w:val="clear" w:color="auto" w:fill="auto"/>
            <w:noWrap/>
            <w:vAlign w:val="bottom"/>
            <w:hideMark/>
          </w:tcPr>
          <w:p w14:paraId="12176F6F" w14:textId="77777777" w:rsidR="000B69C0" w:rsidRPr="008A0A4E" w:rsidRDefault="000B69C0" w:rsidP="000B69C0">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281A9E77" w14:textId="77777777" w:rsidR="000B69C0" w:rsidRPr="008A0A4E" w:rsidRDefault="000B69C0" w:rsidP="000B69C0">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vAlign w:val="center"/>
          </w:tcPr>
          <w:p w14:paraId="203DFAFF" w14:textId="0CA4D145"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15,084</w:t>
            </w:r>
          </w:p>
        </w:tc>
        <w:tc>
          <w:tcPr>
            <w:tcW w:w="236" w:type="dxa"/>
            <w:tcBorders>
              <w:top w:val="nil"/>
              <w:left w:val="nil"/>
              <w:bottom w:val="nil"/>
              <w:right w:val="nil"/>
            </w:tcBorders>
            <w:shd w:val="clear" w:color="auto" w:fill="auto"/>
            <w:noWrap/>
            <w:vAlign w:val="bottom"/>
            <w:hideMark/>
          </w:tcPr>
          <w:p w14:paraId="04D2D238" w14:textId="77777777" w:rsidR="000B69C0" w:rsidRPr="008A0A4E" w:rsidRDefault="000B69C0" w:rsidP="000B69C0">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vAlign w:val="center"/>
          </w:tcPr>
          <w:p w14:paraId="26D7700F" w14:textId="4E8DE076" w:rsidR="000B69C0" w:rsidRPr="00A2580F" w:rsidRDefault="00D43FB5" w:rsidP="000B69C0">
            <w:pPr>
              <w:jc w:val="right"/>
              <w:rPr>
                <w:rFonts w:ascii="Arial" w:hAnsi="Arial" w:cs="Arial"/>
                <w:b/>
                <w:bCs/>
                <w:color w:val="000000"/>
                <w:sz w:val="22"/>
                <w:szCs w:val="22"/>
              </w:rPr>
            </w:pPr>
            <w:r>
              <w:rPr>
                <w:rFonts w:ascii="Arial" w:hAnsi="Arial" w:cs="Arial"/>
                <w:b/>
                <w:bCs/>
                <w:color w:val="000000"/>
                <w:sz w:val="22"/>
                <w:szCs w:val="22"/>
              </w:rPr>
              <w:t>16,497</w:t>
            </w:r>
          </w:p>
        </w:tc>
      </w:tr>
      <w:tr w:rsidR="000B69C0" w:rsidRPr="00B64150" w14:paraId="79D6D319" w14:textId="77777777" w:rsidTr="00F940E9">
        <w:trPr>
          <w:trHeight w:hRule="exact" w:val="230"/>
          <w:jc w:val="center"/>
        </w:trPr>
        <w:tc>
          <w:tcPr>
            <w:tcW w:w="5103" w:type="dxa"/>
            <w:gridSpan w:val="2"/>
            <w:tcBorders>
              <w:top w:val="nil"/>
              <w:left w:val="nil"/>
              <w:bottom w:val="nil"/>
              <w:right w:val="nil"/>
            </w:tcBorders>
            <w:shd w:val="clear" w:color="auto" w:fill="auto"/>
            <w:noWrap/>
            <w:vAlign w:val="bottom"/>
            <w:hideMark/>
          </w:tcPr>
          <w:p w14:paraId="4618FBFC" w14:textId="77777777" w:rsidR="000B69C0" w:rsidRPr="008A0A4E" w:rsidRDefault="000B69C0" w:rsidP="000B69C0">
            <w:pPr>
              <w:ind w:left="191"/>
              <w:rPr>
                <w:rFonts w:ascii="Arial" w:hAnsi="Arial" w:cs="Arial"/>
                <w:b/>
                <w:bCs/>
                <w:color w:val="000000"/>
                <w:sz w:val="22"/>
                <w:szCs w:val="22"/>
              </w:rPr>
            </w:pPr>
            <w:r w:rsidRPr="008A0A4E">
              <w:rPr>
                <w:rFonts w:ascii="Arial" w:hAnsi="Arial" w:cs="Arial"/>
                <w:b/>
                <w:bCs/>
                <w:color w:val="000000"/>
                <w:sz w:val="22"/>
                <w:szCs w:val="22"/>
              </w:rPr>
              <w:t>Admitted and Scheduled Bodies</w:t>
            </w:r>
          </w:p>
        </w:tc>
        <w:tc>
          <w:tcPr>
            <w:tcW w:w="1843" w:type="dxa"/>
            <w:tcBorders>
              <w:top w:val="nil"/>
              <w:left w:val="nil"/>
              <w:bottom w:val="nil"/>
              <w:right w:val="nil"/>
            </w:tcBorders>
            <w:shd w:val="clear" w:color="auto" w:fill="auto"/>
            <w:noWrap/>
            <w:vAlign w:val="bottom"/>
          </w:tcPr>
          <w:p w14:paraId="4787BB3A" w14:textId="77777777" w:rsidR="000B69C0" w:rsidRPr="000B69C0" w:rsidRDefault="000B69C0" w:rsidP="000B69C0">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D268141" w14:textId="77777777" w:rsidR="000B69C0" w:rsidRPr="008A0A4E" w:rsidRDefault="000B69C0" w:rsidP="000B69C0">
            <w:pPr>
              <w:ind w:left="191"/>
              <w:jc w:val="right"/>
              <w:rPr>
                <w:rFonts w:ascii="Arial" w:hAnsi="Arial" w:cs="Arial"/>
                <w:b/>
                <w:color w:val="000000"/>
                <w:sz w:val="22"/>
                <w:szCs w:val="22"/>
              </w:rPr>
            </w:pPr>
          </w:p>
        </w:tc>
        <w:tc>
          <w:tcPr>
            <w:tcW w:w="1749" w:type="dxa"/>
            <w:tcBorders>
              <w:top w:val="nil"/>
              <w:left w:val="nil"/>
              <w:bottom w:val="nil"/>
              <w:right w:val="nil"/>
            </w:tcBorders>
            <w:shd w:val="clear" w:color="auto" w:fill="auto"/>
            <w:noWrap/>
            <w:vAlign w:val="bottom"/>
          </w:tcPr>
          <w:p w14:paraId="093964A5" w14:textId="77777777" w:rsidR="000B69C0" w:rsidRPr="000E00A3" w:rsidRDefault="000B69C0" w:rsidP="000B69C0">
            <w:pPr>
              <w:ind w:left="191"/>
              <w:jc w:val="right"/>
              <w:rPr>
                <w:rFonts w:ascii="Arial" w:hAnsi="Arial" w:cs="Arial"/>
                <w:color w:val="000000"/>
                <w:sz w:val="22"/>
                <w:szCs w:val="22"/>
                <w:highlight w:val="yellow"/>
              </w:rPr>
            </w:pPr>
          </w:p>
        </w:tc>
      </w:tr>
      <w:tr w:rsidR="000B69C0" w:rsidRPr="00B64150" w14:paraId="53EF8EC1"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416D5906" w14:textId="77777777" w:rsidR="000B69C0" w:rsidRPr="008A0A4E" w:rsidRDefault="000B69C0" w:rsidP="000B69C0">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1AFD073C"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vAlign w:val="bottom"/>
          </w:tcPr>
          <w:p w14:paraId="780B4A48" w14:textId="68EDBE73"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1,423 </w:t>
            </w:r>
          </w:p>
        </w:tc>
        <w:tc>
          <w:tcPr>
            <w:tcW w:w="236" w:type="dxa"/>
            <w:tcBorders>
              <w:top w:val="nil"/>
              <w:left w:val="nil"/>
              <w:bottom w:val="nil"/>
              <w:right w:val="nil"/>
            </w:tcBorders>
            <w:shd w:val="clear" w:color="auto" w:fill="auto"/>
            <w:noWrap/>
            <w:vAlign w:val="bottom"/>
            <w:hideMark/>
          </w:tcPr>
          <w:p w14:paraId="642DA2EA"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45CFE777" w14:textId="2CBF2A6C" w:rsidR="000B69C0" w:rsidRPr="007C27C6" w:rsidRDefault="00D43FB5" w:rsidP="000B69C0">
            <w:pPr>
              <w:jc w:val="right"/>
              <w:rPr>
                <w:rFonts w:ascii="Arial" w:hAnsi="Arial" w:cs="Arial"/>
                <w:b/>
                <w:bCs/>
                <w:color w:val="000000"/>
                <w:sz w:val="22"/>
                <w:szCs w:val="22"/>
              </w:rPr>
            </w:pPr>
            <w:r>
              <w:rPr>
                <w:rFonts w:ascii="Arial" w:hAnsi="Arial" w:cs="Arial"/>
                <w:b/>
                <w:bCs/>
                <w:color w:val="000000"/>
                <w:sz w:val="22"/>
                <w:szCs w:val="22"/>
              </w:rPr>
              <w:t>1,477</w:t>
            </w:r>
          </w:p>
        </w:tc>
      </w:tr>
      <w:tr w:rsidR="000B69C0" w:rsidRPr="00B64150" w14:paraId="55845CAE"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284469BE" w14:textId="77777777" w:rsidR="000B69C0" w:rsidRPr="008A0A4E" w:rsidRDefault="000B69C0" w:rsidP="000B69C0">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63995984"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vAlign w:val="bottom"/>
          </w:tcPr>
          <w:p w14:paraId="0D0BFF56" w14:textId="1A563D93"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1,471 </w:t>
            </w:r>
          </w:p>
        </w:tc>
        <w:tc>
          <w:tcPr>
            <w:tcW w:w="236" w:type="dxa"/>
            <w:tcBorders>
              <w:top w:val="nil"/>
              <w:left w:val="nil"/>
              <w:bottom w:val="nil"/>
              <w:right w:val="nil"/>
            </w:tcBorders>
            <w:shd w:val="clear" w:color="auto" w:fill="auto"/>
            <w:noWrap/>
            <w:vAlign w:val="bottom"/>
            <w:hideMark/>
          </w:tcPr>
          <w:p w14:paraId="204F4CAD"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1D3D58CC" w14:textId="75F72DC2" w:rsidR="000B69C0" w:rsidRPr="007C27C6" w:rsidRDefault="00D43FB5" w:rsidP="000B69C0">
            <w:pPr>
              <w:jc w:val="right"/>
              <w:rPr>
                <w:rFonts w:ascii="Arial" w:hAnsi="Arial" w:cs="Arial"/>
                <w:b/>
                <w:bCs/>
                <w:color w:val="000000"/>
                <w:sz w:val="22"/>
                <w:szCs w:val="22"/>
              </w:rPr>
            </w:pPr>
            <w:r>
              <w:rPr>
                <w:rFonts w:ascii="Arial" w:hAnsi="Arial" w:cs="Arial"/>
                <w:b/>
                <w:bCs/>
                <w:color w:val="000000"/>
                <w:sz w:val="22"/>
                <w:szCs w:val="22"/>
              </w:rPr>
              <w:t>1,796</w:t>
            </w:r>
          </w:p>
        </w:tc>
      </w:tr>
      <w:tr w:rsidR="000B69C0" w:rsidRPr="00B64150" w14:paraId="055E2BD0" w14:textId="77777777" w:rsidTr="00E560AD">
        <w:trPr>
          <w:trHeight w:hRule="exact" w:val="230"/>
          <w:jc w:val="center"/>
        </w:trPr>
        <w:tc>
          <w:tcPr>
            <w:tcW w:w="311" w:type="dxa"/>
            <w:tcBorders>
              <w:top w:val="nil"/>
              <w:left w:val="nil"/>
              <w:bottom w:val="nil"/>
              <w:right w:val="nil"/>
            </w:tcBorders>
            <w:shd w:val="clear" w:color="auto" w:fill="auto"/>
            <w:noWrap/>
            <w:vAlign w:val="bottom"/>
            <w:hideMark/>
          </w:tcPr>
          <w:p w14:paraId="51E45F7E" w14:textId="77777777" w:rsidR="000B69C0" w:rsidRPr="008A0A4E" w:rsidRDefault="000B69C0" w:rsidP="000B69C0">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1304E46"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vAlign w:val="bottom"/>
          </w:tcPr>
          <w:p w14:paraId="7537A3AD" w14:textId="7E34B1B8"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1,854 </w:t>
            </w:r>
          </w:p>
        </w:tc>
        <w:tc>
          <w:tcPr>
            <w:tcW w:w="236" w:type="dxa"/>
            <w:tcBorders>
              <w:top w:val="nil"/>
              <w:left w:val="nil"/>
              <w:bottom w:val="nil"/>
              <w:right w:val="nil"/>
            </w:tcBorders>
            <w:shd w:val="clear" w:color="auto" w:fill="auto"/>
            <w:noWrap/>
            <w:vAlign w:val="bottom"/>
            <w:hideMark/>
          </w:tcPr>
          <w:p w14:paraId="728F124A"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75BD9731" w14:textId="56A7039A" w:rsidR="000B69C0" w:rsidRPr="007C27C6" w:rsidRDefault="00D43FB5" w:rsidP="000B69C0">
            <w:pPr>
              <w:jc w:val="right"/>
              <w:rPr>
                <w:rFonts w:ascii="Arial" w:hAnsi="Arial" w:cs="Arial"/>
                <w:b/>
                <w:bCs/>
                <w:color w:val="000000"/>
                <w:sz w:val="22"/>
                <w:szCs w:val="22"/>
              </w:rPr>
            </w:pPr>
            <w:r>
              <w:rPr>
                <w:rFonts w:ascii="Arial" w:hAnsi="Arial" w:cs="Arial"/>
                <w:b/>
                <w:bCs/>
                <w:color w:val="000000"/>
                <w:sz w:val="22"/>
                <w:szCs w:val="22"/>
              </w:rPr>
              <w:t>2,074</w:t>
            </w:r>
          </w:p>
        </w:tc>
      </w:tr>
      <w:tr w:rsidR="000B69C0" w:rsidRPr="00B64150" w14:paraId="279A076C" w14:textId="77777777" w:rsidTr="00B53577">
        <w:trPr>
          <w:trHeight w:hRule="exact" w:val="230"/>
          <w:jc w:val="center"/>
        </w:trPr>
        <w:tc>
          <w:tcPr>
            <w:tcW w:w="311" w:type="dxa"/>
            <w:tcBorders>
              <w:top w:val="nil"/>
              <w:left w:val="nil"/>
              <w:bottom w:val="nil"/>
              <w:right w:val="nil"/>
            </w:tcBorders>
            <w:shd w:val="clear" w:color="auto" w:fill="auto"/>
            <w:noWrap/>
            <w:vAlign w:val="bottom"/>
            <w:hideMark/>
          </w:tcPr>
          <w:p w14:paraId="08C38B87" w14:textId="77777777" w:rsidR="000B69C0" w:rsidRPr="008A0A4E" w:rsidRDefault="000B69C0" w:rsidP="000B69C0">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50CC8006" w14:textId="77777777" w:rsidR="000B69C0" w:rsidRPr="008A0A4E" w:rsidRDefault="000B69C0" w:rsidP="000B69C0">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single" w:sz="8" w:space="0" w:color="auto"/>
              <w:right w:val="nil"/>
            </w:tcBorders>
            <w:shd w:val="clear" w:color="auto" w:fill="auto"/>
            <w:noWrap/>
            <w:vAlign w:val="bottom"/>
          </w:tcPr>
          <w:p w14:paraId="5058590B" w14:textId="0CE07024"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 xml:space="preserve">            30 </w:t>
            </w:r>
          </w:p>
        </w:tc>
        <w:tc>
          <w:tcPr>
            <w:tcW w:w="236" w:type="dxa"/>
            <w:tcBorders>
              <w:top w:val="nil"/>
              <w:left w:val="nil"/>
              <w:bottom w:val="nil"/>
              <w:right w:val="nil"/>
            </w:tcBorders>
            <w:shd w:val="clear" w:color="auto" w:fill="auto"/>
            <w:noWrap/>
            <w:vAlign w:val="bottom"/>
            <w:hideMark/>
          </w:tcPr>
          <w:p w14:paraId="685CE64B" w14:textId="77777777" w:rsidR="000B69C0" w:rsidRPr="008A0A4E" w:rsidRDefault="000B69C0" w:rsidP="000B69C0">
            <w:pPr>
              <w:ind w:left="191"/>
              <w:jc w:val="right"/>
              <w:rPr>
                <w:rFonts w:ascii="Arial" w:hAnsi="Arial" w:cs="Arial"/>
                <w:color w:val="000000"/>
                <w:sz w:val="22"/>
                <w:szCs w:val="22"/>
              </w:rPr>
            </w:pPr>
          </w:p>
        </w:tc>
        <w:tc>
          <w:tcPr>
            <w:tcW w:w="1749" w:type="dxa"/>
            <w:tcBorders>
              <w:top w:val="nil"/>
              <w:left w:val="nil"/>
              <w:bottom w:val="single" w:sz="8" w:space="0" w:color="auto"/>
              <w:right w:val="nil"/>
            </w:tcBorders>
            <w:shd w:val="clear" w:color="auto" w:fill="auto"/>
            <w:noWrap/>
            <w:vAlign w:val="bottom"/>
          </w:tcPr>
          <w:p w14:paraId="4EFBA948" w14:textId="604204A2" w:rsidR="000B69C0" w:rsidRPr="007C27C6" w:rsidRDefault="00D43FB5" w:rsidP="000B69C0">
            <w:pPr>
              <w:jc w:val="right"/>
              <w:rPr>
                <w:rFonts w:ascii="Arial" w:hAnsi="Arial" w:cs="Arial"/>
                <w:b/>
                <w:bCs/>
                <w:color w:val="000000"/>
                <w:sz w:val="22"/>
                <w:szCs w:val="22"/>
              </w:rPr>
            </w:pPr>
            <w:r>
              <w:rPr>
                <w:rFonts w:ascii="Arial" w:hAnsi="Arial" w:cs="Arial"/>
                <w:b/>
                <w:bCs/>
                <w:color w:val="000000"/>
                <w:sz w:val="22"/>
                <w:szCs w:val="22"/>
              </w:rPr>
              <w:t>-</w:t>
            </w:r>
          </w:p>
        </w:tc>
      </w:tr>
      <w:tr w:rsidR="000B69C0" w:rsidRPr="00B64150" w14:paraId="78F455FA" w14:textId="77777777" w:rsidTr="00B53577">
        <w:trPr>
          <w:trHeight w:hRule="exact" w:val="284"/>
          <w:jc w:val="center"/>
        </w:trPr>
        <w:tc>
          <w:tcPr>
            <w:tcW w:w="311" w:type="dxa"/>
            <w:tcBorders>
              <w:top w:val="nil"/>
              <w:left w:val="nil"/>
              <w:bottom w:val="nil"/>
              <w:right w:val="nil"/>
            </w:tcBorders>
            <w:shd w:val="clear" w:color="auto" w:fill="auto"/>
            <w:noWrap/>
            <w:vAlign w:val="bottom"/>
            <w:hideMark/>
          </w:tcPr>
          <w:p w14:paraId="5B1B9306" w14:textId="77777777" w:rsidR="000B69C0" w:rsidRPr="008A0A4E" w:rsidRDefault="000B69C0" w:rsidP="000B69C0">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BE43062" w14:textId="77777777" w:rsidR="000B69C0" w:rsidRPr="008A0A4E" w:rsidRDefault="000B69C0" w:rsidP="000B69C0">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vAlign w:val="center"/>
          </w:tcPr>
          <w:p w14:paraId="0C210C53" w14:textId="02713BA1" w:rsidR="000B69C0" w:rsidRPr="000B69C0" w:rsidRDefault="000B69C0" w:rsidP="000B69C0">
            <w:pPr>
              <w:jc w:val="right"/>
              <w:rPr>
                <w:rFonts w:ascii="Arial" w:hAnsi="Arial" w:cs="Arial"/>
                <w:color w:val="000000"/>
                <w:sz w:val="22"/>
                <w:szCs w:val="22"/>
              </w:rPr>
            </w:pPr>
            <w:r w:rsidRPr="000B69C0">
              <w:rPr>
                <w:rFonts w:ascii="Arial" w:hAnsi="Arial" w:cs="Arial"/>
                <w:color w:val="000000"/>
                <w:sz w:val="22"/>
                <w:szCs w:val="22"/>
              </w:rPr>
              <w:t>4,778</w:t>
            </w:r>
          </w:p>
        </w:tc>
        <w:tc>
          <w:tcPr>
            <w:tcW w:w="236" w:type="dxa"/>
            <w:tcBorders>
              <w:top w:val="nil"/>
              <w:left w:val="nil"/>
              <w:bottom w:val="nil"/>
              <w:right w:val="nil"/>
            </w:tcBorders>
            <w:shd w:val="clear" w:color="auto" w:fill="auto"/>
            <w:noWrap/>
            <w:hideMark/>
          </w:tcPr>
          <w:p w14:paraId="6AE29521" w14:textId="77777777" w:rsidR="000B69C0" w:rsidRPr="008A0A4E" w:rsidRDefault="000B69C0" w:rsidP="000B69C0">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vAlign w:val="center"/>
          </w:tcPr>
          <w:p w14:paraId="1180100C" w14:textId="2ECF7946" w:rsidR="000B69C0" w:rsidRPr="007C27C6" w:rsidRDefault="00D43FB5" w:rsidP="000B69C0">
            <w:pPr>
              <w:jc w:val="right"/>
              <w:rPr>
                <w:rFonts w:ascii="Arial" w:hAnsi="Arial" w:cs="Arial"/>
                <w:b/>
                <w:bCs/>
                <w:color w:val="000000"/>
                <w:sz w:val="22"/>
                <w:szCs w:val="22"/>
              </w:rPr>
            </w:pPr>
            <w:r>
              <w:rPr>
                <w:rFonts w:ascii="Arial" w:hAnsi="Arial" w:cs="Arial"/>
                <w:b/>
                <w:bCs/>
                <w:color w:val="000000"/>
                <w:sz w:val="22"/>
                <w:szCs w:val="22"/>
              </w:rPr>
              <w:t>5,347</w:t>
            </w:r>
          </w:p>
        </w:tc>
      </w:tr>
      <w:bookmarkEnd w:id="3"/>
    </w:tbl>
    <w:p w14:paraId="3DD024EF" w14:textId="77777777" w:rsidR="003C45DA" w:rsidRPr="008A0A4E" w:rsidRDefault="003C45DA" w:rsidP="003C45DA">
      <w:pPr>
        <w:pStyle w:val="ListParagraph"/>
        <w:ind w:left="644"/>
        <w:rPr>
          <w:rFonts w:ascii="Arial" w:hAnsi="Arial" w:cs="Arial"/>
          <w:b/>
        </w:rPr>
      </w:pPr>
    </w:p>
    <w:p w14:paraId="7525AB67" w14:textId="77777777" w:rsidR="003C45DA" w:rsidRPr="00E35D19" w:rsidRDefault="003C45DA" w:rsidP="003C45DA">
      <w:pPr>
        <w:pStyle w:val="ListParagraph"/>
        <w:numPr>
          <w:ilvl w:val="0"/>
          <w:numId w:val="7"/>
        </w:numPr>
        <w:rPr>
          <w:rFonts w:ascii="Arial" w:hAnsi="Arial" w:cs="Arial"/>
          <w:b/>
        </w:rPr>
      </w:pPr>
      <w:r w:rsidRPr="00E35D19">
        <w:rPr>
          <w:rFonts w:ascii="Arial" w:hAnsi="Arial" w:cs="Arial"/>
          <w:b/>
        </w:rPr>
        <w:t>Benefits</w:t>
      </w:r>
    </w:p>
    <w:p w14:paraId="412D92AB"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Pension benefits under the LGPS are based on final pensionable pay and length of pensionable service as summarised below:</w:t>
      </w:r>
    </w:p>
    <w:p w14:paraId="0C607487" w14:textId="77777777" w:rsidR="003C45DA" w:rsidRPr="008A0A4E" w:rsidRDefault="003C45DA" w:rsidP="003C45DA">
      <w:pPr>
        <w:ind w:left="284"/>
        <w:jc w:val="both"/>
        <w:rPr>
          <w:rFonts w:ascii="Arial" w:hAnsi="Arial" w:cs="Arial"/>
          <w:sz w:val="22"/>
          <w:szCs w:val="22"/>
        </w:rPr>
      </w:pPr>
    </w:p>
    <w:tbl>
      <w:tblPr>
        <w:tblW w:w="9202" w:type="dxa"/>
        <w:jc w:val="center"/>
        <w:tblLook w:val="04A0" w:firstRow="1" w:lastRow="0" w:firstColumn="1" w:lastColumn="0" w:noHBand="0" w:noVBand="1"/>
      </w:tblPr>
      <w:tblGrid>
        <w:gridCol w:w="1490"/>
        <w:gridCol w:w="3923"/>
        <w:gridCol w:w="3789"/>
      </w:tblGrid>
      <w:tr w:rsidR="003C45DA" w:rsidRPr="00B64150" w14:paraId="448D9664" w14:textId="77777777" w:rsidTr="00EE6380">
        <w:trPr>
          <w:trHeight w:val="231"/>
          <w:jc w:val="center"/>
        </w:trPr>
        <w:tc>
          <w:tcPr>
            <w:tcW w:w="1490" w:type="dxa"/>
            <w:shd w:val="clear" w:color="auto" w:fill="auto"/>
          </w:tcPr>
          <w:p w14:paraId="6B6320AE" w14:textId="77777777" w:rsidR="003C45DA" w:rsidRPr="008A0A4E" w:rsidRDefault="003C45DA" w:rsidP="00DF3ECC">
            <w:pPr>
              <w:jc w:val="both"/>
              <w:rPr>
                <w:rFonts w:ascii="Arial" w:hAnsi="Arial" w:cs="Arial"/>
                <w:b/>
                <w:sz w:val="22"/>
                <w:szCs w:val="22"/>
              </w:rPr>
            </w:pPr>
          </w:p>
        </w:tc>
        <w:tc>
          <w:tcPr>
            <w:tcW w:w="3923" w:type="dxa"/>
            <w:shd w:val="clear" w:color="auto" w:fill="auto"/>
          </w:tcPr>
          <w:p w14:paraId="54E9918B" w14:textId="77777777" w:rsidR="003C45DA" w:rsidRPr="008A0A4E" w:rsidRDefault="003C45DA" w:rsidP="00DF3ECC">
            <w:pPr>
              <w:jc w:val="both"/>
              <w:rPr>
                <w:rFonts w:ascii="Arial" w:hAnsi="Arial" w:cs="Arial"/>
                <w:sz w:val="22"/>
                <w:szCs w:val="22"/>
              </w:rPr>
            </w:pPr>
            <w:r w:rsidRPr="008A0A4E">
              <w:rPr>
                <w:rFonts w:ascii="Arial" w:hAnsi="Arial" w:cs="Arial"/>
                <w:b/>
                <w:sz w:val="22"/>
                <w:szCs w:val="22"/>
              </w:rPr>
              <w:t>Service pre-1 April 2008</w:t>
            </w:r>
          </w:p>
        </w:tc>
        <w:tc>
          <w:tcPr>
            <w:tcW w:w="3789" w:type="dxa"/>
            <w:shd w:val="clear" w:color="auto" w:fill="auto"/>
          </w:tcPr>
          <w:p w14:paraId="1F8175B6" w14:textId="77777777" w:rsidR="003C45DA" w:rsidRPr="008A0A4E" w:rsidRDefault="003C45DA" w:rsidP="00DF3ECC">
            <w:pPr>
              <w:jc w:val="both"/>
              <w:rPr>
                <w:rFonts w:ascii="Arial" w:hAnsi="Arial" w:cs="Arial"/>
                <w:sz w:val="22"/>
                <w:szCs w:val="22"/>
              </w:rPr>
            </w:pPr>
            <w:r w:rsidRPr="008A0A4E">
              <w:rPr>
                <w:rFonts w:ascii="Arial" w:hAnsi="Arial" w:cs="Arial"/>
                <w:b/>
                <w:sz w:val="22"/>
                <w:szCs w:val="22"/>
              </w:rPr>
              <w:t>Service post 31 March 2008</w:t>
            </w:r>
          </w:p>
        </w:tc>
      </w:tr>
      <w:tr w:rsidR="003C45DA" w:rsidRPr="00B64150" w14:paraId="7E40AAAF" w14:textId="77777777" w:rsidTr="00EE6380">
        <w:trPr>
          <w:trHeight w:val="696"/>
          <w:jc w:val="center"/>
        </w:trPr>
        <w:tc>
          <w:tcPr>
            <w:tcW w:w="1490" w:type="dxa"/>
            <w:shd w:val="clear" w:color="auto" w:fill="auto"/>
          </w:tcPr>
          <w:p w14:paraId="06CF5AEA" w14:textId="77777777" w:rsidR="003C45DA" w:rsidRPr="008A0A4E" w:rsidRDefault="003C45DA" w:rsidP="00DF3ECC">
            <w:pPr>
              <w:rPr>
                <w:rFonts w:ascii="Arial" w:hAnsi="Arial" w:cs="Arial"/>
                <w:b/>
                <w:sz w:val="22"/>
                <w:szCs w:val="22"/>
              </w:rPr>
            </w:pPr>
            <w:r w:rsidRPr="008A0A4E">
              <w:rPr>
                <w:rFonts w:ascii="Arial" w:hAnsi="Arial" w:cs="Arial"/>
                <w:b/>
                <w:sz w:val="22"/>
                <w:szCs w:val="22"/>
              </w:rPr>
              <w:t>Pension:</w:t>
            </w:r>
          </w:p>
        </w:tc>
        <w:tc>
          <w:tcPr>
            <w:tcW w:w="3923" w:type="dxa"/>
            <w:shd w:val="clear" w:color="auto" w:fill="auto"/>
          </w:tcPr>
          <w:p w14:paraId="5BDF7BA7" w14:textId="77777777" w:rsidR="003C45DA" w:rsidRPr="008A0A4E" w:rsidRDefault="003C45DA" w:rsidP="00DF3ECC">
            <w:pPr>
              <w:rPr>
                <w:rFonts w:ascii="Arial" w:hAnsi="Arial" w:cs="Arial"/>
                <w:sz w:val="22"/>
                <w:szCs w:val="22"/>
              </w:rPr>
            </w:pPr>
            <w:r w:rsidRPr="008A0A4E">
              <w:rPr>
                <w:rFonts w:ascii="Arial" w:hAnsi="Arial" w:cs="Arial"/>
                <w:sz w:val="22"/>
                <w:szCs w:val="22"/>
              </w:rPr>
              <w:t>Each year worked is worth 1/80 x final pensionable salary.</w:t>
            </w:r>
          </w:p>
        </w:tc>
        <w:tc>
          <w:tcPr>
            <w:tcW w:w="3789" w:type="dxa"/>
            <w:shd w:val="clear" w:color="auto" w:fill="auto"/>
          </w:tcPr>
          <w:p w14:paraId="27979BCC" w14:textId="77777777" w:rsidR="003C45DA" w:rsidRPr="008A0A4E" w:rsidRDefault="003C45DA" w:rsidP="00DF3ECC">
            <w:pPr>
              <w:rPr>
                <w:rFonts w:ascii="Arial" w:hAnsi="Arial" w:cs="Arial"/>
                <w:sz w:val="22"/>
                <w:szCs w:val="22"/>
              </w:rPr>
            </w:pPr>
            <w:r w:rsidRPr="008A0A4E">
              <w:rPr>
                <w:rFonts w:ascii="Arial" w:hAnsi="Arial" w:cs="Arial"/>
                <w:sz w:val="22"/>
                <w:szCs w:val="22"/>
              </w:rPr>
              <w:t>Each year worked is worth 1/60 x final pensionable salary.</w:t>
            </w:r>
          </w:p>
        </w:tc>
      </w:tr>
      <w:tr w:rsidR="003C45DA" w:rsidRPr="00B64150" w14:paraId="2E348EE8" w14:textId="77777777" w:rsidTr="00EE6380">
        <w:trPr>
          <w:trHeight w:val="1022"/>
          <w:jc w:val="center"/>
        </w:trPr>
        <w:tc>
          <w:tcPr>
            <w:tcW w:w="1490" w:type="dxa"/>
            <w:shd w:val="clear" w:color="auto" w:fill="auto"/>
          </w:tcPr>
          <w:p w14:paraId="11E10A04" w14:textId="77777777" w:rsidR="003C45DA" w:rsidRPr="008A0A4E" w:rsidRDefault="003C45DA" w:rsidP="00DF3ECC">
            <w:pPr>
              <w:jc w:val="both"/>
              <w:rPr>
                <w:rFonts w:ascii="Arial" w:hAnsi="Arial" w:cs="Arial"/>
                <w:b/>
                <w:sz w:val="22"/>
                <w:szCs w:val="22"/>
              </w:rPr>
            </w:pPr>
            <w:r w:rsidRPr="008A0A4E">
              <w:rPr>
                <w:rFonts w:ascii="Arial" w:hAnsi="Arial" w:cs="Arial"/>
                <w:b/>
                <w:sz w:val="22"/>
                <w:szCs w:val="22"/>
              </w:rPr>
              <w:t>Lump sum:</w:t>
            </w:r>
          </w:p>
        </w:tc>
        <w:tc>
          <w:tcPr>
            <w:tcW w:w="3923" w:type="dxa"/>
            <w:shd w:val="clear" w:color="auto" w:fill="auto"/>
          </w:tcPr>
          <w:p w14:paraId="0149FA79" w14:textId="77777777" w:rsidR="003C45DA" w:rsidRPr="008A0A4E" w:rsidRDefault="003C45DA" w:rsidP="00DF3ECC">
            <w:pPr>
              <w:rPr>
                <w:rFonts w:ascii="Arial" w:hAnsi="Arial" w:cs="Arial"/>
                <w:sz w:val="22"/>
                <w:szCs w:val="22"/>
              </w:rPr>
            </w:pPr>
            <w:r w:rsidRPr="008A0A4E">
              <w:rPr>
                <w:rFonts w:ascii="Arial" w:hAnsi="Arial" w:cs="Arial"/>
                <w:sz w:val="22"/>
                <w:szCs w:val="22"/>
              </w:rPr>
              <w:t xml:space="preserve">Automatic lump sum of 3 x salary. In </w:t>
            </w:r>
            <w:proofErr w:type="gramStart"/>
            <w:r w:rsidRPr="008A0A4E">
              <w:rPr>
                <w:rFonts w:ascii="Arial" w:hAnsi="Arial" w:cs="Arial"/>
                <w:sz w:val="22"/>
                <w:szCs w:val="22"/>
              </w:rPr>
              <w:t>addition</w:t>
            </w:r>
            <w:proofErr w:type="gramEnd"/>
            <w:r w:rsidRPr="008A0A4E">
              <w:rPr>
                <w:rFonts w:ascii="Arial" w:hAnsi="Arial" w:cs="Arial"/>
                <w:sz w:val="22"/>
                <w:szCs w:val="22"/>
              </w:rPr>
              <w:t xml:space="preserve"> part of annual pension can be exchanged for a one-off tax-free cash payment.  A lump sum of £12 is paid for each £1 of pension given up.</w:t>
            </w:r>
          </w:p>
        </w:tc>
        <w:tc>
          <w:tcPr>
            <w:tcW w:w="3789" w:type="dxa"/>
            <w:shd w:val="clear" w:color="auto" w:fill="auto"/>
          </w:tcPr>
          <w:p w14:paraId="0E1A9E38" w14:textId="77777777" w:rsidR="003C45DA" w:rsidRPr="008A0A4E" w:rsidRDefault="003C45DA" w:rsidP="00DF3ECC">
            <w:pPr>
              <w:rPr>
                <w:rFonts w:ascii="Arial" w:hAnsi="Arial" w:cs="Arial"/>
                <w:b/>
                <w:sz w:val="22"/>
                <w:szCs w:val="22"/>
              </w:rPr>
            </w:pPr>
            <w:r w:rsidRPr="008A0A4E">
              <w:rPr>
                <w:rFonts w:ascii="Arial" w:hAnsi="Arial" w:cs="Arial"/>
                <w:sz w:val="22"/>
                <w:szCs w:val="22"/>
              </w:rPr>
              <w:t>No automatic lump sum, part of the annual pension can be exchanged for a one-off tax- free cash payment.  A lump sum of £12 is paid for each £1 of pension given up.</w:t>
            </w:r>
          </w:p>
        </w:tc>
      </w:tr>
    </w:tbl>
    <w:p w14:paraId="315B20FA" w14:textId="77777777" w:rsidR="003C45DA" w:rsidRPr="008A0A4E" w:rsidRDefault="003C45DA" w:rsidP="003C45DA">
      <w:pPr>
        <w:pStyle w:val="ListParagraph"/>
        <w:spacing w:after="0" w:line="240" w:lineRule="auto"/>
        <w:ind w:left="2160" w:right="-243" w:hanging="1440"/>
        <w:jc w:val="both"/>
        <w:rPr>
          <w:rFonts w:ascii="Arial" w:hAnsi="Arial" w:cs="Arial"/>
        </w:rPr>
      </w:pPr>
    </w:p>
    <w:p w14:paraId="100CEBFB"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 xml:space="preserve">The benefits payable in respect of service from 1 April 2014 are based on career average devalued earnings and the number of years of eligible service. The accrual rate is 1/49 and the benefits are index-linked to keep pace with inflation. From 1 April 2011, the method of indexation changed from the Retail Prices Index (RPI) to the Consumer Prices Index (CPI). </w:t>
      </w:r>
    </w:p>
    <w:p w14:paraId="5AC5AD26" w14:textId="77777777" w:rsidR="003C45DA" w:rsidRDefault="003C45DA" w:rsidP="003C45DA">
      <w:pPr>
        <w:tabs>
          <w:tab w:val="left" w:pos="284"/>
        </w:tabs>
        <w:jc w:val="both"/>
        <w:rPr>
          <w:rFonts w:ascii="Arial" w:hAnsi="Arial" w:cs="Arial"/>
          <w:b/>
          <w:sz w:val="22"/>
          <w:szCs w:val="22"/>
        </w:rPr>
      </w:pPr>
    </w:p>
    <w:p w14:paraId="6CD6A603" w14:textId="77777777" w:rsidR="005032D3" w:rsidRDefault="005032D3" w:rsidP="003C45DA">
      <w:pPr>
        <w:tabs>
          <w:tab w:val="left" w:pos="284"/>
        </w:tabs>
        <w:jc w:val="both"/>
        <w:rPr>
          <w:rFonts w:ascii="Arial" w:hAnsi="Arial" w:cs="Arial"/>
          <w:b/>
          <w:sz w:val="22"/>
          <w:szCs w:val="22"/>
        </w:rPr>
      </w:pPr>
    </w:p>
    <w:p w14:paraId="31631730" w14:textId="77777777" w:rsidR="005032D3" w:rsidRDefault="005032D3" w:rsidP="003C45DA">
      <w:pPr>
        <w:tabs>
          <w:tab w:val="left" w:pos="284"/>
        </w:tabs>
        <w:jc w:val="both"/>
        <w:rPr>
          <w:rFonts w:ascii="Arial" w:hAnsi="Arial" w:cs="Arial"/>
          <w:b/>
          <w:sz w:val="22"/>
          <w:szCs w:val="22"/>
        </w:rPr>
      </w:pPr>
    </w:p>
    <w:p w14:paraId="0311773D" w14:textId="77777777" w:rsidR="005032D3" w:rsidRDefault="005032D3" w:rsidP="003C45DA">
      <w:pPr>
        <w:tabs>
          <w:tab w:val="left" w:pos="284"/>
        </w:tabs>
        <w:jc w:val="both"/>
        <w:rPr>
          <w:rFonts w:ascii="Arial" w:hAnsi="Arial" w:cs="Arial"/>
          <w:b/>
          <w:sz w:val="22"/>
          <w:szCs w:val="22"/>
        </w:rPr>
      </w:pPr>
    </w:p>
    <w:p w14:paraId="46F1847E" w14:textId="77777777" w:rsidR="005032D3" w:rsidRPr="008A0A4E" w:rsidRDefault="005032D3" w:rsidP="003C45DA">
      <w:pPr>
        <w:tabs>
          <w:tab w:val="left" w:pos="284"/>
        </w:tabs>
        <w:jc w:val="both"/>
        <w:rPr>
          <w:rFonts w:ascii="Arial" w:hAnsi="Arial" w:cs="Arial"/>
          <w:b/>
          <w:sz w:val="22"/>
          <w:szCs w:val="22"/>
        </w:rPr>
      </w:pPr>
    </w:p>
    <w:p w14:paraId="6C906C65" w14:textId="77777777" w:rsidR="003C45DA" w:rsidRPr="008A0A4E" w:rsidRDefault="003C45DA" w:rsidP="003C45DA">
      <w:pPr>
        <w:tabs>
          <w:tab w:val="left" w:pos="284"/>
        </w:tabs>
        <w:jc w:val="both"/>
        <w:rPr>
          <w:rFonts w:ascii="Arial" w:hAnsi="Arial" w:cs="Arial"/>
          <w:b/>
          <w:sz w:val="22"/>
          <w:szCs w:val="22"/>
        </w:rPr>
      </w:pPr>
      <w:r w:rsidRPr="008A0A4E">
        <w:rPr>
          <w:rFonts w:ascii="Arial" w:hAnsi="Arial" w:cs="Arial"/>
          <w:b/>
          <w:sz w:val="22"/>
          <w:szCs w:val="22"/>
        </w:rPr>
        <w:t>3.</w:t>
      </w:r>
      <w:r w:rsidRPr="008A0A4E">
        <w:rPr>
          <w:rFonts w:ascii="Arial" w:hAnsi="Arial" w:cs="Arial"/>
          <w:b/>
          <w:sz w:val="22"/>
          <w:szCs w:val="22"/>
        </w:rPr>
        <w:tab/>
        <w:t xml:space="preserve"> Basis of preparation</w:t>
      </w:r>
    </w:p>
    <w:p w14:paraId="7B9B6243" w14:textId="77777777" w:rsidR="003C45DA" w:rsidRPr="008A0A4E" w:rsidRDefault="003C45DA" w:rsidP="003C45DA">
      <w:pPr>
        <w:tabs>
          <w:tab w:val="left" w:pos="567"/>
        </w:tabs>
        <w:jc w:val="both"/>
        <w:rPr>
          <w:rFonts w:ascii="Arial" w:hAnsi="Arial" w:cs="Arial"/>
          <w:b/>
          <w:sz w:val="22"/>
          <w:szCs w:val="22"/>
        </w:rPr>
      </w:pPr>
    </w:p>
    <w:p w14:paraId="1315A30C" w14:textId="2437F6AF" w:rsidR="003C45DA" w:rsidRPr="008A0A4E" w:rsidRDefault="003C45DA" w:rsidP="003C45DA">
      <w:pPr>
        <w:tabs>
          <w:tab w:val="left" w:pos="284"/>
        </w:tabs>
        <w:ind w:left="284"/>
        <w:jc w:val="both"/>
        <w:rPr>
          <w:rFonts w:ascii="Arial" w:hAnsi="Arial" w:cs="Arial"/>
          <w:sz w:val="22"/>
          <w:szCs w:val="22"/>
        </w:rPr>
      </w:pPr>
      <w:r w:rsidRPr="00C15B4D">
        <w:rPr>
          <w:rFonts w:ascii="Arial" w:hAnsi="Arial" w:cs="Arial"/>
          <w:sz w:val="22"/>
          <w:szCs w:val="22"/>
        </w:rPr>
        <w:t xml:space="preserve">The accounts </w:t>
      </w:r>
      <w:r w:rsidRPr="000B432D">
        <w:rPr>
          <w:rFonts w:ascii="Arial" w:hAnsi="Arial" w:cs="Arial"/>
          <w:sz w:val="22"/>
          <w:szCs w:val="22"/>
        </w:rPr>
        <w:t xml:space="preserve">summarise the transactions and net assets for the Fund’s transactions for the </w:t>
      </w:r>
      <w:r w:rsidR="002437E5" w:rsidRPr="000B432D">
        <w:rPr>
          <w:rFonts w:ascii="Arial" w:hAnsi="Arial" w:cs="Arial"/>
          <w:sz w:val="22"/>
          <w:szCs w:val="22"/>
        </w:rPr>
        <w:t>20</w:t>
      </w:r>
      <w:r w:rsidR="00C15B4D" w:rsidRPr="000B432D">
        <w:rPr>
          <w:rFonts w:ascii="Arial" w:hAnsi="Arial" w:cs="Arial"/>
          <w:sz w:val="22"/>
          <w:szCs w:val="22"/>
        </w:rPr>
        <w:t>2</w:t>
      </w:r>
      <w:r w:rsidR="00B816C7">
        <w:rPr>
          <w:rFonts w:ascii="Arial" w:hAnsi="Arial" w:cs="Arial"/>
          <w:sz w:val="22"/>
          <w:szCs w:val="22"/>
        </w:rPr>
        <w:t>4</w:t>
      </w:r>
      <w:r w:rsidR="00527A01">
        <w:rPr>
          <w:rFonts w:ascii="Arial" w:hAnsi="Arial" w:cs="Arial"/>
          <w:sz w:val="22"/>
          <w:szCs w:val="22"/>
        </w:rPr>
        <w:t>/2</w:t>
      </w:r>
      <w:r w:rsidR="00B816C7">
        <w:rPr>
          <w:rFonts w:ascii="Arial" w:hAnsi="Arial" w:cs="Arial"/>
          <w:sz w:val="22"/>
          <w:szCs w:val="22"/>
        </w:rPr>
        <w:t>5</w:t>
      </w:r>
      <w:r w:rsidRPr="000B432D">
        <w:rPr>
          <w:rFonts w:ascii="Arial" w:hAnsi="Arial" w:cs="Arial"/>
          <w:sz w:val="22"/>
          <w:szCs w:val="22"/>
        </w:rPr>
        <w:t xml:space="preserve"> financial year and its position as </w:t>
      </w:r>
      <w:proofErr w:type="gramStart"/>
      <w:r w:rsidRPr="000B432D">
        <w:rPr>
          <w:rFonts w:ascii="Arial" w:hAnsi="Arial" w:cs="Arial"/>
          <w:sz w:val="22"/>
          <w:szCs w:val="22"/>
        </w:rPr>
        <w:t>at</w:t>
      </w:r>
      <w:proofErr w:type="gramEnd"/>
      <w:r w:rsidRPr="000B432D">
        <w:rPr>
          <w:rFonts w:ascii="Arial" w:hAnsi="Arial" w:cs="Arial"/>
          <w:sz w:val="22"/>
          <w:szCs w:val="22"/>
        </w:rPr>
        <w:t xml:space="preserve"> 31 March 20</w:t>
      </w:r>
      <w:r w:rsidR="001110BC" w:rsidRPr="000B432D">
        <w:rPr>
          <w:rFonts w:ascii="Arial" w:hAnsi="Arial" w:cs="Arial"/>
          <w:sz w:val="22"/>
          <w:szCs w:val="22"/>
        </w:rPr>
        <w:t>2</w:t>
      </w:r>
      <w:r w:rsidR="00B816C7">
        <w:rPr>
          <w:rFonts w:ascii="Arial" w:hAnsi="Arial" w:cs="Arial"/>
          <w:sz w:val="22"/>
          <w:szCs w:val="22"/>
        </w:rPr>
        <w:t>5</w:t>
      </w:r>
      <w:r w:rsidRPr="000B432D">
        <w:rPr>
          <w:rFonts w:ascii="Arial" w:hAnsi="Arial" w:cs="Arial"/>
          <w:sz w:val="22"/>
          <w:szCs w:val="22"/>
        </w:rPr>
        <w:t xml:space="preserve">. The accounts have been prepared in </w:t>
      </w:r>
      <w:r w:rsidRPr="00532515">
        <w:rPr>
          <w:rFonts w:ascii="Arial" w:hAnsi="Arial" w:cs="Arial"/>
          <w:sz w:val="22"/>
          <w:szCs w:val="22"/>
        </w:rPr>
        <w:t xml:space="preserve">accordance with the Code of Practice for Local Authority Accounting in the United Kingdom </w:t>
      </w:r>
      <w:r w:rsidR="002437E5" w:rsidRPr="00532515">
        <w:rPr>
          <w:rFonts w:ascii="Arial" w:hAnsi="Arial" w:cs="Arial"/>
          <w:sz w:val="22"/>
          <w:szCs w:val="22"/>
        </w:rPr>
        <w:t>202</w:t>
      </w:r>
      <w:r w:rsidR="00B816C7">
        <w:rPr>
          <w:rFonts w:ascii="Arial" w:hAnsi="Arial" w:cs="Arial"/>
          <w:sz w:val="22"/>
          <w:szCs w:val="22"/>
        </w:rPr>
        <w:t>4</w:t>
      </w:r>
      <w:r w:rsidR="00532515" w:rsidRPr="00532515">
        <w:rPr>
          <w:rFonts w:ascii="Arial" w:hAnsi="Arial" w:cs="Arial"/>
          <w:sz w:val="22"/>
          <w:szCs w:val="22"/>
        </w:rPr>
        <w:t>/2</w:t>
      </w:r>
      <w:r w:rsidR="00B816C7">
        <w:rPr>
          <w:rFonts w:ascii="Arial" w:hAnsi="Arial" w:cs="Arial"/>
          <w:sz w:val="22"/>
          <w:szCs w:val="22"/>
        </w:rPr>
        <w:t>5</w:t>
      </w:r>
      <w:r w:rsidRPr="00532515">
        <w:rPr>
          <w:rFonts w:ascii="Arial" w:hAnsi="Arial" w:cs="Arial"/>
          <w:sz w:val="22"/>
          <w:szCs w:val="22"/>
        </w:rPr>
        <w:t>.</w:t>
      </w:r>
      <w:r w:rsidRPr="000B432D">
        <w:rPr>
          <w:rFonts w:ascii="Arial" w:hAnsi="Arial" w:cs="Arial"/>
          <w:sz w:val="22"/>
          <w:szCs w:val="22"/>
        </w:rPr>
        <w:t xml:space="preserve"> The</w:t>
      </w:r>
      <w:r w:rsidRPr="00C15B4D">
        <w:rPr>
          <w:rFonts w:ascii="Arial" w:hAnsi="Arial" w:cs="Arial"/>
          <w:sz w:val="22"/>
          <w:szCs w:val="22"/>
        </w:rPr>
        <w:t xml:space="preserve"> financial statements do not reflect any liabilities to pay pension or other benefits occurring after 31 March 20</w:t>
      </w:r>
      <w:r w:rsidR="009835D6" w:rsidRPr="00C15B4D">
        <w:rPr>
          <w:rFonts w:ascii="Arial" w:hAnsi="Arial" w:cs="Arial"/>
          <w:sz w:val="22"/>
          <w:szCs w:val="22"/>
        </w:rPr>
        <w:t>2</w:t>
      </w:r>
      <w:r w:rsidR="00B816C7">
        <w:rPr>
          <w:rFonts w:ascii="Arial" w:hAnsi="Arial" w:cs="Arial"/>
          <w:sz w:val="22"/>
          <w:szCs w:val="22"/>
        </w:rPr>
        <w:t>5</w:t>
      </w:r>
      <w:r w:rsidRPr="00C15B4D">
        <w:rPr>
          <w:rFonts w:ascii="Arial" w:hAnsi="Arial" w:cs="Arial"/>
          <w:sz w:val="22"/>
          <w:szCs w:val="22"/>
        </w:rPr>
        <w:t xml:space="preserve">. Such items are reported separately in the Actuary’s Report provided in Note </w:t>
      </w:r>
      <w:r w:rsidR="004C159A" w:rsidRPr="00C15B4D">
        <w:rPr>
          <w:rFonts w:ascii="Arial" w:hAnsi="Arial" w:cs="Arial"/>
          <w:sz w:val="22"/>
          <w:szCs w:val="22"/>
        </w:rPr>
        <w:t>20</w:t>
      </w:r>
      <w:r w:rsidRPr="00C15B4D">
        <w:rPr>
          <w:rFonts w:ascii="Arial" w:hAnsi="Arial" w:cs="Arial"/>
          <w:sz w:val="22"/>
          <w:szCs w:val="22"/>
        </w:rPr>
        <w:t xml:space="preserve"> to the Fund’s accounts.</w:t>
      </w:r>
    </w:p>
    <w:p w14:paraId="401CBCD4" w14:textId="77777777" w:rsidR="003C45DA" w:rsidRPr="008A0A4E" w:rsidRDefault="003C45DA" w:rsidP="003C45DA">
      <w:pPr>
        <w:tabs>
          <w:tab w:val="left" w:pos="284"/>
        </w:tabs>
        <w:ind w:left="284" w:hanging="425"/>
        <w:jc w:val="both"/>
        <w:rPr>
          <w:rFonts w:ascii="Arial" w:hAnsi="Arial" w:cs="Arial"/>
          <w:sz w:val="22"/>
          <w:szCs w:val="22"/>
        </w:rPr>
      </w:pPr>
    </w:p>
    <w:p w14:paraId="03A1FAA7" w14:textId="77777777" w:rsidR="00404A90" w:rsidRDefault="003C45DA" w:rsidP="003C45DA">
      <w:pPr>
        <w:tabs>
          <w:tab w:val="left" w:pos="284"/>
        </w:tabs>
        <w:ind w:left="284"/>
        <w:jc w:val="both"/>
        <w:rPr>
          <w:rFonts w:ascii="Arial" w:hAnsi="Arial" w:cs="Arial"/>
          <w:sz w:val="22"/>
          <w:szCs w:val="22"/>
        </w:rPr>
      </w:pPr>
      <w:r w:rsidRPr="008A0A4E">
        <w:rPr>
          <w:rFonts w:ascii="Arial" w:hAnsi="Arial" w:cs="Arial"/>
          <w:sz w:val="22"/>
          <w:szCs w:val="22"/>
        </w:rPr>
        <w:t xml:space="preserve">The accounts have been prepared on an </w:t>
      </w:r>
      <w:proofErr w:type="gramStart"/>
      <w:r w:rsidRPr="008A0A4E">
        <w:rPr>
          <w:rFonts w:ascii="Arial" w:hAnsi="Arial" w:cs="Arial"/>
          <w:sz w:val="22"/>
          <w:szCs w:val="22"/>
        </w:rPr>
        <w:t>accruals</w:t>
      </w:r>
      <w:proofErr w:type="gramEnd"/>
      <w:r w:rsidRPr="008A0A4E">
        <w:rPr>
          <w:rFonts w:ascii="Arial" w:hAnsi="Arial" w:cs="Arial"/>
          <w:sz w:val="22"/>
          <w:szCs w:val="22"/>
        </w:rPr>
        <w:t xml:space="preserve"> basis (that is income and expenditure are recognised as earned or incurred, not as received and paid) except in the case of transfer values which are included in the accounts on a cash basis. </w:t>
      </w:r>
    </w:p>
    <w:p w14:paraId="08F6C409" w14:textId="77777777" w:rsidR="00404A90" w:rsidRDefault="00404A90" w:rsidP="003C45DA">
      <w:pPr>
        <w:tabs>
          <w:tab w:val="left" w:pos="284"/>
        </w:tabs>
        <w:ind w:left="284"/>
        <w:jc w:val="both"/>
        <w:rPr>
          <w:rFonts w:ascii="Arial" w:hAnsi="Arial" w:cs="Arial"/>
          <w:sz w:val="22"/>
          <w:szCs w:val="22"/>
        </w:rPr>
      </w:pPr>
    </w:p>
    <w:p w14:paraId="54FE5892" w14:textId="0899F041" w:rsidR="00112C23" w:rsidRPr="00A20075" w:rsidRDefault="003C45DA" w:rsidP="00A20075">
      <w:pPr>
        <w:tabs>
          <w:tab w:val="left" w:pos="284"/>
        </w:tabs>
        <w:ind w:left="284"/>
        <w:jc w:val="both"/>
        <w:rPr>
          <w:rFonts w:ascii="Arial" w:hAnsi="Arial" w:cs="Arial"/>
          <w:sz w:val="22"/>
          <w:szCs w:val="22"/>
        </w:rPr>
      </w:pPr>
      <w:r w:rsidRPr="008A0A4E">
        <w:rPr>
          <w:rFonts w:ascii="Arial" w:hAnsi="Arial" w:cs="Arial"/>
          <w:sz w:val="22"/>
          <w:szCs w:val="22"/>
        </w:rPr>
        <w:t>The Pension Fund Accounts have been prepared on a going concern basis.</w:t>
      </w:r>
      <w:r w:rsidR="00404A90">
        <w:rPr>
          <w:rFonts w:ascii="Arial" w:hAnsi="Arial" w:cs="Arial"/>
          <w:sz w:val="22"/>
          <w:szCs w:val="22"/>
        </w:rPr>
        <w:t xml:space="preserve"> </w:t>
      </w:r>
      <w:proofErr w:type="gramStart"/>
      <w:r w:rsidR="00EC288E">
        <w:rPr>
          <w:rFonts w:ascii="Arial" w:hAnsi="Arial" w:cs="Arial"/>
          <w:sz w:val="22"/>
          <w:szCs w:val="22"/>
        </w:rPr>
        <w:t>T</w:t>
      </w:r>
      <w:r w:rsidR="00404A90" w:rsidRPr="00404A90">
        <w:rPr>
          <w:rFonts w:ascii="Arial" w:hAnsi="Arial" w:cs="Arial"/>
          <w:sz w:val="22"/>
          <w:szCs w:val="22"/>
        </w:rPr>
        <w:t>he vast majority of</w:t>
      </w:r>
      <w:proofErr w:type="gramEnd"/>
      <w:r w:rsidR="00404A90" w:rsidRPr="00404A90">
        <w:rPr>
          <w:rFonts w:ascii="Arial" w:hAnsi="Arial" w:cs="Arial"/>
          <w:sz w:val="22"/>
          <w:szCs w:val="22"/>
        </w:rPr>
        <w:t xml:space="preserve"> employers in the pension scheme are scheduled bodies that have secure public sector funding, and therefore there should be no doubt in their ability to continue to make their pension contributions. Following the latest actuarial valuation and schedule of employer contribution prepayments, the Pension Fund has reviewed its cashflow forecast and is confident in its ability to meet is ongoing obligations to pay pensions from its cash balance for at least 12 months from the date of signing the accounts. </w:t>
      </w:r>
      <w:proofErr w:type="gramStart"/>
      <w:r w:rsidR="00404A90" w:rsidRPr="00404A90">
        <w:rPr>
          <w:rFonts w:ascii="Arial" w:hAnsi="Arial" w:cs="Arial"/>
          <w:sz w:val="22"/>
          <w:szCs w:val="22"/>
        </w:rPr>
        <w:t>In the event that</w:t>
      </w:r>
      <w:proofErr w:type="gramEnd"/>
      <w:r w:rsidR="00404A90" w:rsidRPr="00404A90">
        <w:rPr>
          <w:rFonts w:ascii="Arial" w:hAnsi="Arial" w:cs="Arial"/>
          <w:sz w:val="22"/>
          <w:szCs w:val="22"/>
        </w:rPr>
        <w:t xml:space="preserve"> investments need to be sold, </w:t>
      </w:r>
      <w:r w:rsidR="009B6047" w:rsidRPr="00DE3411">
        <w:rPr>
          <w:rFonts w:ascii="Arial" w:hAnsi="Arial" w:cs="Arial"/>
          <w:sz w:val="22"/>
          <w:szCs w:val="22"/>
        </w:rPr>
        <w:t>9</w:t>
      </w:r>
      <w:r w:rsidR="00DE3411" w:rsidRPr="00DE3411">
        <w:rPr>
          <w:rFonts w:ascii="Arial" w:hAnsi="Arial" w:cs="Arial"/>
          <w:sz w:val="22"/>
          <w:szCs w:val="22"/>
        </w:rPr>
        <w:t>2</w:t>
      </w:r>
      <w:r w:rsidR="00404A90" w:rsidRPr="00404A90">
        <w:rPr>
          <w:rFonts w:ascii="Arial" w:hAnsi="Arial" w:cs="Arial"/>
          <w:sz w:val="22"/>
          <w:szCs w:val="22"/>
        </w:rPr>
        <w:t>% of the Fund’s investments can be converted into cash within 3 months.</w:t>
      </w:r>
    </w:p>
    <w:p w14:paraId="719B638C" w14:textId="77777777" w:rsidR="00CB1F3B" w:rsidRPr="00B64150" w:rsidRDefault="00CB1F3B" w:rsidP="00457B79">
      <w:pPr>
        <w:tabs>
          <w:tab w:val="left" w:pos="284"/>
        </w:tabs>
        <w:jc w:val="both"/>
        <w:rPr>
          <w:rFonts w:ascii="Arial" w:hAnsi="Arial" w:cs="Arial"/>
          <w:b/>
          <w:sz w:val="22"/>
          <w:szCs w:val="22"/>
        </w:rPr>
      </w:pPr>
    </w:p>
    <w:p w14:paraId="6D073026" w14:textId="63851031" w:rsidR="003C45DA" w:rsidRPr="008A0A4E" w:rsidRDefault="003C45DA" w:rsidP="009B2BEE">
      <w:pPr>
        <w:tabs>
          <w:tab w:val="left" w:pos="284"/>
        </w:tabs>
        <w:jc w:val="both"/>
        <w:rPr>
          <w:rFonts w:ascii="Arial" w:hAnsi="Arial" w:cs="Arial"/>
          <w:b/>
          <w:sz w:val="22"/>
          <w:szCs w:val="22"/>
        </w:rPr>
      </w:pPr>
      <w:r w:rsidRPr="008A0A4E">
        <w:rPr>
          <w:rFonts w:ascii="Arial" w:hAnsi="Arial" w:cs="Arial"/>
          <w:b/>
          <w:sz w:val="22"/>
          <w:szCs w:val="22"/>
        </w:rPr>
        <w:t xml:space="preserve">3.1 Contributions </w:t>
      </w:r>
      <w:r w:rsidRPr="008A0A4E">
        <w:rPr>
          <w:rFonts w:ascii="Arial" w:hAnsi="Arial" w:cs="Arial"/>
          <w:b/>
          <w:sz w:val="22"/>
          <w:szCs w:val="22"/>
          <w:lang w:eastAsia="en-US"/>
        </w:rPr>
        <w:t>(see Note 8)</w:t>
      </w:r>
    </w:p>
    <w:p w14:paraId="47CF0E00"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6D58FAED" w14:textId="57838FC8"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Primary contributions</w:t>
      </w:r>
      <w:r w:rsidR="00FB0AC0">
        <w:rPr>
          <w:rFonts w:ascii="Arial" w:hAnsi="Arial" w:cs="Arial"/>
          <w:sz w:val="22"/>
          <w:szCs w:val="22"/>
          <w:lang w:eastAsia="en-US"/>
        </w:rPr>
        <w:t xml:space="preserve"> </w:t>
      </w:r>
      <w:r w:rsidRPr="008A0A4E">
        <w:rPr>
          <w:rFonts w:ascii="Arial" w:hAnsi="Arial" w:cs="Arial"/>
          <w:sz w:val="22"/>
          <w:szCs w:val="22"/>
          <w:lang w:eastAsia="en-US"/>
        </w:rPr>
        <w:t>from the employer, are accounted for on an accruals basis at the percentage rate recommended by the actuary in the payroll period to which they relate.</w:t>
      </w:r>
      <w:r w:rsidR="00FB0AC0">
        <w:rPr>
          <w:rFonts w:ascii="Arial" w:hAnsi="Arial" w:cs="Arial"/>
          <w:sz w:val="22"/>
          <w:szCs w:val="22"/>
          <w:lang w:eastAsia="en-US"/>
        </w:rPr>
        <w:t xml:space="preserve"> </w:t>
      </w:r>
      <w:r w:rsidR="007C385D">
        <w:rPr>
          <w:rFonts w:ascii="Arial" w:hAnsi="Arial" w:cs="Arial"/>
          <w:sz w:val="22"/>
          <w:szCs w:val="22"/>
          <w:lang w:eastAsia="en-US"/>
        </w:rPr>
        <w:t xml:space="preserve">Contributions </w:t>
      </w:r>
      <w:r w:rsidR="005B2F6E">
        <w:rPr>
          <w:rFonts w:ascii="Arial" w:hAnsi="Arial" w:cs="Arial"/>
          <w:sz w:val="22"/>
          <w:szCs w:val="22"/>
          <w:lang w:eastAsia="en-US"/>
        </w:rPr>
        <w:t xml:space="preserve">rates </w:t>
      </w:r>
      <w:r w:rsidR="007C385D">
        <w:rPr>
          <w:rFonts w:ascii="Arial" w:hAnsi="Arial" w:cs="Arial"/>
          <w:sz w:val="22"/>
          <w:szCs w:val="22"/>
          <w:lang w:eastAsia="en-US"/>
        </w:rPr>
        <w:t xml:space="preserve">from </w:t>
      </w:r>
      <w:r w:rsidR="00FB0AC0" w:rsidRPr="008A0A4E">
        <w:rPr>
          <w:rFonts w:ascii="Arial" w:hAnsi="Arial" w:cs="Arial"/>
          <w:sz w:val="22"/>
          <w:szCs w:val="22"/>
          <w:lang w:eastAsia="en-US"/>
        </w:rPr>
        <w:t xml:space="preserve">members </w:t>
      </w:r>
      <w:r w:rsidR="005B2F6E">
        <w:rPr>
          <w:rFonts w:ascii="Arial" w:hAnsi="Arial" w:cs="Arial"/>
          <w:sz w:val="22"/>
          <w:szCs w:val="22"/>
          <w:lang w:eastAsia="en-US"/>
        </w:rPr>
        <w:t>are set</w:t>
      </w:r>
      <w:r w:rsidR="00384B89" w:rsidRPr="00384B89">
        <w:rPr>
          <w:rFonts w:ascii="Arial" w:hAnsi="Arial" w:cs="Arial"/>
          <w:sz w:val="22"/>
          <w:szCs w:val="22"/>
          <w:lang w:eastAsia="en-US"/>
        </w:rPr>
        <w:t xml:space="preserve"> in accordance with the LGPS Regulations 200</w:t>
      </w:r>
      <w:r w:rsidR="005B2F6E">
        <w:rPr>
          <w:rFonts w:ascii="Arial" w:hAnsi="Arial" w:cs="Arial"/>
          <w:sz w:val="22"/>
          <w:szCs w:val="22"/>
          <w:lang w:eastAsia="en-US"/>
        </w:rPr>
        <w:t xml:space="preserve">7. </w:t>
      </w:r>
    </w:p>
    <w:p w14:paraId="099F49A4"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3ED8CFA7"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Secondary contributions are accounted for on the due dates on which they are due under the schedule of contributions set by the actuary or on receipt if earlier than the due date.</w:t>
      </w:r>
    </w:p>
    <w:p w14:paraId="1EA3008D"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6E58F49E"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Employer’s augmentation and pension strain contributions are accounted for in the period in which the liability arises. Any amount due in year but unpaid is classed as a current financial asset.</w:t>
      </w:r>
    </w:p>
    <w:p w14:paraId="65AD319B" w14:textId="77777777" w:rsidR="003C45DA" w:rsidRPr="008A0A4E" w:rsidRDefault="003C45DA" w:rsidP="003C45DA">
      <w:pPr>
        <w:tabs>
          <w:tab w:val="left" w:pos="284"/>
          <w:tab w:val="left" w:pos="567"/>
        </w:tabs>
        <w:ind w:left="284" w:hanging="284"/>
        <w:jc w:val="both"/>
        <w:rPr>
          <w:rFonts w:ascii="Arial" w:hAnsi="Arial" w:cs="Arial"/>
          <w:b/>
          <w:sz w:val="22"/>
          <w:szCs w:val="22"/>
        </w:rPr>
      </w:pPr>
    </w:p>
    <w:p w14:paraId="4054E9D7" w14:textId="77777777" w:rsidR="003C45DA" w:rsidRPr="008A0A4E" w:rsidRDefault="003C45DA" w:rsidP="003C45DA">
      <w:pPr>
        <w:tabs>
          <w:tab w:val="left" w:pos="284"/>
        </w:tabs>
        <w:ind w:left="284" w:hanging="284"/>
        <w:jc w:val="both"/>
        <w:rPr>
          <w:rFonts w:ascii="Arial" w:hAnsi="Arial" w:cs="Arial"/>
          <w:b/>
          <w:sz w:val="22"/>
          <w:szCs w:val="22"/>
        </w:rPr>
      </w:pPr>
      <w:r w:rsidRPr="008A0A4E">
        <w:rPr>
          <w:rFonts w:ascii="Arial" w:hAnsi="Arial" w:cs="Arial"/>
          <w:b/>
          <w:sz w:val="22"/>
          <w:szCs w:val="22"/>
        </w:rPr>
        <w:t xml:space="preserve">3.2 Transfers to and from other schemes </w:t>
      </w:r>
      <w:r w:rsidRPr="008A0A4E">
        <w:rPr>
          <w:rFonts w:ascii="Arial" w:hAnsi="Arial" w:cs="Arial"/>
          <w:b/>
          <w:sz w:val="22"/>
          <w:szCs w:val="22"/>
          <w:lang w:eastAsia="en-US"/>
        </w:rPr>
        <w:t>(see Note 9)</w:t>
      </w:r>
    </w:p>
    <w:p w14:paraId="149BB17A"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33F45D07" w14:textId="77777777" w:rsidR="003C45DA" w:rsidRPr="008A0A4E" w:rsidRDefault="003C45DA" w:rsidP="003C45DA">
      <w:pPr>
        <w:tabs>
          <w:tab w:val="left" w:pos="284"/>
          <w:tab w:val="left" w:pos="567"/>
        </w:tabs>
        <w:ind w:left="284" w:hanging="284"/>
        <w:jc w:val="both"/>
        <w:rPr>
          <w:rFonts w:ascii="Arial" w:eastAsia="Calibri" w:hAnsi="Arial" w:cs="Arial"/>
          <w:sz w:val="22"/>
          <w:szCs w:val="22"/>
        </w:rPr>
      </w:pPr>
      <w:r w:rsidRPr="008A0A4E">
        <w:rPr>
          <w:rFonts w:ascii="Arial" w:hAnsi="Arial" w:cs="Arial"/>
          <w:sz w:val="22"/>
          <w:szCs w:val="22"/>
          <w:lang w:eastAsia="en-US"/>
        </w:rPr>
        <w:tab/>
        <w:t xml:space="preserve">Transfer values represent the amounts received and paid during the year for members who have either joined or left the Fund during the financial year and are calculated in accordance with the LGPS Regulations. </w:t>
      </w:r>
      <w:r w:rsidRPr="008A0A4E">
        <w:rPr>
          <w:rFonts w:ascii="Arial" w:eastAsia="Calibri" w:hAnsi="Arial" w:cs="Arial"/>
          <w:sz w:val="22"/>
          <w:szCs w:val="22"/>
        </w:rPr>
        <w:t>Transfer Values to/from other funds, for individuals, are included in the accounts based on the actual amounts received and paid in the year.</w:t>
      </w:r>
    </w:p>
    <w:p w14:paraId="40A1A8DD"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14D7FF87"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Transfers in from members wishing to use the proceeds of their additional voluntary contributions to purchase scheme benefits are accounted for on a receipts basis and are included in Transfers In.</w:t>
      </w:r>
    </w:p>
    <w:p w14:paraId="3D729E55"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7130F6DF"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 xml:space="preserve">Individual transfers in/out are accounted for when received/paid, which is normally when the member liability is accepted or discharged. Bulk (group) transfers are accounted for on an </w:t>
      </w:r>
      <w:proofErr w:type="gramStart"/>
      <w:r w:rsidRPr="008A0A4E">
        <w:rPr>
          <w:rFonts w:ascii="Arial" w:hAnsi="Arial" w:cs="Arial"/>
          <w:sz w:val="22"/>
          <w:szCs w:val="22"/>
          <w:lang w:eastAsia="en-US"/>
        </w:rPr>
        <w:t>accruals</w:t>
      </w:r>
      <w:proofErr w:type="gramEnd"/>
      <w:r w:rsidRPr="008A0A4E">
        <w:rPr>
          <w:rFonts w:ascii="Arial" w:hAnsi="Arial" w:cs="Arial"/>
          <w:sz w:val="22"/>
          <w:szCs w:val="22"/>
          <w:lang w:eastAsia="en-US"/>
        </w:rPr>
        <w:t xml:space="preserve"> basis in accordance with the terms of the transfer agreement.</w:t>
      </w:r>
    </w:p>
    <w:p w14:paraId="7E7BBA99" w14:textId="77777777" w:rsidR="003C45DA" w:rsidRPr="008A0A4E" w:rsidRDefault="003C45DA" w:rsidP="003C45DA">
      <w:pPr>
        <w:tabs>
          <w:tab w:val="left" w:pos="567"/>
        </w:tabs>
        <w:jc w:val="both"/>
        <w:rPr>
          <w:rFonts w:ascii="Arial" w:hAnsi="Arial" w:cs="Arial"/>
          <w:sz w:val="22"/>
          <w:szCs w:val="22"/>
        </w:rPr>
      </w:pPr>
    </w:p>
    <w:p w14:paraId="6BB28DDE" w14:textId="6DA1E735" w:rsidR="003C45DA" w:rsidRPr="008A0A4E" w:rsidRDefault="003C45DA" w:rsidP="003C45DA">
      <w:pPr>
        <w:tabs>
          <w:tab w:val="left" w:pos="426"/>
        </w:tabs>
        <w:jc w:val="both"/>
        <w:rPr>
          <w:rFonts w:ascii="Arial" w:hAnsi="Arial" w:cs="Arial"/>
          <w:b/>
          <w:sz w:val="22"/>
          <w:szCs w:val="22"/>
        </w:rPr>
      </w:pPr>
      <w:r w:rsidRPr="008A0A4E">
        <w:rPr>
          <w:rFonts w:ascii="Arial" w:hAnsi="Arial" w:cs="Arial"/>
          <w:b/>
          <w:bCs/>
          <w:iCs/>
          <w:sz w:val="22"/>
          <w:szCs w:val="22"/>
        </w:rPr>
        <w:t>3.3</w:t>
      </w:r>
      <w:r w:rsidRPr="008A0A4E">
        <w:rPr>
          <w:rFonts w:ascii="Arial" w:hAnsi="Arial" w:cs="Arial"/>
          <w:b/>
          <w:bCs/>
          <w:iCs/>
          <w:sz w:val="22"/>
          <w:szCs w:val="22"/>
        </w:rPr>
        <w:tab/>
        <w:t xml:space="preserve">Investment income </w:t>
      </w:r>
      <w:r w:rsidRPr="008A0A4E">
        <w:rPr>
          <w:rFonts w:ascii="Arial" w:hAnsi="Arial" w:cs="Arial"/>
          <w:b/>
          <w:sz w:val="22"/>
          <w:szCs w:val="22"/>
          <w:lang w:eastAsia="en-US"/>
        </w:rPr>
        <w:t>(see Note 1</w:t>
      </w:r>
      <w:r w:rsidR="0015084C">
        <w:rPr>
          <w:rFonts w:ascii="Arial" w:hAnsi="Arial" w:cs="Arial"/>
          <w:b/>
          <w:sz w:val="22"/>
          <w:szCs w:val="22"/>
          <w:lang w:eastAsia="en-US"/>
        </w:rPr>
        <w:t>4</w:t>
      </w:r>
      <w:r w:rsidRPr="008A0A4E">
        <w:rPr>
          <w:rFonts w:ascii="Arial" w:hAnsi="Arial" w:cs="Arial"/>
          <w:b/>
          <w:sz w:val="22"/>
          <w:szCs w:val="22"/>
          <w:lang w:eastAsia="en-US"/>
        </w:rPr>
        <w:t>)</w:t>
      </w:r>
    </w:p>
    <w:p w14:paraId="3BF97B74" w14:textId="77777777" w:rsidR="003C45DA" w:rsidRPr="008A0A4E" w:rsidRDefault="003C45DA" w:rsidP="003C45DA">
      <w:pPr>
        <w:pStyle w:val="Default"/>
        <w:ind w:left="851" w:hanging="284"/>
        <w:rPr>
          <w:iCs/>
          <w:sz w:val="22"/>
          <w:szCs w:val="22"/>
        </w:rPr>
      </w:pPr>
    </w:p>
    <w:p w14:paraId="6D01EA14" w14:textId="19053B5F" w:rsidR="003C45DA" w:rsidRPr="008A0A4E" w:rsidRDefault="003C45DA" w:rsidP="003C45DA">
      <w:pPr>
        <w:pStyle w:val="Default"/>
        <w:numPr>
          <w:ilvl w:val="0"/>
          <w:numId w:val="18"/>
        </w:numPr>
        <w:ind w:left="851" w:hanging="284"/>
        <w:jc w:val="both"/>
        <w:rPr>
          <w:sz w:val="22"/>
          <w:szCs w:val="22"/>
        </w:rPr>
      </w:pPr>
      <w:r w:rsidRPr="008A0A4E">
        <w:rPr>
          <w:iCs/>
          <w:sz w:val="22"/>
          <w:szCs w:val="22"/>
        </w:rPr>
        <w:t xml:space="preserve">Interest income - </w:t>
      </w:r>
      <w:r w:rsidRPr="008A0A4E">
        <w:rPr>
          <w:sz w:val="22"/>
          <w:szCs w:val="22"/>
        </w:rPr>
        <w:t xml:space="preserve">Interest income is recognised in the Fund account as it accrues. Interest from financial assets that are not carried at fair value through profit and loss, i.e. </w:t>
      </w:r>
      <w:r w:rsidR="00B25FD2" w:rsidRPr="00B25FD2">
        <w:rPr>
          <w:sz w:val="22"/>
          <w:szCs w:val="22"/>
        </w:rPr>
        <w:t>financial assets at amortised cost</w:t>
      </w:r>
      <w:r w:rsidRPr="008A0A4E">
        <w:rPr>
          <w:sz w:val="22"/>
          <w:szCs w:val="22"/>
        </w:rPr>
        <w:t xml:space="preserve">, are calculated using the effective interest basis. </w:t>
      </w:r>
    </w:p>
    <w:p w14:paraId="7D7DF267" w14:textId="77777777" w:rsidR="003C45DA" w:rsidRPr="008A0A4E" w:rsidRDefault="003C45DA" w:rsidP="003C45DA">
      <w:pPr>
        <w:pStyle w:val="Default"/>
        <w:ind w:left="851" w:hanging="284"/>
        <w:jc w:val="both"/>
        <w:rPr>
          <w:sz w:val="22"/>
          <w:szCs w:val="22"/>
        </w:rPr>
      </w:pPr>
    </w:p>
    <w:p w14:paraId="63C96468" w14:textId="77777777" w:rsidR="003C45DA" w:rsidRPr="008A0A4E" w:rsidRDefault="003C45DA" w:rsidP="003C45DA">
      <w:pPr>
        <w:pStyle w:val="Default"/>
        <w:numPr>
          <w:ilvl w:val="0"/>
          <w:numId w:val="18"/>
        </w:numPr>
        <w:ind w:left="851" w:hanging="284"/>
        <w:jc w:val="both"/>
        <w:rPr>
          <w:sz w:val="22"/>
          <w:szCs w:val="22"/>
        </w:rPr>
      </w:pPr>
      <w:r w:rsidRPr="008A0A4E">
        <w:rPr>
          <w:iCs/>
          <w:sz w:val="22"/>
          <w:szCs w:val="22"/>
        </w:rPr>
        <w:t xml:space="preserve">Dividend income - </w:t>
      </w:r>
      <w:r w:rsidRPr="008A0A4E">
        <w:rPr>
          <w:sz w:val="22"/>
          <w:szCs w:val="22"/>
        </w:rPr>
        <w:t xml:space="preserve">Dividend income is recognised on the date the shares are quoted ex-dividend. Any amount not received by the end of the reporting period is disclosed in the Net Assets Statement as a current financial asset. </w:t>
      </w:r>
    </w:p>
    <w:p w14:paraId="401DE7E3" w14:textId="77777777" w:rsidR="003C45DA" w:rsidRPr="008A0A4E" w:rsidRDefault="003C45DA" w:rsidP="003C45DA">
      <w:pPr>
        <w:pStyle w:val="Default"/>
        <w:ind w:left="851" w:hanging="284"/>
        <w:jc w:val="both"/>
        <w:rPr>
          <w:sz w:val="22"/>
          <w:szCs w:val="22"/>
        </w:rPr>
      </w:pPr>
    </w:p>
    <w:p w14:paraId="5655BDD7" w14:textId="77777777" w:rsidR="003C45DA" w:rsidRPr="008A0A4E" w:rsidRDefault="003C45DA" w:rsidP="003C45DA">
      <w:pPr>
        <w:pStyle w:val="Default"/>
        <w:numPr>
          <w:ilvl w:val="0"/>
          <w:numId w:val="18"/>
        </w:numPr>
        <w:ind w:left="851" w:hanging="284"/>
        <w:jc w:val="both"/>
        <w:rPr>
          <w:sz w:val="22"/>
          <w:szCs w:val="22"/>
        </w:rPr>
      </w:pPr>
      <w:r w:rsidRPr="008A0A4E">
        <w:rPr>
          <w:sz w:val="22"/>
          <w:szCs w:val="22"/>
        </w:rPr>
        <w:t>Movement in the net market value of investments - Changes in the net market value of investments are recognised as income and comprise all realised and unrealised profits/loss during the year.</w:t>
      </w:r>
    </w:p>
    <w:p w14:paraId="3260BACC" w14:textId="77777777" w:rsidR="003C45DA" w:rsidRPr="008A0A4E" w:rsidRDefault="003C45DA" w:rsidP="003C45DA">
      <w:pPr>
        <w:pStyle w:val="Default"/>
        <w:ind w:left="709"/>
        <w:jc w:val="both"/>
        <w:rPr>
          <w:sz w:val="22"/>
          <w:szCs w:val="22"/>
        </w:rPr>
      </w:pPr>
    </w:p>
    <w:p w14:paraId="43EAE7D8" w14:textId="7E2FB407" w:rsidR="003C45DA" w:rsidRPr="008A0A4E" w:rsidRDefault="003C45DA" w:rsidP="003C45DA">
      <w:pPr>
        <w:tabs>
          <w:tab w:val="left" w:pos="567"/>
        </w:tabs>
        <w:ind w:left="425" w:hanging="425"/>
        <w:jc w:val="both"/>
        <w:rPr>
          <w:rFonts w:ascii="Arial" w:hAnsi="Arial" w:cs="Arial"/>
          <w:sz w:val="22"/>
          <w:szCs w:val="22"/>
        </w:rPr>
      </w:pPr>
      <w:r w:rsidRPr="008A0A4E">
        <w:rPr>
          <w:rFonts w:ascii="Arial" w:hAnsi="Arial" w:cs="Arial"/>
          <w:b/>
          <w:sz w:val="22"/>
          <w:szCs w:val="22"/>
        </w:rPr>
        <w:t>3.4</w:t>
      </w:r>
      <w:r w:rsidRPr="008A0A4E">
        <w:rPr>
          <w:rFonts w:ascii="Arial" w:hAnsi="Arial" w:cs="Arial"/>
          <w:sz w:val="22"/>
          <w:szCs w:val="22"/>
        </w:rPr>
        <w:tab/>
      </w:r>
      <w:r w:rsidRPr="008A0A4E">
        <w:rPr>
          <w:rFonts w:ascii="Arial" w:hAnsi="Arial" w:cs="Arial"/>
          <w:b/>
          <w:sz w:val="22"/>
          <w:szCs w:val="22"/>
        </w:rPr>
        <w:t>Net Assets Statement at market value is produced on the following basis (see note 1</w:t>
      </w:r>
      <w:r w:rsidR="0015084C">
        <w:rPr>
          <w:rFonts w:ascii="Arial" w:hAnsi="Arial" w:cs="Arial"/>
          <w:b/>
          <w:sz w:val="22"/>
          <w:szCs w:val="22"/>
        </w:rPr>
        <w:t>5</w:t>
      </w:r>
      <w:r w:rsidRPr="008A0A4E">
        <w:rPr>
          <w:rFonts w:ascii="Arial" w:hAnsi="Arial" w:cs="Arial"/>
          <w:b/>
          <w:sz w:val="22"/>
          <w:szCs w:val="22"/>
        </w:rPr>
        <w:t>)</w:t>
      </w:r>
    </w:p>
    <w:p w14:paraId="25CD2B1A" w14:textId="77777777" w:rsidR="003C45DA" w:rsidRPr="008A0A4E" w:rsidRDefault="003C45DA" w:rsidP="003C45DA">
      <w:pPr>
        <w:tabs>
          <w:tab w:val="left" w:pos="1134"/>
        </w:tabs>
        <w:ind w:left="1134"/>
        <w:jc w:val="both"/>
        <w:rPr>
          <w:rFonts w:ascii="Arial" w:hAnsi="Arial" w:cs="Arial"/>
          <w:sz w:val="22"/>
          <w:szCs w:val="22"/>
        </w:rPr>
      </w:pPr>
    </w:p>
    <w:p w14:paraId="4AFB51EC" w14:textId="53F5440A" w:rsidR="003C45DA" w:rsidRPr="008A0A4E" w:rsidRDefault="003C45DA" w:rsidP="003C45DA">
      <w:pPr>
        <w:pStyle w:val="ListParagraph"/>
        <w:numPr>
          <w:ilvl w:val="0"/>
          <w:numId w:val="9"/>
        </w:numPr>
        <w:spacing w:after="120"/>
        <w:ind w:left="709" w:hanging="142"/>
        <w:jc w:val="both"/>
        <w:rPr>
          <w:rFonts w:ascii="Arial" w:hAnsi="Arial" w:cs="Arial"/>
        </w:rPr>
      </w:pPr>
      <w:r w:rsidRPr="008A0A4E">
        <w:rPr>
          <w:rFonts w:ascii="Arial" w:hAnsi="Arial" w:cs="Arial"/>
        </w:rPr>
        <w:t xml:space="preserve">Quoted investments are valued at bid price at the close of business on 31 March </w:t>
      </w:r>
      <w:proofErr w:type="gramStart"/>
      <w:r w:rsidRPr="008A0A4E">
        <w:rPr>
          <w:rFonts w:ascii="Arial" w:hAnsi="Arial" w:cs="Arial"/>
        </w:rPr>
        <w:t>20</w:t>
      </w:r>
      <w:r w:rsidR="001F30D3" w:rsidRPr="008A0A4E">
        <w:rPr>
          <w:rFonts w:ascii="Arial" w:hAnsi="Arial" w:cs="Arial"/>
        </w:rPr>
        <w:t>2</w:t>
      </w:r>
      <w:r w:rsidR="003B694C">
        <w:rPr>
          <w:rFonts w:ascii="Arial" w:hAnsi="Arial" w:cs="Arial"/>
        </w:rPr>
        <w:t>5</w:t>
      </w:r>
      <w:r w:rsidRPr="008A0A4E">
        <w:rPr>
          <w:rFonts w:ascii="Arial" w:hAnsi="Arial" w:cs="Arial"/>
        </w:rPr>
        <w:t>;</w:t>
      </w:r>
      <w:proofErr w:type="gramEnd"/>
      <w:r w:rsidRPr="008A0A4E">
        <w:rPr>
          <w:rFonts w:ascii="Arial" w:hAnsi="Arial" w:cs="Arial"/>
        </w:rPr>
        <w:t xml:space="preserve"> </w:t>
      </w:r>
    </w:p>
    <w:p w14:paraId="26829D88" w14:textId="77777777" w:rsidR="003C45DA" w:rsidRPr="008A0A4E" w:rsidRDefault="003C45DA" w:rsidP="003C45DA">
      <w:pPr>
        <w:pStyle w:val="ListParagraph"/>
        <w:spacing w:after="120"/>
        <w:ind w:left="709"/>
        <w:jc w:val="both"/>
        <w:rPr>
          <w:rFonts w:ascii="Arial" w:hAnsi="Arial" w:cs="Arial"/>
        </w:rPr>
      </w:pPr>
    </w:p>
    <w:p w14:paraId="7BE2393A" w14:textId="77777777"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 xml:space="preserve">Unquoted investments are based on market value by the fund managers at year end in accordance with accepted </w:t>
      </w:r>
      <w:proofErr w:type="gramStart"/>
      <w:r w:rsidRPr="008A0A4E">
        <w:rPr>
          <w:rFonts w:ascii="Arial" w:hAnsi="Arial" w:cs="Arial"/>
        </w:rPr>
        <w:t>guidelines;</w:t>
      </w:r>
      <w:proofErr w:type="gramEnd"/>
    </w:p>
    <w:p w14:paraId="30BA6992" w14:textId="77777777" w:rsidR="003C45DA" w:rsidRPr="008A0A4E" w:rsidRDefault="003C45DA" w:rsidP="003C45DA">
      <w:pPr>
        <w:pStyle w:val="ListParagraph"/>
        <w:spacing w:after="120" w:line="240" w:lineRule="auto"/>
        <w:ind w:left="709"/>
        <w:jc w:val="both"/>
        <w:rPr>
          <w:rFonts w:ascii="Arial" w:hAnsi="Arial" w:cs="Arial"/>
        </w:rPr>
      </w:pPr>
    </w:p>
    <w:p w14:paraId="038EABD1" w14:textId="382B06EF" w:rsidR="00680C31" w:rsidRPr="00680C31" w:rsidRDefault="003C45DA" w:rsidP="00680C31">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 xml:space="preserve">Pooled investment vehicles are valued at closing bid price if both bid and offer prices are published; or if single priced, at the closing single price. In the case of pooled investment vehicles that are accumulation funds, change in market value also includes </w:t>
      </w:r>
      <w:proofErr w:type="gramStart"/>
      <w:r w:rsidRPr="008A0A4E">
        <w:rPr>
          <w:rFonts w:ascii="Arial" w:hAnsi="Arial" w:cs="Arial"/>
        </w:rPr>
        <w:t>income</w:t>
      </w:r>
      <w:proofErr w:type="gramEnd"/>
      <w:r w:rsidRPr="008A0A4E">
        <w:rPr>
          <w:rFonts w:ascii="Arial" w:hAnsi="Arial" w:cs="Arial"/>
        </w:rPr>
        <w:t xml:space="preserve"> which is reinvested in the fund, net of applicable withholding </w:t>
      </w:r>
      <w:proofErr w:type="gramStart"/>
      <w:r w:rsidRPr="008A0A4E">
        <w:rPr>
          <w:rFonts w:ascii="Arial" w:hAnsi="Arial" w:cs="Arial"/>
        </w:rPr>
        <w:t>tax;</w:t>
      </w:r>
      <w:proofErr w:type="gramEnd"/>
      <w:r w:rsidRPr="008A0A4E" w:rsidDel="001A304D">
        <w:rPr>
          <w:rFonts w:ascii="Arial" w:hAnsi="Arial" w:cs="Arial"/>
        </w:rPr>
        <w:t xml:space="preserve"> </w:t>
      </w:r>
    </w:p>
    <w:p w14:paraId="4155619D" w14:textId="77777777" w:rsidR="00680C31" w:rsidRPr="00680C31" w:rsidRDefault="00680C31" w:rsidP="00680C31">
      <w:pPr>
        <w:pStyle w:val="ListParagraph"/>
        <w:spacing w:after="120" w:line="240" w:lineRule="auto"/>
        <w:ind w:left="709"/>
        <w:jc w:val="both"/>
        <w:rPr>
          <w:rFonts w:ascii="Arial" w:hAnsi="Arial" w:cs="Arial"/>
        </w:rPr>
      </w:pPr>
    </w:p>
    <w:p w14:paraId="7CCE1DED" w14:textId="16D037D4"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Investments held in foreign currencies have been valued in sterling at the closing rate ruli</w:t>
      </w:r>
      <w:r w:rsidRPr="00030451">
        <w:rPr>
          <w:rFonts w:ascii="Arial" w:hAnsi="Arial" w:cs="Arial"/>
        </w:rPr>
        <w:t>ng on 31 March 20</w:t>
      </w:r>
      <w:r w:rsidR="00B875FA" w:rsidRPr="00030451">
        <w:rPr>
          <w:rFonts w:ascii="Arial" w:hAnsi="Arial" w:cs="Arial"/>
        </w:rPr>
        <w:t>2</w:t>
      </w:r>
      <w:r w:rsidR="00680C31">
        <w:rPr>
          <w:rFonts w:ascii="Arial" w:hAnsi="Arial" w:cs="Arial"/>
        </w:rPr>
        <w:t>5</w:t>
      </w:r>
      <w:r w:rsidRPr="00030451">
        <w:rPr>
          <w:rFonts w:ascii="Arial" w:hAnsi="Arial" w:cs="Arial"/>
        </w:rPr>
        <w:t>. All</w:t>
      </w:r>
      <w:r w:rsidRPr="008A0A4E">
        <w:rPr>
          <w:rFonts w:ascii="Arial" w:hAnsi="Arial" w:cs="Arial"/>
        </w:rPr>
        <w:t xml:space="preserve"> foreign currency transactions are translated into sterling at exchange rates ruling at the closing rate of exchange; and</w:t>
      </w:r>
    </w:p>
    <w:p w14:paraId="0A5F0C08" w14:textId="77777777" w:rsidR="003C45DA" w:rsidRPr="008A0A4E" w:rsidRDefault="003C45DA" w:rsidP="003C45DA">
      <w:pPr>
        <w:pStyle w:val="ListParagraph"/>
        <w:spacing w:after="120" w:line="240" w:lineRule="auto"/>
        <w:ind w:left="709"/>
        <w:jc w:val="both"/>
        <w:rPr>
          <w:rFonts w:ascii="Arial" w:hAnsi="Arial" w:cs="Arial"/>
        </w:rPr>
      </w:pPr>
    </w:p>
    <w:p w14:paraId="7B5D36FD" w14:textId="77777777"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Limited partnerships are valued at fair value on the net asset value ascertained from periodic valuations provided by those controlling the partnership.</w:t>
      </w:r>
    </w:p>
    <w:p w14:paraId="42138EEE" w14:textId="77777777" w:rsidR="003C45DA" w:rsidRPr="008A0A4E" w:rsidRDefault="003C45DA" w:rsidP="003C45DA">
      <w:pPr>
        <w:pStyle w:val="ListParagraph"/>
        <w:spacing w:after="0" w:line="240" w:lineRule="auto"/>
        <w:ind w:left="709"/>
        <w:jc w:val="both"/>
        <w:rPr>
          <w:rFonts w:ascii="Arial" w:hAnsi="Arial" w:cs="Arial"/>
        </w:rPr>
      </w:pPr>
    </w:p>
    <w:p w14:paraId="035F2698"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rPr>
      </w:pPr>
      <w:r w:rsidRPr="008A0A4E">
        <w:rPr>
          <w:rFonts w:ascii="Arial" w:hAnsi="Arial" w:cs="Arial"/>
          <w:b/>
        </w:rPr>
        <w:t>3.5</w:t>
      </w:r>
      <w:r w:rsidRPr="008A0A4E">
        <w:rPr>
          <w:rFonts w:ascii="Arial" w:hAnsi="Arial" w:cs="Arial"/>
          <w:b/>
        </w:rPr>
        <w:tab/>
        <w:t>Management expenses (see note 12)</w:t>
      </w:r>
    </w:p>
    <w:p w14:paraId="7458386F"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7779E266"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u w:val="single"/>
        </w:rPr>
      </w:pPr>
      <w:r w:rsidRPr="008A0A4E">
        <w:rPr>
          <w:rFonts w:ascii="Arial" w:hAnsi="Arial" w:cs="Arial"/>
          <w:b/>
        </w:rPr>
        <w:tab/>
      </w:r>
      <w:r w:rsidRPr="008A0A4E">
        <w:rPr>
          <w:rFonts w:ascii="Arial" w:hAnsi="Arial" w:cs="Arial"/>
          <w:u w:val="single"/>
        </w:rPr>
        <w:t>Administration Expenses</w:t>
      </w:r>
    </w:p>
    <w:p w14:paraId="19EF486F"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0BBA9B07"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administration expenses are accounted for on an accrual basis.  Staff costs associated with the Fund are charged to the Fund, with management, accommodation and other overheads apportioned in accordance with LBBD’s policy. </w:t>
      </w:r>
    </w:p>
    <w:p w14:paraId="10DA00B6" w14:textId="77777777" w:rsidR="003C45DA" w:rsidRPr="008A0A4E" w:rsidRDefault="003C45DA" w:rsidP="003C45DA">
      <w:pPr>
        <w:pStyle w:val="ListParagraph"/>
        <w:tabs>
          <w:tab w:val="left" w:pos="709"/>
          <w:tab w:val="left" w:pos="1134"/>
        </w:tabs>
        <w:spacing w:after="0" w:line="240" w:lineRule="auto"/>
        <w:ind w:left="0"/>
        <w:jc w:val="both"/>
        <w:rPr>
          <w:rFonts w:ascii="Arial" w:hAnsi="Arial" w:cs="Arial"/>
        </w:rPr>
      </w:pPr>
    </w:p>
    <w:p w14:paraId="1659FD31" w14:textId="77777777" w:rsidR="003C45DA" w:rsidRPr="008A0A4E" w:rsidRDefault="003C45DA" w:rsidP="003C45DA">
      <w:pPr>
        <w:tabs>
          <w:tab w:val="left" w:pos="426"/>
          <w:tab w:val="left" w:pos="1134"/>
        </w:tabs>
        <w:ind w:left="426" w:hanging="426"/>
        <w:jc w:val="both"/>
        <w:rPr>
          <w:rFonts w:ascii="Arial" w:hAnsi="Arial" w:cs="Arial"/>
          <w:sz w:val="22"/>
          <w:szCs w:val="22"/>
          <w:u w:val="single"/>
        </w:rPr>
      </w:pPr>
      <w:r w:rsidRPr="008A0A4E">
        <w:rPr>
          <w:rFonts w:ascii="Arial" w:hAnsi="Arial" w:cs="Arial"/>
          <w:b/>
          <w:sz w:val="22"/>
          <w:szCs w:val="22"/>
        </w:rPr>
        <w:tab/>
      </w:r>
      <w:r w:rsidRPr="008A0A4E">
        <w:rPr>
          <w:rFonts w:ascii="Arial" w:hAnsi="Arial" w:cs="Arial"/>
          <w:sz w:val="22"/>
          <w:szCs w:val="22"/>
          <w:u w:val="single"/>
        </w:rPr>
        <w:t>Investment management expenses</w:t>
      </w:r>
    </w:p>
    <w:p w14:paraId="155307B0" w14:textId="77777777" w:rsidR="003C45DA" w:rsidRPr="008A0A4E" w:rsidRDefault="003C45DA" w:rsidP="003C45DA">
      <w:pPr>
        <w:tabs>
          <w:tab w:val="left" w:pos="426"/>
          <w:tab w:val="left" w:pos="1134"/>
        </w:tabs>
        <w:ind w:left="426" w:hanging="426"/>
        <w:jc w:val="both"/>
        <w:rPr>
          <w:rFonts w:ascii="Arial" w:hAnsi="Arial" w:cs="Arial"/>
          <w:sz w:val="22"/>
          <w:szCs w:val="22"/>
        </w:rPr>
      </w:pPr>
    </w:p>
    <w:p w14:paraId="2D5A97F9"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investment management expenses are accounted for on an accrual basis. </w:t>
      </w:r>
    </w:p>
    <w:p w14:paraId="0784E54E"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105D9D82"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External manager fees, including custodian fees, are agreed in the respective mandates governing their appointments, which are broadly based on the market value of the Fund’s investments under their management. Therefore, investment management fees increase / decrease as the value of these investments change.</w:t>
      </w:r>
    </w:p>
    <w:p w14:paraId="7270323B"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5543EF81"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does not include a performance related fees element in any of their contracts.  Where it has not been possible to confirm the investment management fee owed by the balance sheet date, an estimate based on the market value has been used.</w:t>
      </w:r>
    </w:p>
    <w:p w14:paraId="2A47FB43"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267EF330" w14:textId="77777777" w:rsidR="003C45DA"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Most the Fund’s holdings are invested in pooled funds which include investment management expenses, including actuarial, trading costs and fund manager fees, within the pricing mechanism. </w:t>
      </w:r>
    </w:p>
    <w:p w14:paraId="0F06E7AF" w14:textId="77777777" w:rsidR="0058155F" w:rsidRDefault="0058155F" w:rsidP="003C45DA">
      <w:pPr>
        <w:pStyle w:val="ListParagraph"/>
        <w:tabs>
          <w:tab w:val="left" w:pos="709"/>
          <w:tab w:val="left" w:pos="1134"/>
        </w:tabs>
        <w:spacing w:after="0" w:line="240" w:lineRule="auto"/>
        <w:ind w:left="426" w:hanging="426"/>
        <w:jc w:val="both"/>
        <w:rPr>
          <w:rFonts w:ascii="Arial" w:hAnsi="Arial" w:cs="Arial"/>
        </w:rPr>
      </w:pPr>
    </w:p>
    <w:p w14:paraId="7FB2E13C" w14:textId="77777777" w:rsidR="0058155F" w:rsidRPr="008A0A4E" w:rsidRDefault="0058155F" w:rsidP="003C45DA">
      <w:pPr>
        <w:pStyle w:val="ListParagraph"/>
        <w:tabs>
          <w:tab w:val="left" w:pos="709"/>
          <w:tab w:val="left" w:pos="1134"/>
        </w:tabs>
        <w:spacing w:after="0" w:line="240" w:lineRule="auto"/>
        <w:ind w:left="426" w:hanging="426"/>
        <w:jc w:val="both"/>
        <w:rPr>
          <w:rFonts w:ascii="Arial" w:hAnsi="Arial" w:cs="Arial"/>
        </w:rPr>
      </w:pPr>
    </w:p>
    <w:p w14:paraId="5444C511" w14:textId="77777777" w:rsidR="003C45DA" w:rsidRPr="008A0A4E" w:rsidRDefault="003C45DA" w:rsidP="003C45DA">
      <w:pPr>
        <w:pStyle w:val="ListParagraph"/>
        <w:tabs>
          <w:tab w:val="left" w:pos="709"/>
          <w:tab w:val="left" w:pos="1134"/>
        </w:tabs>
        <w:spacing w:after="0" w:line="240" w:lineRule="auto"/>
        <w:ind w:left="0"/>
        <w:jc w:val="both"/>
        <w:rPr>
          <w:rFonts w:ascii="Arial" w:hAnsi="Arial" w:cs="Arial"/>
        </w:rPr>
      </w:pPr>
    </w:p>
    <w:p w14:paraId="6D48FE6E"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3.6</w:t>
      </w:r>
      <w:r w:rsidRPr="008A0A4E">
        <w:rPr>
          <w:rFonts w:ascii="Arial" w:hAnsi="Arial" w:cs="Arial"/>
          <w:b/>
        </w:rPr>
        <w:tab/>
        <w:t xml:space="preserve">Taxation  </w:t>
      </w:r>
    </w:p>
    <w:p w14:paraId="2455B953"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07B36645"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is a registered public-sector service scheme under section 1(1) of schedule 36 of the Finance act 2004 and as such is exempt from UK income tax on interest received and from capital gains tax on the proceed of investments sold.</w:t>
      </w:r>
    </w:p>
    <w:p w14:paraId="086712A0"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75424862"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Taxation agreements exist between Britain and other countries whereby all or a proportion of the tax deducted locally from investment income may be reclaimed.  Non-recoverable deductions are classified as withholding tax. </w:t>
      </w:r>
    </w:p>
    <w:p w14:paraId="0ADFC3A7"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5C8AE4F3" w14:textId="5C8B2D1A" w:rsidR="003C45DA"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Value Added Tax is recoverable on all Fund activities by the administering authority.</w:t>
      </w:r>
    </w:p>
    <w:p w14:paraId="4AA28EC5" w14:textId="77777777" w:rsidR="003C45DA" w:rsidRPr="008A0A4E" w:rsidRDefault="003C45DA" w:rsidP="003C45DA">
      <w:pPr>
        <w:tabs>
          <w:tab w:val="left" w:pos="709"/>
          <w:tab w:val="left" w:pos="1134"/>
        </w:tabs>
        <w:jc w:val="both"/>
        <w:rPr>
          <w:rFonts w:ascii="Arial" w:hAnsi="Arial" w:cs="Arial"/>
          <w:sz w:val="22"/>
          <w:szCs w:val="22"/>
        </w:rPr>
      </w:pPr>
    </w:p>
    <w:p w14:paraId="594BEFDC"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3.7</w:t>
      </w:r>
      <w:r w:rsidRPr="008A0A4E">
        <w:rPr>
          <w:rFonts w:ascii="Arial" w:hAnsi="Arial" w:cs="Arial"/>
          <w:b/>
        </w:rPr>
        <w:tab/>
        <w:t>Foreign currency transactions</w:t>
      </w:r>
    </w:p>
    <w:p w14:paraId="513DB206"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1D0B17A1" w14:textId="7D1CF55E" w:rsidR="003C45DA" w:rsidRPr="00C31FEE" w:rsidRDefault="003C45DA" w:rsidP="00C31FEE">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Dividends, interest, purchases and sales of investments in foreign currencies have been accounted for at the spot market rates at the date of transaction.  End-of-year spot market exchange rates are used to value cash balances held in foreign currency bank accounts.</w:t>
      </w:r>
    </w:p>
    <w:p w14:paraId="05BCBED5" w14:textId="77777777" w:rsidR="00D040FA" w:rsidRDefault="00D040FA" w:rsidP="003C45DA">
      <w:pPr>
        <w:pStyle w:val="ListParagraph"/>
        <w:tabs>
          <w:tab w:val="left" w:pos="426"/>
          <w:tab w:val="left" w:pos="1134"/>
        </w:tabs>
        <w:spacing w:after="0" w:line="240" w:lineRule="auto"/>
        <w:ind w:left="426" w:hanging="426"/>
        <w:jc w:val="both"/>
        <w:rPr>
          <w:rFonts w:ascii="Arial" w:hAnsi="Arial" w:cs="Arial"/>
          <w:b/>
        </w:rPr>
      </w:pPr>
    </w:p>
    <w:p w14:paraId="18072F36" w14:textId="0EEAAA81" w:rsidR="003C45DA" w:rsidRPr="008A0A4E" w:rsidRDefault="008E7830"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3.8 Cash</w:t>
      </w:r>
      <w:r w:rsidR="003C45DA" w:rsidRPr="008A0A4E">
        <w:rPr>
          <w:rFonts w:ascii="Arial" w:hAnsi="Arial" w:cs="Arial"/>
          <w:b/>
        </w:rPr>
        <w:t xml:space="preserve"> and cash equivalents</w:t>
      </w:r>
    </w:p>
    <w:p w14:paraId="66AAF3F8"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475E6AA1"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comprises cash in-hand and on-demand deposits.</w:t>
      </w:r>
    </w:p>
    <w:p w14:paraId="0C2D6DCB"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4FA4F00A" w14:textId="44D30B8C" w:rsidR="003C45DA" w:rsidRDefault="003C45DA" w:rsidP="00FA43B0">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equivalents are short-term, highly liquid investments that are readily convertible to known amounts of cash and that are subject to minimal risk of changes in value</w:t>
      </w:r>
      <w:r w:rsidR="00FA43B0">
        <w:rPr>
          <w:rFonts w:ascii="Arial" w:hAnsi="Arial" w:cs="Arial"/>
        </w:rPr>
        <w:t xml:space="preserve">. </w:t>
      </w:r>
    </w:p>
    <w:p w14:paraId="3A504169" w14:textId="77777777" w:rsidR="007C4641" w:rsidRPr="008A0A4E" w:rsidRDefault="007C4641" w:rsidP="00FA43B0">
      <w:pPr>
        <w:pStyle w:val="ListParagraph"/>
        <w:tabs>
          <w:tab w:val="left" w:pos="709"/>
          <w:tab w:val="left" w:pos="1134"/>
        </w:tabs>
        <w:spacing w:after="0" w:line="240" w:lineRule="auto"/>
        <w:ind w:left="426" w:hanging="426"/>
        <w:jc w:val="both"/>
        <w:rPr>
          <w:rFonts w:ascii="Arial" w:hAnsi="Arial" w:cs="Arial"/>
        </w:rPr>
      </w:pPr>
    </w:p>
    <w:p w14:paraId="059981E8" w14:textId="77777777" w:rsidR="003C45DA" w:rsidRPr="008A0A4E" w:rsidRDefault="003C45DA" w:rsidP="003C45DA">
      <w:pPr>
        <w:pStyle w:val="ListParagraph"/>
        <w:tabs>
          <w:tab w:val="left" w:pos="0"/>
          <w:tab w:val="left" w:pos="567"/>
        </w:tabs>
        <w:spacing w:after="0" w:line="240" w:lineRule="auto"/>
        <w:ind w:left="426" w:hanging="426"/>
        <w:jc w:val="both"/>
        <w:rPr>
          <w:rFonts w:ascii="Arial" w:hAnsi="Arial" w:cs="Arial"/>
          <w:b/>
        </w:rPr>
      </w:pPr>
      <w:r w:rsidRPr="008A0A4E">
        <w:rPr>
          <w:rFonts w:ascii="Arial" w:hAnsi="Arial" w:cs="Arial"/>
          <w:b/>
        </w:rPr>
        <w:t>3.9</w:t>
      </w:r>
      <w:r w:rsidRPr="008A0A4E">
        <w:rPr>
          <w:rFonts w:ascii="Arial" w:hAnsi="Arial" w:cs="Arial"/>
          <w:b/>
        </w:rPr>
        <w:tab/>
        <w:t>Present Value of Liabilities</w:t>
      </w:r>
    </w:p>
    <w:p w14:paraId="6D1965B0" w14:textId="77777777" w:rsidR="003C45DA" w:rsidRPr="008A0A4E" w:rsidRDefault="003C45DA" w:rsidP="003C45DA">
      <w:pPr>
        <w:autoSpaceDE w:val="0"/>
        <w:autoSpaceDN w:val="0"/>
        <w:adjustRightInd w:val="0"/>
        <w:ind w:left="426" w:hanging="426"/>
        <w:jc w:val="both"/>
        <w:rPr>
          <w:rFonts w:ascii="Arial" w:hAnsi="Arial" w:cs="Arial"/>
          <w:b/>
          <w:sz w:val="22"/>
          <w:szCs w:val="22"/>
        </w:rPr>
      </w:pPr>
    </w:p>
    <w:p w14:paraId="025F0AED" w14:textId="77777777" w:rsidR="003C45DA" w:rsidRPr="008A0A4E" w:rsidRDefault="003C45DA" w:rsidP="003C45DA">
      <w:pPr>
        <w:autoSpaceDE w:val="0"/>
        <w:autoSpaceDN w:val="0"/>
        <w:adjustRightInd w:val="0"/>
        <w:ind w:left="426"/>
        <w:jc w:val="both"/>
        <w:rPr>
          <w:rFonts w:ascii="Arial" w:eastAsia="Calibri" w:hAnsi="Arial" w:cs="Arial"/>
          <w:sz w:val="22"/>
          <w:szCs w:val="22"/>
        </w:rPr>
      </w:pPr>
      <w:r w:rsidRPr="008A0A4E">
        <w:rPr>
          <w:rFonts w:ascii="Arial" w:eastAsia="Calibri" w:hAnsi="Arial" w:cs="Arial"/>
          <w:sz w:val="22"/>
          <w:szCs w:val="22"/>
        </w:rPr>
        <w:t>These accounts do not include the Fund’s liabilities to pay pensions and other benefits, in the future, to all the present contributors to the Fund.  These liabilities are taken account of in the periodic actuarial valuations of the Fund and are reflected in the levels of employers’ contributions determined at these valuations.</w:t>
      </w:r>
    </w:p>
    <w:p w14:paraId="1332CE7D" w14:textId="77777777" w:rsidR="003C45DA" w:rsidRPr="008A0A4E" w:rsidRDefault="003C45DA" w:rsidP="003C45DA">
      <w:pPr>
        <w:autoSpaceDE w:val="0"/>
        <w:autoSpaceDN w:val="0"/>
        <w:adjustRightInd w:val="0"/>
        <w:ind w:left="426"/>
        <w:jc w:val="both"/>
        <w:rPr>
          <w:rFonts w:ascii="Arial" w:eastAsia="Calibri" w:hAnsi="Arial" w:cs="Arial"/>
          <w:sz w:val="22"/>
          <w:szCs w:val="22"/>
        </w:rPr>
      </w:pPr>
    </w:p>
    <w:p w14:paraId="1F284138" w14:textId="72E90D8E" w:rsidR="003C45DA" w:rsidRPr="008A0A4E" w:rsidRDefault="003C45DA" w:rsidP="003C45DA">
      <w:pPr>
        <w:tabs>
          <w:tab w:val="left" w:pos="567"/>
          <w:tab w:val="left" w:pos="1134"/>
        </w:tabs>
        <w:ind w:left="426" w:hanging="426"/>
        <w:jc w:val="both"/>
        <w:rPr>
          <w:rFonts w:ascii="Arial" w:hAnsi="Arial" w:cs="Arial"/>
          <w:b/>
          <w:sz w:val="22"/>
          <w:szCs w:val="22"/>
        </w:rPr>
      </w:pPr>
      <w:r w:rsidRPr="008A0A4E">
        <w:rPr>
          <w:rFonts w:ascii="Arial" w:hAnsi="Arial" w:cs="Arial"/>
          <w:b/>
          <w:bCs/>
          <w:sz w:val="22"/>
          <w:szCs w:val="22"/>
        </w:rPr>
        <w:t>3.10</w:t>
      </w:r>
      <w:r w:rsidRPr="008A0A4E">
        <w:rPr>
          <w:rFonts w:ascii="Arial" w:hAnsi="Arial" w:cs="Arial"/>
          <w:b/>
          <w:bCs/>
          <w:sz w:val="22"/>
          <w:szCs w:val="22"/>
        </w:rPr>
        <w:tab/>
        <w:t xml:space="preserve">Actuarial present value of promised retirement benefits (see note </w:t>
      </w:r>
      <w:r w:rsidR="009A62E0" w:rsidRPr="008A0A4E">
        <w:rPr>
          <w:rFonts w:ascii="Arial" w:hAnsi="Arial" w:cs="Arial"/>
          <w:b/>
          <w:bCs/>
          <w:sz w:val="22"/>
          <w:szCs w:val="22"/>
        </w:rPr>
        <w:t>2</w:t>
      </w:r>
      <w:r w:rsidR="00E11709">
        <w:rPr>
          <w:rFonts w:ascii="Arial" w:hAnsi="Arial" w:cs="Arial"/>
          <w:b/>
          <w:bCs/>
          <w:sz w:val="22"/>
          <w:szCs w:val="22"/>
        </w:rPr>
        <w:t>1</w:t>
      </w:r>
      <w:r w:rsidRPr="008A0A4E">
        <w:rPr>
          <w:rFonts w:ascii="Arial" w:hAnsi="Arial" w:cs="Arial"/>
          <w:b/>
          <w:bCs/>
          <w:sz w:val="22"/>
          <w:szCs w:val="22"/>
        </w:rPr>
        <w:t>)</w:t>
      </w:r>
    </w:p>
    <w:p w14:paraId="665AC77A" w14:textId="77777777" w:rsidR="003C45DA" w:rsidRPr="008A0A4E" w:rsidRDefault="003C45DA" w:rsidP="003C45DA">
      <w:pPr>
        <w:pStyle w:val="Default"/>
        <w:ind w:left="426" w:hanging="426"/>
        <w:rPr>
          <w:sz w:val="22"/>
          <w:szCs w:val="22"/>
        </w:rPr>
      </w:pPr>
    </w:p>
    <w:p w14:paraId="43A36DC2" w14:textId="77777777" w:rsidR="003C45DA" w:rsidRPr="008A0A4E" w:rsidRDefault="003C45DA" w:rsidP="003C45DA">
      <w:pPr>
        <w:pStyle w:val="Default"/>
        <w:ind w:left="426"/>
        <w:jc w:val="both"/>
        <w:rPr>
          <w:sz w:val="22"/>
          <w:szCs w:val="22"/>
        </w:rPr>
      </w:pPr>
      <w:r w:rsidRPr="008A0A4E">
        <w:rPr>
          <w:sz w:val="22"/>
          <w:szCs w:val="22"/>
        </w:rPr>
        <w:t xml:space="preserve">The actuarial present value of promised retirement benefits is assessed on a triennial basis by the Scheme actuary in accordance with the requirements of IAS 19 and relevant actuarial standards. </w:t>
      </w:r>
    </w:p>
    <w:p w14:paraId="6FB68E87" w14:textId="77777777" w:rsidR="003C45DA" w:rsidRPr="008A0A4E" w:rsidRDefault="003C45DA" w:rsidP="003C45DA">
      <w:pPr>
        <w:pStyle w:val="Default"/>
        <w:ind w:left="426" w:hanging="426"/>
        <w:jc w:val="both"/>
        <w:rPr>
          <w:sz w:val="22"/>
          <w:szCs w:val="22"/>
        </w:rPr>
      </w:pPr>
    </w:p>
    <w:p w14:paraId="4986D631" w14:textId="77777777" w:rsidR="003C45DA" w:rsidRPr="008A0A4E" w:rsidRDefault="003C45DA" w:rsidP="003C45DA">
      <w:pPr>
        <w:autoSpaceDE w:val="0"/>
        <w:autoSpaceDN w:val="0"/>
        <w:adjustRightInd w:val="0"/>
        <w:ind w:left="426"/>
        <w:jc w:val="both"/>
        <w:rPr>
          <w:rFonts w:ascii="Arial" w:eastAsia="Calibri" w:hAnsi="Arial" w:cs="Arial"/>
          <w:sz w:val="22"/>
          <w:szCs w:val="22"/>
        </w:rPr>
      </w:pPr>
      <w:r w:rsidRPr="008A0A4E">
        <w:rPr>
          <w:rFonts w:ascii="Arial" w:hAnsi="Arial" w:cs="Arial"/>
          <w:sz w:val="22"/>
          <w:szCs w:val="22"/>
        </w:rPr>
        <w:t xml:space="preserve">As permitted under IAS 26, the Fund has opted to disclose the actuarial present value of promised retirement benefits by way of a note to the Net Assets Statement </w:t>
      </w:r>
    </w:p>
    <w:p w14:paraId="54D3E719" w14:textId="77777777" w:rsidR="003C45DA" w:rsidRPr="008A0A4E" w:rsidRDefault="003C45DA" w:rsidP="003C45DA">
      <w:pPr>
        <w:autoSpaceDE w:val="0"/>
        <w:autoSpaceDN w:val="0"/>
        <w:adjustRightInd w:val="0"/>
        <w:ind w:left="426" w:hanging="426"/>
        <w:jc w:val="both"/>
        <w:rPr>
          <w:rFonts w:ascii="Arial" w:hAnsi="Arial" w:cs="Arial"/>
          <w:sz w:val="22"/>
          <w:szCs w:val="22"/>
        </w:rPr>
      </w:pPr>
    </w:p>
    <w:p w14:paraId="605586FE" w14:textId="77777777" w:rsidR="003C45DA" w:rsidRPr="008A0A4E" w:rsidRDefault="003C45DA" w:rsidP="003C45DA">
      <w:pPr>
        <w:pStyle w:val="ListParagraph"/>
        <w:tabs>
          <w:tab w:val="left" w:pos="567"/>
        </w:tabs>
        <w:spacing w:after="0" w:line="240" w:lineRule="auto"/>
        <w:ind w:left="426" w:hanging="426"/>
        <w:jc w:val="both"/>
        <w:rPr>
          <w:rFonts w:ascii="Arial" w:hAnsi="Arial" w:cs="Arial"/>
          <w:b/>
          <w:color w:val="000000"/>
        </w:rPr>
      </w:pPr>
      <w:r w:rsidRPr="008A0A4E">
        <w:rPr>
          <w:rFonts w:ascii="Arial" w:hAnsi="Arial" w:cs="Arial"/>
          <w:b/>
          <w:color w:val="000000"/>
        </w:rPr>
        <w:t>3.11</w:t>
      </w:r>
      <w:r w:rsidRPr="008A0A4E">
        <w:rPr>
          <w:rFonts w:ascii="Arial" w:hAnsi="Arial" w:cs="Arial"/>
          <w:b/>
          <w:color w:val="000000"/>
        </w:rPr>
        <w:tab/>
        <w:t>Contingent assets and liabilities</w:t>
      </w:r>
    </w:p>
    <w:p w14:paraId="4C28A11A" w14:textId="77777777" w:rsidR="003C45DA" w:rsidRPr="008A0A4E" w:rsidRDefault="003C45DA" w:rsidP="003C45DA">
      <w:pPr>
        <w:ind w:left="426" w:right="-149" w:hanging="426"/>
        <w:rPr>
          <w:rFonts w:ascii="Arial" w:hAnsi="Arial" w:cs="Arial"/>
          <w:b/>
          <w:color w:val="9966FF"/>
          <w:sz w:val="22"/>
          <w:szCs w:val="22"/>
        </w:rPr>
      </w:pPr>
    </w:p>
    <w:p w14:paraId="4DB952B0" w14:textId="77777777" w:rsidR="003C45DA" w:rsidRPr="008A0A4E" w:rsidRDefault="003C45DA" w:rsidP="003C45DA">
      <w:pPr>
        <w:tabs>
          <w:tab w:val="left" w:pos="1134"/>
        </w:tabs>
        <w:ind w:left="426" w:hanging="426"/>
        <w:jc w:val="both"/>
        <w:rPr>
          <w:rFonts w:ascii="Arial" w:hAnsi="Arial" w:cs="Arial"/>
          <w:sz w:val="22"/>
          <w:szCs w:val="22"/>
        </w:rPr>
      </w:pPr>
      <w:r w:rsidRPr="008A0A4E">
        <w:rPr>
          <w:rFonts w:ascii="Arial" w:hAnsi="Arial" w:cs="Arial"/>
          <w:sz w:val="22"/>
          <w:szCs w:val="22"/>
        </w:rPr>
        <w:tab/>
        <w:t xml:space="preserve">Contingent assets and liabilities are not recognised in the Fund’s Balance Sheet but are disclosed as a note to the accounts.  They arise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past events but are only confirmed by the occurrence of one or more uncertain future events which are not entirely within the Fund’s control.</w:t>
      </w:r>
    </w:p>
    <w:p w14:paraId="59A60786" w14:textId="77777777" w:rsidR="003C45DA" w:rsidRPr="008A0A4E" w:rsidRDefault="003C45DA" w:rsidP="003C45DA">
      <w:pPr>
        <w:tabs>
          <w:tab w:val="left" w:pos="1134"/>
        </w:tabs>
        <w:ind w:left="426" w:hanging="426"/>
        <w:jc w:val="both"/>
        <w:rPr>
          <w:rFonts w:ascii="Arial" w:hAnsi="Arial" w:cs="Arial"/>
          <w:sz w:val="22"/>
          <w:szCs w:val="22"/>
        </w:rPr>
      </w:pPr>
    </w:p>
    <w:p w14:paraId="4DA43964" w14:textId="37D1C006" w:rsidR="000355A2" w:rsidRDefault="003C45DA" w:rsidP="00742CE0">
      <w:pPr>
        <w:tabs>
          <w:tab w:val="left" w:pos="1134"/>
        </w:tabs>
        <w:ind w:left="426" w:hanging="426"/>
        <w:jc w:val="both"/>
        <w:rPr>
          <w:sz w:val="22"/>
          <w:szCs w:val="22"/>
        </w:rPr>
      </w:pPr>
      <w:r w:rsidRPr="008A0A4E">
        <w:rPr>
          <w:rFonts w:ascii="Arial" w:hAnsi="Arial" w:cs="Arial"/>
          <w:sz w:val="22"/>
          <w:szCs w:val="22"/>
        </w:rPr>
        <w:tab/>
      </w:r>
      <w:r w:rsidRPr="00083098">
        <w:rPr>
          <w:rFonts w:ascii="Arial" w:hAnsi="Arial" w:cs="Arial"/>
          <w:sz w:val="22"/>
          <w:szCs w:val="22"/>
        </w:rPr>
        <w:t>Contingent liabilities arise from a present obligation arising from past events but only where it is not probable that a transfer of economic benefits will be required to settle the obligation or where the amount of the obligation cannot be measured with sufficient reliability.</w:t>
      </w:r>
      <w:r w:rsidR="000355A2">
        <w:rPr>
          <w:sz w:val="22"/>
          <w:szCs w:val="22"/>
        </w:rPr>
        <w:t xml:space="preserve"> </w:t>
      </w:r>
    </w:p>
    <w:p w14:paraId="0770FAEA" w14:textId="77777777" w:rsidR="005650E5" w:rsidRDefault="005650E5" w:rsidP="00742CE0">
      <w:pPr>
        <w:tabs>
          <w:tab w:val="left" w:pos="1134"/>
        </w:tabs>
        <w:ind w:left="426" w:hanging="426"/>
        <w:jc w:val="both"/>
        <w:rPr>
          <w:sz w:val="22"/>
          <w:szCs w:val="22"/>
        </w:rPr>
      </w:pPr>
    </w:p>
    <w:p w14:paraId="5AEE8CAA" w14:textId="77777777" w:rsidR="005650E5" w:rsidRDefault="005650E5" w:rsidP="00742CE0">
      <w:pPr>
        <w:tabs>
          <w:tab w:val="left" w:pos="1134"/>
        </w:tabs>
        <w:ind w:left="426" w:hanging="426"/>
        <w:jc w:val="both"/>
        <w:rPr>
          <w:sz w:val="22"/>
          <w:szCs w:val="22"/>
        </w:rPr>
      </w:pPr>
    </w:p>
    <w:p w14:paraId="1F1551BD" w14:textId="77777777" w:rsidR="005650E5" w:rsidRPr="00742CE0" w:rsidRDefault="005650E5" w:rsidP="00742CE0">
      <w:pPr>
        <w:tabs>
          <w:tab w:val="left" w:pos="1134"/>
        </w:tabs>
        <w:ind w:left="426" w:hanging="426"/>
        <w:jc w:val="both"/>
        <w:rPr>
          <w:rFonts w:ascii="Arial" w:hAnsi="Arial" w:cs="Arial"/>
          <w:sz w:val="22"/>
          <w:szCs w:val="22"/>
        </w:rPr>
      </w:pPr>
    </w:p>
    <w:p w14:paraId="08311DA8" w14:textId="77777777" w:rsidR="003C45DA" w:rsidRPr="00083098" w:rsidRDefault="003C45DA" w:rsidP="00083098">
      <w:pPr>
        <w:jc w:val="both"/>
        <w:rPr>
          <w:rFonts w:ascii="Arial" w:hAnsi="Arial" w:cs="Arial"/>
          <w:b/>
        </w:rPr>
      </w:pPr>
    </w:p>
    <w:p w14:paraId="5F4B70A0" w14:textId="77777777" w:rsidR="003C45DA" w:rsidRPr="008A0A4E" w:rsidRDefault="003C45DA" w:rsidP="003C45DA">
      <w:pPr>
        <w:pStyle w:val="ListParagraph"/>
        <w:numPr>
          <w:ilvl w:val="0"/>
          <w:numId w:val="24"/>
        </w:numPr>
        <w:ind w:left="502"/>
        <w:jc w:val="both"/>
        <w:rPr>
          <w:rFonts w:ascii="Arial" w:hAnsi="Arial" w:cs="Arial"/>
          <w:b/>
        </w:rPr>
      </w:pPr>
      <w:r w:rsidRPr="008A0A4E">
        <w:rPr>
          <w:rFonts w:ascii="Arial" w:hAnsi="Arial" w:cs="Arial"/>
          <w:b/>
        </w:rPr>
        <w:t>Critical Judgements in applying accounting policies</w:t>
      </w:r>
    </w:p>
    <w:p w14:paraId="6C2C859C" w14:textId="157D6897" w:rsidR="003C45DA" w:rsidRPr="008A0A4E" w:rsidRDefault="003C45DA" w:rsidP="003C45DA">
      <w:pPr>
        <w:ind w:left="426" w:hanging="426"/>
        <w:jc w:val="both"/>
        <w:rPr>
          <w:rFonts w:ascii="Arial" w:hAnsi="Arial" w:cs="Arial"/>
          <w:sz w:val="22"/>
          <w:szCs w:val="22"/>
          <w:lang w:eastAsia="en-US"/>
        </w:rPr>
      </w:pPr>
      <w:r w:rsidRPr="008A0A4E">
        <w:rPr>
          <w:rFonts w:ascii="Arial" w:hAnsi="Arial" w:cs="Arial"/>
          <w:b/>
          <w:sz w:val="22"/>
          <w:szCs w:val="22"/>
          <w:lang w:eastAsia="en-US"/>
        </w:rPr>
        <w:tab/>
      </w:r>
      <w:r w:rsidRPr="008A0A4E">
        <w:rPr>
          <w:rFonts w:ascii="Arial" w:hAnsi="Arial" w:cs="Arial"/>
          <w:sz w:val="22"/>
          <w:szCs w:val="22"/>
          <w:lang w:eastAsia="en-US"/>
        </w:rPr>
        <w:t xml:space="preserve">In applying the accounting policies set out in </w:t>
      </w:r>
      <w:r w:rsidRPr="00105B8F">
        <w:rPr>
          <w:rFonts w:ascii="Arial" w:hAnsi="Arial" w:cs="Arial"/>
          <w:sz w:val="22"/>
          <w:szCs w:val="22"/>
          <w:lang w:eastAsia="en-US"/>
        </w:rPr>
        <w:t xml:space="preserve">Note </w:t>
      </w:r>
      <w:r w:rsidR="00105B8F" w:rsidRPr="00105B8F">
        <w:rPr>
          <w:rFonts w:ascii="Arial" w:hAnsi="Arial" w:cs="Arial"/>
          <w:sz w:val="22"/>
          <w:szCs w:val="22"/>
          <w:lang w:eastAsia="en-US"/>
        </w:rPr>
        <w:t>3</w:t>
      </w:r>
      <w:r w:rsidRPr="00105B8F">
        <w:rPr>
          <w:rFonts w:ascii="Arial" w:hAnsi="Arial" w:cs="Arial"/>
          <w:sz w:val="22"/>
          <w:szCs w:val="22"/>
          <w:lang w:eastAsia="en-US"/>
        </w:rPr>
        <w:t>,</w:t>
      </w:r>
      <w:r w:rsidRPr="008A0A4E">
        <w:rPr>
          <w:rFonts w:ascii="Arial" w:hAnsi="Arial" w:cs="Arial"/>
          <w:sz w:val="22"/>
          <w:szCs w:val="22"/>
          <w:lang w:eastAsia="en-US"/>
        </w:rPr>
        <w:t xml:space="preserve"> the Fund has had to make certain judgements about complex transactions or those involving uncertainty about future events.  </w:t>
      </w:r>
    </w:p>
    <w:p w14:paraId="030EA990" w14:textId="77777777" w:rsidR="003C45DA" w:rsidRPr="008A0A4E" w:rsidRDefault="003C45DA" w:rsidP="003C45DA">
      <w:pPr>
        <w:ind w:left="426" w:hanging="426"/>
        <w:jc w:val="both"/>
        <w:rPr>
          <w:rFonts w:ascii="Arial" w:hAnsi="Arial" w:cs="Arial"/>
          <w:sz w:val="22"/>
          <w:szCs w:val="22"/>
          <w:lang w:eastAsia="en-US"/>
        </w:rPr>
      </w:pPr>
      <w:r w:rsidRPr="008A0A4E">
        <w:rPr>
          <w:rFonts w:ascii="Arial" w:hAnsi="Arial" w:cs="Arial"/>
          <w:sz w:val="22"/>
          <w:szCs w:val="22"/>
          <w:lang w:eastAsia="en-US"/>
        </w:rPr>
        <w:tab/>
      </w:r>
    </w:p>
    <w:p w14:paraId="648B9E66" w14:textId="2640AA1C" w:rsidR="003C45DA" w:rsidRDefault="003C45DA" w:rsidP="003C45DA">
      <w:pPr>
        <w:ind w:left="426" w:hanging="426"/>
        <w:jc w:val="both"/>
        <w:rPr>
          <w:rFonts w:ascii="Arial" w:hAnsi="Arial" w:cs="Arial"/>
          <w:sz w:val="22"/>
          <w:szCs w:val="22"/>
        </w:rPr>
      </w:pPr>
      <w:r w:rsidRPr="008A0A4E">
        <w:rPr>
          <w:rFonts w:ascii="Arial" w:hAnsi="Arial" w:cs="Arial"/>
          <w:sz w:val="22"/>
          <w:szCs w:val="22"/>
          <w:lang w:eastAsia="en-US"/>
        </w:rPr>
        <w:tab/>
      </w:r>
      <w:r w:rsidR="00402911">
        <w:rPr>
          <w:rFonts w:ascii="Arial" w:hAnsi="Arial" w:cs="Arial"/>
          <w:sz w:val="22"/>
          <w:szCs w:val="22"/>
          <w:lang w:eastAsia="en-US"/>
        </w:rPr>
        <w:t>There were no such critical judgements made in 202</w:t>
      </w:r>
      <w:r w:rsidR="00195BDB">
        <w:rPr>
          <w:rFonts w:ascii="Arial" w:hAnsi="Arial" w:cs="Arial"/>
          <w:sz w:val="22"/>
          <w:szCs w:val="22"/>
          <w:lang w:eastAsia="en-US"/>
        </w:rPr>
        <w:t>4</w:t>
      </w:r>
      <w:r w:rsidR="00402911">
        <w:rPr>
          <w:rFonts w:ascii="Arial" w:hAnsi="Arial" w:cs="Arial"/>
          <w:sz w:val="22"/>
          <w:szCs w:val="22"/>
          <w:lang w:eastAsia="en-US"/>
        </w:rPr>
        <w:t>/2</w:t>
      </w:r>
      <w:r w:rsidR="00195BDB">
        <w:rPr>
          <w:rFonts w:ascii="Arial" w:hAnsi="Arial" w:cs="Arial"/>
          <w:sz w:val="22"/>
          <w:szCs w:val="22"/>
          <w:lang w:eastAsia="en-US"/>
        </w:rPr>
        <w:t>5</w:t>
      </w:r>
      <w:r w:rsidR="00402911">
        <w:rPr>
          <w:rFonts w:ascii="Arial" w:hAnsi="Arial" w:cs="Arial"/>
          <w:sz w:val="22"/>
          <w:szCs w:val="22"/>
          <w:lang w:eastAsia="en-US"/>
        </w:rPr>
        <w:t>.</w:t>
      </w:r>
    </w:p>
    <w:p w14:paraId="0DBA027B" w14:textId="33FDDF4F" w:rsidR="00CF601D" w:rsidRDefault="00CF601D" w:rsidP="003C45DA">
      <w:pPr>
        <w:ind w:left="426" w:hanging="426"/>
        <w:jc w:val="both"/>
        <w:rPr>
          <w:rFonts w:ascii="Arial" w:hAnsi="Arial" w:cs="Arial"/>
          <w:sz w:val="22"/>
          <w:szCs w:val="22"/>
        </w:rPr>
      </w:pPr>
    </w:p>
    <w:p w14:paraId="01CAAFE8" w14:textId="238544DC" w:rsidR="00CF601D" w:rsidRPr="00CF601D" w:rsidRDefault="00CF601D" w:rsidP="00CF601D">
      <w:pPr>
        <w:ind w:left="852" w:hanging="426"/>
        <w:jc w:val="both"/>
        <w:rPr>
          <w:rFonts w:ascii="Arial" w:hAnsi="Arial" w:cs="Arial"/>
          <w:sz w:val="22"/>
          <w:szCs w:val="22"/>
          <w:u w:val="single"/>
        </w:rPr>
      </w:pPr>
      <w:r w:rsidRPr="00CF601D">
        <w:rPr>
          <w:rFonts w:ascii="Arial" w:hAnsi="Arial" w:cs="Arial"/>
          <w:sz w:val="22"/>
          <w:szCs w:val="22"/>
          <w:u w:val="single"/>
        </w:rPr>
        <w:t>Unquoted investments</w:t>
      </w:r>
    </w:p>
    <w:p w14:paraId="47DF9BB7" w14:textId="77777777" w:rsidR="00CF601D" w:rsidRDefault="00CF601D" w:rsidP="00CF601D">
      <w:pPr>
        <w:ind w:left="426" w:hanging="426"/>
        <w:jc w:val="both"/>
        <w:rPr>
          <w:rFonts w:ascii="Arial" w:hAnsi="Arial" w:cs="Arial"/>
          <w:sz w:val="22"/>
          <w:szCs w:val="22"/>
        </w:rPr>
      </w:pPr>
    </w:p>
    <w:p w14:paraId="5909FE73" w14:textId="6578B5D3" w:rsidR="008F05B7" w:rsidRDefault="00CF601D" w:rsidP="008A4AA0">
      <w:pPr>
        <w:ind w:left="426"/>
        <w:jc w:val="both"/>
        <w:rPr>
          <w:rFonts w:ascii="Arial" w:hAnsi="Arial" w:cs="Arial"/>
          <w:b/>
          <w:sz w:val="22"/>
          <w:szCs w:val="22"/>
        </w:rPr>
      </w:pPr>
      <w:r>
        <w:rPr>
          <w:rFonts w:ascii="Arial" w:hAnsi="Arial" w:cs="Arial"/>
          <w:sz w:val="22"/>
          <w:szCs w:val="22"/>
        </w:rPr>
        <w:t xml:space="preserve">Determining the fair value of unquoted investments </w:t>
      </w:r>
      <w:r w:rsidR="001D1F75">
        <w:rPr>
          <w:rFonts w:ascii="Arial" w:hAnsi="Arial" w:cs="Arial"/>
          <w:sz w:val="22"/>
          <w:szCs w:val="22"/>
        </w:rPr>
        <w:t>(</w:t>
      </w:r>
      <w:r w:rsidR="001D1F75" w:rsidRPr="008A0A4E">
        <w:rPr>
          <w:rFonts w:ascii="Arial" w:hAnsi="Arial" w:cs="Arial"/>
          <w:sz w:val="22"/>
          <w:szCs w:val="22"/>
        </w:rPr>
        <w:t>unquoted equity investments and hedge fund or funds</w:t>
      </w:r>
      <w:r w:rsidR="001D1F75">
        <w:rPr>
          <w:rFonts w:ascii="Arial" w:hAnsi="Arial" w:cs="Arial"/>
          <w:sz w:val="22"/>
          <w:szCs w:val="22"/>
        </w:rPr>
        <w:t xml:space="preserve">) </w:t>
      </w:r>
      <w:r>
        <w:rPr>
          <w:rFonts w:ascii="Arial" w:hAnsi="Arial" w:cs="Arial"/>
          <w:sz w:val="22"/>
          <w:szCs w:val="22"/>
        </w:rPr>
        <w:t>can be</w:t>
      </w:r>
      <w:r w:rsidRPr="00CF601D">
        <w:rPr>
          <w:rFonts w:ascii="Arial" w:hAnsi="Arial" w:cs="Arial"/>
          <w:sz w:val="22"/>
          <w:szCs w:val="22"/>
        </w:rPr>
        <w:t xml:space="preserve"> subjective. They are inherently based on forward-looking estimates and judgements involving many factors including the impact of market volatility following the COVID-19 outbreak</w:t>
      </w:r>
      <w:r w:rsidR="00C417BA">
        <w:rPr>
          <w:rFonts w:ascii="Arial" w:hAnsi="Arial" w:cs="Arial"/>
          <w:sz w:val="22"/>
          <w:szCs w:val="22"/>
        </w:rPr>
        <w:t xml:space="preserve"> and the</w:t>
      </w:r>
      <w:r w:rsidR="008A4AA0">
        <w:rPr>
          <w:rFonts w:ascii="Arial" w:hAnsi="Arial" w:cs="Arial"/>
          <w:sz w:val="22"/>
          <w:szCs w:val="22"/>
        </w:rPr>
        <w:t xml:space="preserve"> </w:t>
      </w:r>
      <w:r w:rsidR="00C417BA">
        <w:rPr>
          <w:rFonts w:ascii="Arial" w:hAnsi="Arial" w:cs="Arial"/>
          <w:sz w:val="22"/>
          <w:szCs w:val="22"/>
        </w:rPr>
        <w:t>Russian invasion of Ukraine</w:t>
      </w:r>
      <w:r w:rsidRPr="00CF601D">
        <w:rPr>
          <w:rFonts w:ascii="Arial" w:hAnsi="Arial" w:cs="Arial"/>
          <w:sz w:val="22"/>
          <w:szCs w:val="22"/>
        </w:rPr>
        <w:t xml:space="preserve">. Unquoted investments </w:t>
      </w:r>
      <w:r w:rsidRPr="001E3ECD">
        <w:rPr>
          <w:rFonts w:ascii="Arial" w:hAnsi="Arial" w:cs="Arial"/>
          <w:sz w:val="22"/>
          <w:szCs w:val="22"/>
        </w:rPr>
        <w:t>are valued by the investment managers</w:t>
      </w:r>
      <w:r w:rsidR="00435BE5" w:rsidRPr="001E3ECD">
        <w:rPr>
          <w:rFonts w:ascii="Arial" w:hAnsi="Arial" w:cs="Arial"/>
          <w:sz w:val="22"/>
          <w:szCs w:val="22"/>
        </w:rPr>
        <w:t>.</w:t>
      </w:r>
      <w:r w:rsidR="00FE17AB" w:rsidRPr="001E3ECD">
        <w:rPr>
          <w:rFonts w:ascii="Arial" w:hAnsi="Arial" w:cs="Arial"/>
          <w:color w:val="000000"/>
          <w:sz w:val="22"/>
          <w:szCs w:val="22"/>
        </w:rPr>
        <w:t xml:space="preserve"> </w:t>
      </w:r>
      <w:r w:rsidR="00FE17AB" w:rsidRPr="001E3ECD">
        <w:rPr>
          <w:rFonts w:ascii="Arial" w:hAnsi="Arial" w:cs="Arial"/>
          <w:sz w:val="22"/>
          <w:szCs w:val="22"/>
        </w:rPr>
        <w:t xml:space="preserve">The total financial instruments held by the Fund at </w:t>
      </w:r>
      <w:r w:rsidR="00FE17AB" w:rsidRPr="001E3ECD">
        <w:rPr>
          <w:rFonts w:ascii="Arial" w:hAnsi="Arial" w:cs="Arial"/>
          <w:b/>
          <w:sz w:val="22"/>
          <w:szCs w:val="22"/>
        </w:rPr>
        <w:t xml:space="preserve">Level 3 </w:t>
      </w:r>
      <w:r w:rsidR="00FE17AB" w:rsidRPr="00553C26">
        <w:rPr>
          <w:rFonts w:ascii="Arial" w:hAnsi="Arial" w:cs="Arial"/>
          <w:b/>
          <w:sz w:val="22"/>
          <w:szCs w:val="22"/>
        </w:rPr>
        <w:t>were £</w:t>
      </w:r>
      <w:r w:rsidR="00553C26" w:rsidRPr="00553C26">
        <w:rPr>
          <w:rFonts w:ascii="Arial" w:hAnsi="Arial" w:cs="Arial"/>
          <w:b/>
          <w:sz w:val="22"/>
          <w:szCs w:val="22"/>
        </w:rPr>
        <w:t>313.8</w:t>
      </w:r>
      <w:r w:rsidR="00FE17AB" w:rsidRPr="00553C26">
        <w:rPr>
          <w:rFonts w:ascii="Arial" w:hAnsi="Arial" w:cs="Arial"/>
          <w:b/>
          <w:sz w:val="22"/>
          <w:szCs w:val="22"/>
        </w:rPr>
        <w:t>m.</w:t>
      </w:r>
    </w:p>
    <w:p w14:paraId="7F62A28F" w14:textId="77777777" w:rsidR="00184EBE" w:rsidRDefault="00184EBE" w:rsidP="008A4AA0">
      <w:pPr>
        <w:ind w:left="426"/>
        <w:jc w:val="both"/>
        <w:rPr>
          <w:rFonts w:ascii="Arial" w:hAnsi="Arial" w:cs="Arial"/>
          <w:b/>
          <w:sz w:val="22"/>
          <w:szCs w:val="22"/>
        </w:rPr>
      </w:pPr>
    </w:p>
    <w:p w14:paraId="5899BCE9" w14:textId="2A56AD4B" w:rsidR="003C45DA" w:rsidRPr="00C04BFC" w:rsidRDefault="003C45DA" w:rsidP="00AA5845">
      <w:pPr>
        <w:pStyle w:val="ListParagraph"/>
        <w:numPr>
          <w:ilvl w:val="0"/>
          <w:numId w:val="24"/>
        </w:numPr>
        <w:spacing w:after="0" w:line="240" w:lineRule="auto"/>
        <w:ind w:left="426" w:hanging="426"/>
        <w:jc w:val="both"/>
        <w:rPr>
          <w:rFonts w:ascii="Arial" w:hAnsi="Arial" w:cs="Arial"/>
          <w:b/>
        </w:rPr>
      </w:pPr>
      <w:r w:rsidRPr="008A0A4E">
        <w:rPr>
          <w:rFonts w:ascii="Arial" w:hAnsi="Arial" w:cs="Arial"/>
          <w:b/>
          <w:bCs/>
        </w:rPr>
        <w:t xml:space="preserve">Assumptions made about the future and other major sources of estimation uncertainty </w:t>
      </w:r>
    </w:p>
    <w:p w14:paraId="5A42DCE7" w14:textId="77777777" w:rsidR="00C04BFC" w:rsidRPr="00C76397" w:rsidRDefault="00C04BFC" w:rsidP="00AA5845">
      <w:pPr>
        <w:pStyle w:val="ListParagraph"/>
        <w:spacing w:after="0" w:line="240" w:lineRule="auto"/>
        <w:ind w:left="426" w:hanging="426"/>
        <w:jc w:val="both"/>
        <w:rPr>
          <w:rFonts w:ascii="Arial" w:hAnsi="Arial" w:cs="Arial"/>
          <w:b/>
        </w:rPr>
      </w:pPr>
    </w:p>
    <w:p w14:paraId="5A1F3099" w14:textId="4BE099AE" w:rsidR="003C45DA" w:rsidRDefault="003C45DA" w:rsidP="002F1D77">
      <w:pPr>
        <w:pStyle w:val="Default"/>
        <w:ind w:left="426" w:hanging="426"/>
        <w:jc w:val="both"/>
        <w:rPr>
          <w:sz w:val="22"/>
          <w:szCs w:val="22"/>
        </w:rPr>
      </w:pPr>
      <w:r w:rsidRPr="008A0A4E">
        <w:rPr>
          <w:sz w:val="22"/>
          <w:szCs w:val="22"/>
        </w:rPr>
        <w:tab/>
        <w:t>The Statement of Accounts contains estimated figures that are based on assumptions made by the Fund about the future or that are otherwise uncertain. Estimates are made taking into consideration historical experience, current trends and other relevant factors. However, as balances cannot be determined with certainty, actual results could be materially different from the assumptions and estimates.</w:t>
      </w:r>
    </w:p>
    <w:p w14:paraId="3684D9E5" w14:textId="77777777" w:rsidR="00930F48" w:rsidRDefault="00930F48" w:rsidP="00AA5845">
      <w:pPr>
        <w:pStyle w:val="Default"/>
        <w:ind w:left="426" w:hanging="426"/>
        <w:jc w:val="both"/>
        <w:rPr>
          <w:sz w:val="22"/>
          <w:szCs w:val="22"/>
        </w:rPr>
      </w:pPr>
    </w:p>
    <w:tbl>
      <w:tblPr>
        <w:tblStyle w:val="TableGrid"/>
        <w:tblW w:w="8925" w:type="dxa"/>
        <w:tblInd w:w="426" w:type="dxa"/>
        <w:tblLook w:val="04A0" w:firstRow="1" w:lastRow="0" w:firstColumn="1" w:lastColumn="0" w:noHBand="0" w:noVBand="1"/>
      </w:tblPr>
      <w:tblGrid>
        <w:gridCol w:w="2821"/>
        <w:gridCol w:w="2846"/>
        <w:gridCol w:w="3258"/>
      </w:tblGrid>
      <w:tr w:rsidR="00112F7F" w14:paraId="1667BAC4" w14:textId="77777777" w:rsidTr="00DD5661">
        <w:trPr>
          <w:tblHeader/>
        </w:trPr>
        <w:tc>
          <w:tcPr>
            <w:tcW w:w="2821" w:type="dxa"/>
          </w:tcPr>
          <w:p w14:paraId="4BDEF093" w14:textId="7E47F8CE" w:rsidR="008C755B" w:rsidRPr="00EE37A2" w:rsidRDefault="008C755B" w:rsidP="00AA5845">
            <w:pPr>
              <w:pStyle w:val="Default"/>
              <w:jc w:val="both"/>
              <w:rPr>
                <w:b/>
                <w:bCs/>
                <w:sz w:val="22"/>
                <w:szCs w:val="22"/>
              </w:rPr>
            </w:pPr>
            <w:r w:rsidRPr="00EE37A2">
              <w:rPr>
                <w:b/>
                <w:bCs/>
                <w:sz w:val="22"/>
                <w:szCs w:val="22"/>
              </w:rPr>
              <w:t>Item</w:t>
            </w:r>
          </w:p>
        </w:tc>
        <w:tc>
          <w:tcPr>
            <w:tcW w:w="2846" w:type="dxa"/>
          </w:tcPr>
          <w:p w14:paraId="42C01ECE" w14:textId="31803DB2" w:rsidR="008C755B" w:rsidRPr="00EE37A2" w:rsidRDefault="008C755B" w:rsidP="00AA5845">
            <w:pPr>
              <w:pStyle w:val="Default"/>
              <w:jc w:val="both"/>
              <w:rPr>
                <w:b/>
                <w:bCs/>
                <w:sz w:val="22"/>
                <w:szCs w:val="22"/>
              </w:rPr>
            </w:pPr>
            <w:r w:rsidRPr="00EE37A2">
              <w:rPr>
                <w:b/>
                <w:bCs/>
                <w:sz w:val="22"/>
                <w:szCs w:val="22"/>
              </w:rPr>
              <w:t>Uncertainties</w:t>
            </w:r>
          </w:p>
        </w:tc>
        <w:tc>
          <w:tcPr>
            <w:tcW w:w="3258" w:type="dxa"/>
          </w:tcPr>
          <w:p w14:paraId="5F6A91C9" w14:textId="6EFA4478" w:rsidR="008C755B" w:rsidRPr="00EE37A2" w:rsidRDefault="008C755B" w:rsidP="00AA5845">
            <w:pPr>
              <w:pStyle w:val="Default"/>
              <w:jc w:val="both"/>
              <w:rPr>
                <w:b/>
                <w:bCs/>
                <w:sz w:val="22"/>
                <w:szCs w:val="22"/>
              </w:rPr>
            </w:pPr>
            <w:r w:rsidRPr="00EE37A2">
              <w:rPr>
                <w:b/>
                <w:bCs/>
                <w:sz w:val="22"/>
                <w:szCs w:val="22"/>
              </w:rPr>
              <w:t xml:space="preserve">Effect if actual </w:t>
            </w:r>
            <w:r w:rsidR="00EE37A2" w:rsidRPr="00EE37A2">
              <w:rPr>
                <w:b/>
                <w:bCs/>
                <w:sz w:val="22"/>
                <w:szCs w:val="22"/>
              </w:rPr>
              <w:t>results differ from assumptions</w:t>
            </w:r>
          </w:p>
        </w:tc>
      </w:tr>
      <w:tr w:rsidR="00112F7F" w14:paraId="2178F342" w14:textId="77777777" w:rsidTr="00DD5661">
        <w:tc>
          <w:tcPr>
            <w:tcW w:w="2821" w:type="dxa"/>
          </w:tcPr>
          <w:p w14:paraId="2474B684" w14:textId="5F9D0813" w:rsidR="008C755B" w:rsidRDefault="002B4DE5" w:rsidP="00AA5845">
            <w:pPr>
              <w:pStyle w:val="Default"/>
              <w:jc w:val="both"/>
              <w:rPr>
                <w:sz w:val="22"/>
                <w:szCs w:val="22"/>
              </w:rPr>
            </w:pPr>
            <w:r w:rsidRPr="002B4DE5">
              <w:rPr>
                <w:sz w:val="22"/>
                <w:szCs w:val="22"/>
              </w:rPr>
              <w:t>Actuarial present value of promised</w:t>
            </w:r>
            <w:r>
              <w:rPr>
                <w:sz w:val="22"/>
                <w:szCs w:val="22"/>
              </w:rPr>
              <w:t xml:space="preserve"> </w:t>
            </w:r>
            <w:r w:rsidRPr="002B4DE5">
              <w:rPr>
                <w:sz w:val="22"/>
                <w:szCs w:val="22"/>
              </w:rPr>
              <w:t>retirement benefits</w:t>
            </w:r>
          </w:p>
        </w:tc>
        <w:tc>
          <w:tcPr>
            <w:tcW w:w="2846" w:type="dxa"/>
          </w:tcPr>
          <w:p w14:paraId="2C8A9A1B" w14:textId="75456DC2" w:rsidR="008C755B" w:rsidRDefault="001F40E2" w:rsidP="00AA5845">
            <w:pPr>
              <w:pStyle w:val="Default"/>
              <w:jc w:val="both"/>
              <w:rPr>
                <w:sz w:val="22"/>
                <w:szCs w:val="22"/>
              </w:rPr>
            </w:pPr>
            <w:r w:rsidRPr="001F40E2">
              <w:rPr>
                <w:sz w:val="22"/>
                <w:szCs w:val="22"/>
              </w:rPr>
              <w:t>Actuarial present value of promised retirement benefits depends on several complex assumptions and judgements from the RPI inflation, the assumed salary changes, discount rate, mortality rate and others. These assumptions are applied by the pension funds actuary in consultation with the fund to whom they provide expert advice. The effects of changes in the assumptions used on the net pension liability can be measured.</w:t>
            </w:r>
          </w:p>
        </w:tc>
        <w:tc>
          <w:tcPr>
            <w:tcW w:w="3258" w:type="dxa"/>
          </w:tcPr>
          <w:p w14:paraId="3E05AF07" w14:textId="3174C73A" w:rsidR="008C755B" w:rsidRPr="006656B3" w:rsidRDefault="009C2AFE" w:rsidP="009C2AFE">
            <w:pPr>
              <w:pStyle w:val="Default"/>
              <w:numPr>
                <w:ilvl w:val="0"/>
                <w:numId w:val="30"/>
              </w:numPr>
              <w:jc w:val="both"/>
              <w:rPr>
                <w:sz w:val="22"/>
                <w:szCs w:val="22"/>
              </w:rPr>
            </w:pPr>
            <w:r w:rsidRPr="006656B3">
              <w:rPr>
                <w:sz w:val="22"/>
                <w:szCs w:val="22"/>
              </w:rPr>
              <w:t xml:space="preserve">A 0.1% increase in discount rate would </w:t>
            </w:r>
            <w:r w:rsidR="00ED6AFA" w:rsidRPr="006656B3">
              <w:rPr>
                <w:sz w:val="22"/>
                <w:szCs w:val="22"/>
              </w:rPr>
              <w:t>reduce</w:t>
            </w:r>
            <w:r w:rsidR="0051651A" w:rsidRPr="006656B3">
              <w:rPr>
                <w:sz w:val="22"/>
                <w:szCs w:val="22"/>
              </w:rPr>
              <w:t xml:space="preserve"> futu</w:t>
            </w:r>
            <w:r w:rsidR="008A7539" w:rsidRPr="006656B3">
              <w:rPr>
                <w:sz w:val="22"/>
                <w:szCs w:val="22"/>
              </w:rPr>
              <w:t xml:space="preserve">re pension liabilities by </w:t>
            </w:r>
            <w:r w:rsidR="00C72667" w:rsidRPr="006656B3">
              <w:rPr>
                <w:sz w:val="22"/>
                <w:szCs w:val="22"/>
              </w:rPr>
              <w:t>c. £</w:t>
            </w:r>
            <w:r w:rsidR="00ED6AFA" w:rsidRPr="006656B3">
              <w:rPr>
                <w:sz w:val="22"/>
                <w:szCs w:val="22"/>
              </w:rPr>
              <w:t>18</w:t>
            </w:r>
            <w:r w:rsidR="00C72667" w:rsidRPr="006656B3">
              <w:rPr>
                <w:sz w:val="22"/>
                <w:szCs w:val="22"/>
              </w:rPr>
              <w:t xml:space="preserve">m </w:t>
            </w:r>
          </w:p>
          <w:p w14:paraId="7EB5C6CC" w14:textId="77777777" w:rsidR="008A3AC7" w:rsidRPr="00C05210" w:rsidRDefault="00FC4816" w:rsidP="009C2AFE">
            <w:pPr>
              <w:pStyle w:val="Default"/>
              <w:numPr>
                <w:ilvl w:val="0"/>
                <w:numId w:val="30"/>
              </w:numPr>
              <w:jc w:val="both"/>
              <w:rPr>
                <w:sz w:val="22"/>
                <w:szCs w:val="22"/>
              </w:rPr>
            </w:pPr>
            <w:r w:rsidRPr="00C05210">
              <w:rPr>
                <w:sz w:val="22"/>
                <w:szCs w:val="22"/>
              </w:rPr>
              <w:t xml:space="preserve">A 0.1% increase in long term salary </w:t>
            </w:r>
            <w:r w:rsidR="0096220D" w:rsidRPr="00C05210">
              <w:rPr>
                <w:sz w:val="22"/>
                <w:szCs w:val="22"/>
              </w:rPr>
              <w:t xml:space="preserve">would increase future pension liabilities by </w:t>
            </w:r>
            <w:r w:rsidR="00BE47EC" w:rsidRPr="00C05210">
              <w:rPr>
                <w:sz w:val="22"/>
                <w:szCs w:val="22"/>
              </w:rPr>
              <w:t>c. £1m</w:t>
            </w:r>
          </w:p>
          <w:p w14:paraId="5C46C178" w14:textId="726BB551" w:rsidR="00D64816" w:rsidRDefault="00D64816" w:rsidP="009C2AFE">
            <w:pPr>
              <w:pStyle w:val="Default"/>
              <w:numPr>
                <w:ilvl w:val="0"/>
                <w:numId w:val="30"/>
              </w:numPr>
              <w:jc w:val="both"/>
              <w:rPr>
                <w:sz w:val="22"/>
                <w:szCs w:val="22"/>
              </w:rPr>
            </w:pPr>
            <w:r w:rsidRPr="00013315">
              <w:rPr>
                <w:sz w:val="22"/>
                <w:szCs w:val="22"/>
              </w:rPr>
              <w:t xml:space="preserve">A 0.1% increase in pension increases and deferred revaluation would </w:t>
            </w:r>
            <w:r w:rsidR="003C3131" w:rsidRPr="00013315">
              <w:rPr>
                <w:sz w:val="22"/>
                <w:szCs w:val="22"/>
              </w:rPr>
              <w:t>increase future pension liabilities by c. £</w:t>
            </w:r>
            <w:r w:rsidR="00013315" w:rsidRPr="00013315">
              <w:rPr>
                <w:sz w:val="22"/>
                <w:szCs w:val="22"/>
              </w:rPr>
              <w:t>17</w:t>
            </w:r>
            <w:r w:rsidR="003C3131" w:rsidRPr="00013315">
              <w:rPr>
                <w:sz w:val="22"/>
                <w:szCs w:val="22"/>
              </w:rPr>
              <w:t>m</w:t>
            </w:r>
            <w:r w:rsidR="003C3131">
              <w:rPr>
                <w:sz w:val="22"/>
                <w:szCs w:val="22"/>
              </w:rPr>
              <w:t xml:space="preserve"> </w:t>
            </w:r>
          </w:p>
        </w:tc>
      </w:tr>
      <w:tr w:rsidR="00112F7F" w14:paraId="53E62561" w14:textId="77777777" w:rsidTr="00DD5661">
        <w:tc>
          <w:tcPr>
            <w:tcW w:w="2821" w:type="dxa"/>
          </w:tcPr>
          <w:p w14:paraId="3818FC93" w14:textId="55F6887A" w:rsidR="008C755B" w:rsidRDefault="00441964" w:rsidP="00AA5845">
            <w:pPr>
              <w:pStyle w:val="Default"/>
              <w:jc w:val="both"/>
              <w:rPr>
                <w:sz w:val="22"/>
                <w:szCs w:val="22"/>
              </w:rPr>
            </w:pPr>
            <w:r>
              <w:rPr>
                <w:sz w:val="22"/>
                <w:szCs w:val="22"/>
              </w:rPr>
              <w:t xml:space="preserve">Level 3 unquoted investments </w:t>
            </w:r>
          </w:p>
        </w:tc>
        <w:tc>
          <w:tcPr>
            <w:tcW w:w="2846" w:type="dxa"/>
          </w:tcPr>
          <w:p w14:paraId="319E65D3" w14:textId="621CCF3E" w:rsidR="008C755B" w:rsidRDefault="001F40E2" w:rsidP="00AA5845">
            <w:pPr>
              <w:pStyle w:val="Default"/>
              <w:jc w:val="both"/>
              <w:rPr>
                <w:sz w:val="22"/>
                <w:szCs w:val="22"/>
              </w:rPr>
            </w:pPr>
            <w:r w:rsidRPr="001F40E2">
              <w:rPr>
                <w:sz w:val="22"/>
                <w:szCs w:val="22"/>
              </w:rPr>
              <w:t>All investments are measured at fair value and by necessity, unquoted investments involve a degree of estimation. Notes 15 and 22 provide information about valuation methodology and the assumptions made in deriving the estimates.</w:t>
            </w:r>
          </w:p>
        </w:tc>
        <w:tc>
          <w:tcPr>
            <w:tcW w:w="3258" w:type="dxa"/>
          </w:tcPr>
          <w:p w14:paraId="24B52200" w14:textId="0BE04A5A" w:rsidR="008C755B" w:rsidRDefault="003E7D11" w:rsidP="003E7D11">
            <w:pPr>
              <w:pStyle w:val="Default"/>
              <w:numPr>
                <w:ilvl w:val="0"/>
                <w:numId w:val="31"/>
              </w:numPr>
              <w:jc w:val="both"/>
              <w:rPr>
                <w:sz w:val="22"/>
                <w:szCs w:val="22"/>
              </w:rPr>
            </w:pPr>
            <w:r w:rsidRPr="00B72236">
              <w:rPr>
                <w:sz w:val="22"/>
                <w:szCs w:val="22"/>
              </w:rPr>
              <w:t xml:space="preserve">The fund has determined that the valuation methods described above are likely to be accurate to within the following ranges, and has set out the consequent potential impact on the closing value of investments held </w:t>
            </w:r>
            <w:proofErr w:type="gramStart"/>
            <w:r w:rsidRPr="00B72236">
              <w:rPr>
                <w:sz w:val="22"/>
                <w:szCs w:val="22"/>
              </w:rPr>
              <w:t>at</w:t>
            </w:r>
            <w:proofErr w:type="gramEnd"/>
            <w:r w:rsidRPr="00B72236">
              <w:rPr>
                <w:sz w:val="22"/>
                <w:szCs w:val="22"/>
              </w:rPr>
              <w:t xml:space="preserve"> 31 March 202</w:t>
            </w:r>
            <w:r w:rsidR="007932C0" w:rsidRPr="00B72236">
              <w:rPr>
                <w:sz w:val="22"/>
                <w:szCs w:val="22"/>
              </w:rPr>
              <w:t>5</w:t>
            </w:r>
            <w:r w:rsidRPr="00B72236">
              <w:rPr>
                <w:sz w:val="22"/>
                <w:szCs w:val="22"/>
              </w:rPr>
              <w:t>. The ass</w:t>
            </w:r>
            <w:r w:rsidR="00B52E64" w:rsidRPr="00B72236">
              <w:rPr>
                <w:sz w:val="22"/>
                <w:szCs w:val="22"/>
              </w:rPr>
              <w:t>e</w:t>
            </w:r>
            <w:r w:rsidR="00D1103B">
              <w:rPr>
                <w:sz w:val="22"/>
                <w:szCs w:val="22"/>
              </w:rPr>
              <w:t>ssed</w:t>
            </w:r>
            <w:r w:rsidRPr="00B72236">
              <w:rPr>
                <w:sz w:val="22"/>
                <w:szCs w:val="22"/>
              </w:rPr>
              <w:t xml:space="preserve"> valuation range is 10% for property holdings and 15% for infrastructure, private equity and hedge funds</w:t>
            </w:r>
            <w:r w:rsidR="000A10CD" w:rsidRPr="00B72236">
              <w:rPr>
                <w:sz w:val="22"/>
                <w:szCs w:val="22"/>
              </w:rPr>
              <w:t>.</w:t>
            </w:r>
            <w:r w:rsidR="000A10CD">
              <w:rPr>
                <w:sz w:val="22"/>
                <w:szCs w:val="22"/>
              </w:rPr>
              <w:t xml:space="preserve"> </w:t>
            </w:r>
          </w:p>
        </w:tc>
      </w:tr>
    </w:tbl>
    <w:p w14:paraId="44B728D9" w14:textId="77777777" w:rsidR="00930F48" w:rsidRDefault="00930F48" w:rsidP="00AA5845">
      <w:pPr>
        <w:pStyle w:val="Default"/>
        <w:ind w:left="426" w:hanging="426"/>
        <w:jc w:val="both"/>
        <w:rPr>
          <w:sz w:val="22"/>
          <w:szCs w:val="22"/>
        </w:rPr>
      </w:pPr>
    </w:p>
    <w:p w14:paraId="249182E5" w14:textId="77777777" w:rsidR="0000423B" w:rsidRDefault="0000423B" w:rsidP="00AA5845">
      <w:pPr>
        <w:pStyle w:val="Default"/>
        <w:ind w:left="426" w:hanging="426"/>
        <w:jc w:val="both"/>
        <w:rPr>
          <w:sz w:val="22"/>
          <w:szCs w:val="22"/>
        </w:rPr>
      </w:pPr>
    </w:p>
    <w:p w14:paraId="601CF5B2" w14:textId="77777777" w:rsidR="003C45DA" w:rsidRPr="008C2016" w:rsidRDefault="003C45DA" w:rsidP="00AA5845">
      <w:pPr>
        <w:pStyle w:val="ListParagraph"/>
        <w:numPr>
          <w:ilvl w:val="0"/>
          <w:numId w:val="24"/>
        </w:numPr>
        <w:spacing w:after="0" w:line="240" w:lineRule="auto"/>
        <w:ind w:left="426" w:hanging="426"/>
        <w:jc w:val="both"/>
        <w:rPr>
          <w:rFonts w:ascii="Arial" w:hAnsi="Arial" w:cs="Arial"/>
          <w:b/>
        </w:rPr>
      </w:pPr>
      <w:r w:rsidRPr="008C2016">
        <w:rPr>
          <w:rFonts w:ascii="Arial" w:hAnsi="Arial" w:cs="Arial"/>
          <w:b/>
        </w:rPr>
        <w:t>Additional Voluntary Contributions (AVC)</w:t>
      </w:r>
    </w:p>
    <w:p w14:paraId="520AA792" w14:textId="77777777" w:rsidR="003C45DA" w:rsidRPr="008C2016" w:rsidRDefault="003C45DA" w:rsidP="00AA5845">
      <w:pPr>
        <w:pStyle w:val="ListParagraph"/>
        <w:spacing w:after="0" w:line="20" w:lineRule="atLeast"/>
        <w:ind w:left="426" w:hanging="426"/>
        <w:jc w:val="both"/>
        <w:rPr>
          <w:rFonts w:ascii="Arial" w:hAnsi="Arial" w:cs="Arial"/>
        </w:rPr>
      </w:pPr>
    </w:p>
    <w:p w14:paraId="37FEEB05" w14:textId="5D721C7D" w:rsidR="00053103" w:rsidRPr="008C2016" w:rsidRDefault="003C45DA" w:rsidP="00AA5845">
      <w:pPr>
        <w:pStyle w:val="ListParagraph"/>
        <w:spacing w:after="0" w:line="20" w:lineRule="atLeast"/>
        <w:ind w:left="426" w:hanging="426"/>
        <w:jc w:val="both"/>
        <w:rPr>
          <w:rFonts w:ascii="Arial" w:hAnsi="Arial" w:cs="Arial"/>
        </w:rPr>
      </w:pPr>
      <w:r w:rsidRPr="008C2016">
        <w:rPr>
          <w:rFonts w:ascii="Arial" w:hAnsi="Arial" w:cs="Arial"/>
          <w:lang w:val="en-US"/>
        </w:rPr>
        <w:tab/>
        <w:t xml:space="preserve">Additional Voluntary Contributions (AVCs) administered by </w:t>
      </w:r>
      <w:proofErr w:type="gramStart"/>
      <w:r w:rsidRPr="008C2016">
        <w:rPr>
          <w:rFonts w:ascii="Arial" w:hAnsi="Arial" w:cs="Arial"/>
          <w:lang w:val="en-US"/>
        </w:rPr>
        <w:t>the Prudential</w:t>
      </w:r>
      <w:proofErr w:type="gramEnd"/>
      <w:r w:rsidR="00165F73">
        <w:rPr>
          <w:rFonts w:ascii="Arial" w:hAnsi="Arial" w:cs="Arial"/>
          <w:lang w:val="en-US"/>
        </w:rPr>
        <w:t xml:space="preserve"> were</w:t>
      </w:r>
      <w:r w:rsidRPr="008C2016">
        <w:rPr>
          <w:rFonts w:ascii="Arial" w:hAnsi="Arial" w:cs="Arial"/>
          <w:lang w:val="en-US"/>
        </w:rPr>
        <w:t xml:space="preserve"> made by LBBD employees during the year</w:t>
      </w:r>
      <w:r w:rsidR="00165F73">
        <w:rPr>
          <w:rFonts w:ascii="Arial" w:hAnsi="Arial" w:cs="Arial"/>
          <w:lang w:val="en-US"/>
        </w:rPr>
        <w:t xml:space="preserve">. </w:t>
      </w:r>
      <w:r w:rsidRPr="008C2016">
        <w:rPr>
          <w:rFonts w:ascii="Arial" w:hAnsi="Arial" w:cs="Arial"/>
          <w:lang w:val="en-US"/>
        </w:rPr>
        <w:t>In</w:t>
      </w:r>
      <w:r w:rsidRPr="008C2016">
        <w:rPr>
          <w:rFonts w:ascii="Arial" w:hAnsi="Arial" w:cs="Arial"/>
        </w:rPr>
        <w:t xml:space="preserve"> accordance with Regulation 4(2) (b) of the Pension Scheme (Management and Investment of Funds) Regulations 2009 the contributions </w:t>
      </w:r>
      <w:proofErr w:type="gramStart"/>
      <w:r w:rsidRPr="008C2016">
        <w:rPr>
          <w:rFonts w:ascii="Arial" w:hAnsi="Arial" w:cs="Arial"/>
        </w:rPr>
        <w:t>paid</w:t>
      </w:r>
      <w:proofErr w:type="gramEnd"/>
      <w:r w:rsidRPr="008C2016">
        <w:rPr>
          <w:rFonts w:ascii="Arial" w:hAnsi="Arial" w:cs="Arial"/>
        </w:rPr>
        <w:t xml:space="preserve"> and the assets of these investments are not included in the Pension Fund Accounts. </w:t>
      </w:r>
    </w:p>
    <w:p w14:paraId="744C8CDF" w14:textId="77777777" w:rsidR="00053103" w:rsidRPr="008C2016" w:rsidRDefault="00053103" w:rsidP="00AA5845">
      <w:pPr>
        <w:pStyle w:val="ListParagraph"/>
        <w:spacing w:after="0" w:line="20" w:lineRule="atLeast"/>
        <w:ind w:left="426" w:hanging="426"/>
        <w:jc w:val="both"/>
        <w:rPr>
          <w:rFonts w:ascii="Arial" w:hAnsi="Arial" w:cs="Arial"/>
        </w:rPr>
      </w:pPr>
    </w:p>
    <w:p w14:paraId="7DCB7A2E" w14:textId="3A653035" w:rsidR="003C45DA" w:rsidRPr="008A0A4E" w:rsidRDefault="003C45DA" w:rsidP="00AA5845">
      <w:pPr>
        <w:pStyle w:val="ListParagraph"/>
        <w:spacing w:after="0" w:line="20" w:lineRule="atLeast"/>
        <w:ind w:left="426"/>
        <w:jc w:val="both"/>
        <w:rPr>
          <w:rFonts w:ascii="Arial" w:hAnsi="Arial" w:cs="Arial"/>
          <w:lang w:val="en-US"/>
        </w:rPr>
      </w:pPr>
      <w:r w:rsidRPr="007732F6">
        <w:rPr>
          <w:rFonts w:ascii="Arial" w:hAnsi="Arial" w:cs="Arial"/>
          <w:lang w:val="en-US"/>
        </w:rPr>
        <w:t xml:space="preserve">AVCs were valued by Prudential at a market value of </w:t>
      </w:r>
      <w:r w:rsidRPr="007732F6">
        <w:rPr>
          <w:rFonts w:ascii="Arial" w:hAnsi="Arial" w:cs="Arial"/>
          <w:b/>
          <w:lang w:val="en-US"/>
        </w:rPr>
        <w:t>£</w:t>
      </w:r>
      <w:r w:rsidR="007732F6" w:rsidRPr="007732F6">
        <w:rPr>
          <w:rFonts w:ascii="Arial" w:hAnsi="Arial" w:cs="Arial"/>
          <w:b/>
          <w:lang w:val="en-US"/>
        </w:rPr>
        <w:t>4.2</w:t>
      </w:r>
      <w:r w:rsidR="001C7F77" w:rsidRPr="007732F6">
        <w:rPr>
          <w:rFonts w:ascii="Arial" w:hAnsi="Arial" w:cs="Arial"/>
          <w:b/>
          <w:lang w:val="en-US"/>
        </w:rPr>
        <w:t>m</w:t>
      </w:r>
      <w:r w:rsidRPr="007732F6">
        <w:rPr>
          <w:rFonts w:ascii="Arial" w:hAnsi="Arial" w:cs="Arial"/>
          <w:lang w:val="en-US"/>
        </w:rPr>
        <w:t xml:space="preserve"> (</w:t>
      </w:r>
      <w:r w:rsidR="001C7F77" w:rsidRPr="007732F6">
        <w:rPr>
          <w:rFonts w:ascii="Arial" w:hAnsi="Arial" w:cs="Arial"/>
          <w:lang w:val="en-US"/>
        </w:rPr>
        <w:t xml:space="preserve">31 March 2024 </w:t>
      </w:r>
      <w:proofErr w:type="gramStart"/>
      <w:r w:rsidR="001C7F77" w:rsidRPr="007732F6">
        <w:rPr>
          <w:rFonts w:ascii="Arial" w:hAnsi="Arial" w:cs="Arial"/>
          <w:lang w:val="en-US"/>
        </w:rPr>
        <w:t xml:space="preserve">- </w:t>
      </w:r>
      <w:r w:rsidRPr="007732F6">
        <w:rPr>
          <w:rFonts w:ascii="Arial" w:hAnsi="Arial" w:cs="Arial"/>
          <w:lang w:val="en-US"/>
        </w:rPr>
        <w:t xml:space="preserve"> £</w:t>
      </w:r>
      <w:proofErr w:type="gramEnd"/>
      <w:r w:rsidR="00447285" w:rsidRPr="007732F6">
        <w:rPr>
          <w:rFonts w:ascii="Arial" w:hAnsi="Arial" w:cs="Arial"/>
          <w:lang w:val="en-US"/>
        </w:rPr>
        <w:t>3.</w:t>
      </w:r>
      <w:r w:rsidR="001C7F77" w:rsidRPr="007732F6">
        <w:rPr>
          <w:rFonts w:ascii="Arial" w:hAnsi="Arial" w:cs="Arial"/>
          <w:lang w:val="en-US"/>
        </w:rPr>
        <w:t>2</w:t>
      </w:r>
      <w:r w:rsidRPr="007732F6">
        <w:rPr>
          <w:rFonts w:ascii="Arial" w:hAnsi="Arial" w:cs="Arial"/>
          <w:lang w:val="en-US"/>
        </w:rPr>
        <w:t>m).</w:t>
      </w:r>
      <w:r w:rsidRPr="008A0A4E">
        <w:rPr>
          <w:rFonts w:ascii="Arial" w:hAnsi="Arial" w:cs="Arial"/>
          <w:lang w:val="en-US"/>
        </w:rPr>
        <w:t xml:space="preserve"> </w:t>
      </w:r>
    </w:p>
    <w:p w14:paraId="021B375E" w14:textId="77777777" w:rsidR="003C45DA" w:rsidRPr="008A0A4E" w:rsidRDefault="003C45DA" w:rsidP="00AA5845">
      <w:pPr>
        <w:pStyle w:val="ListParagraph"/>
        <w:spacing w:line="20" w:lineRule="atLeast"/>
        <w:ind w:left="426" w:hanging="426"/>
        <w:jc w:val="both"/>
        <w:rPr>
          <w:rFonts w:ascii="Arial" w:hAnsi="Arial" w:cs="Arial"/>
          <w:b/>
        </w:rPr>
      </w:pPr>
    </w:p>
    <w:p w14:paraId="6927BFFA" w14:textId="77777777" w:rsidR="003C45DA" w:rsidRPr="008A0A4E" w:rsidRDefault="003C45DA" w:rsidP="00AA5845">
      <w:pPr>
        <w:pStyle w:val="ListParagraph"/>
        <w:numPr>
          <w:ilvl w:val="0"/>
          <w:numId w:val="24"/>
        </w:numPr>
        <w:spacing w:line="20" w:lineRule="atLeast"/>
        <w:ind w:left="426" w:hanging="426"/>
        <w:jc w:val="both"/>
        <w:rPr>
          <w:rFonts w:ascii="Arial" w:hAnsi="Arial" w:cs="Arial"/>
          <w:b/>
        </w:rPr>
      </w:pPr>
      <w:r w:rsidRPr="008A0A4E">
        <w:rPr>
          <w:rFonts w:ascii="Arial" w:hAnsi="Arial" w:cs="Arial"/>
          <w:b/>
        </w:rPr>
        <w:t>Recharges from the General Fund</w:t>
      </w:r>
    </w:p>
    <w:p w14:paraId="34FCC7D2" w14:textId="77777777" w:rsidR="003C45DA" w:rsidRPr="008A0A4E" w:rsidRDefault="003C45DA" w:rsidP="00AA5845">
      <w:pPr>
        <w:pStyle w:val="ListParagraph"/>
        <w:spacing w:after="0" w:line="20" w:lineRule="atLeast"/>
        <w:ind w:left="426" w:hanging="426"/>
        <w:jc w:val="both"/>
        <w:rPr>
          <w:rFonts w:ascii="Arial" w:hAnsi="Arial" w:cs="Arial"/>
          <w:b/>
        </w:rPr>
      </w:pPr>
    </w:p>
    <w:p w14:paraId="608A8047" w14:textId="77777777" w:rsidR="003C45DA" w:rsidRPr="008A0A4E" w:rsidRDefault="003C45DA" w:rsidP="00E0524A">
      <w:pPr>
        <w:pStyle w:val="ListParagraph"/>
        <w:spacing w:after="0" w:line="20" w:lineRule="atLeast"/>
        <w:ind w:left="426"/>
        <w:jc w:val="both"/>
        <w:rPr>
          <w:rFonts w:ascii="Arial" w:hAnsi="Arial" w:cs="Arial"/>
        </w:rPr>
      </w:pPr>
      <w:r w:rsidRPr="008A0A4E">
        <w:rPr>
          <w:rFonts w:ascii="Arial" w:hAnsi="Arial" w:cs="Arial"/>
        </w:rPr>
        <w:t xml:space="preserve">The LGPS (Management and Investment of Funds) Regulations 2016 permit the Council to charge administration costs to the Fund. A proportion of the relevant Council costs have been charged to the Fund </w:t>
      </w:r>
      <w:proofErr w:type="gramStart"/>
      <w:r w:rsidRPr="008A0A4E">
        <w:rPr>
          <w:rFonts w:ascii="Arial" w:hAnsi="Arial" w:cs="Arial"/>
        </w:rPr>
        <w:t>on the basis of</w:t>
      </w:r>
      <w:proofErr w:type="gramEnd"/>
      <w:r w:rsidRPr="008A0A4E">
        <w:rPr>
          <w:rFonts w:ascii="Arial" w:hAnsi="Arial" w:cs="Arial"/>
        </w:rPr>
        <w:t xml:space="preserve"> actual time spent on Pension Fund business. Costs incurred in the administration and the oversight and governance of the Fund are included in Note 12.</w:t>
      </w:r>
    </w:p>
    <w:p w14:paraId="3C681E73" w14:textId="77777777" w:rsidR="003C45DA" w:rsidRPr="008A0A4E" w:rsidRDefault="003C45DA" w:rsidP="00AA5845">
      <w:pPr>
        <w:pStyle w:val="ListParagraph"/>
        <w:spacing w:after="0" w:line="20" w:lineRule="atLeast"/>
        <w:ind w:left="426" w:hanging="426"/>
        <w:jc w:val="both"/>
        <w:rPr>
          <w:rFonts w:ascii="Arial" w:hAnsi="Arial" w:cs="Arial"/>
        </w:rPr>
      </w:pPr>
    </w:p>
    <w:p w14:paraId="016508E2" w14:textId="77777777" w:rsidR="003C45DA" w:rsidRPr="008A0A4E" w:rsidRDefault="003C45DA" w:rsidP="00AA5845">
      <w:pPr>
        <w:pStyle w:val="ListParagraph"/>
        <w:numPr>
          <w:ilvl w:val="0"/>
          <w:numId w:val="24"/>
        </w:numPr>
        <w:ind w:left="426" w:hanging="426"/>
        <w:jc w:val="both"/>
        <w:rPr>
          <w:rFonts w:ascii="Arial" w:hAnsi="Arial" w:cs="Arial"/>
          <w:b/>
        </w:rPr>
      </w:pPr>
      <w:r w:rsidRPr="008A0A4E">
        <w:rPr>
          <w:rFonts w:ascii="Arial" w:hAnsi="Arial" w:cs="Arial"/>
          <w:b/>
        </w:rPr>
        <w:t>Contributions</w:t>
      </w:r>
    </w:p>
    <w:p w14:paraId="2547265E" w14:textId="611516CD" w:rsidR="00053103" w:rsidRDefault="003C45DA" w:rsidP="00AA5845">
      <w:pPr>
        <w:ind w:left="426" w:hanging="426"/>
        <w:jc w:val="both"/>
        <w:rPr>
          <w:rFonts w:ascii="Arial" w:hAnsi="Arial" w:cs="Arial"/>
          <w:sz w:val="22"/>
          <w:szCs w:val="22"/>
        </w:rPr>
      </w:pPr>
      <w:r w:rsidRPr="008A0A4E">
        <w:rPr>
          <w:rFonts w:ascii="Arial" w:hAnsi="Arial" w:cs="Arial"/>
          <w:sz w:val="22"/>
          <w:szCs w:val="22"/>
        </w:rPr>
        <w:tab/>
        <w:t xml:space="preserve">Benefits are funded by contributions and investment earnings. Contributions are made by active members of the Fund in accordance with the LGPS (Benefits, Membership and Contributions) Regulations 2007, </w:t>
      </w:r>
      <w:r w:rsidRPr="00DB1744">
        <w:rPr>
          <w:rFonts w:ascii="Arial" w:hAnsi="Arial" w:cs="Arial"/>
          <w:sz w:val="22"/>
          <w:szCs w:val="22"/>
        </w:rPr>
        <w:t xml:space="preserve">ranging </w:t>
      </w:r>
      <w:r w:rsidRPr="002D33B6">
        <w:rPr>
          <w:rFonts w:ascii="Arial" w:hAnsi="Arial" w:cs="Arial"/>
          <w:sz w:val="22"/>
          <w:szCs w:val="22"/>
        </w:rPr>
        <w:t>from 5.5% to 12.5% of</w:t>
      </w:r>
      <w:r w:rsidRPr="00C561FD">
        <w:rPr>
          <w:rFonts w:ascii="Arial" w:hAnsi="Arial" w:cs="Arial"/>
          <w:sz w:val="22"/>
          <w:szCs w:val="22"/>
        </w:rPr>
        <w:t xml:space="preserve"> pensionable pay</w:t>
      </w:r>
      <w:r w:rsidRPr="008A0A4E">
        <w:rPr>
          <w:rFonts w:ascii="Arial" w:hAnsi="Arial" w:cs="Arial"/>
          <w:sz w:val="22"/>
          <w:szCs w:val="22"/>
        </w:rPr>
        <w:t xml:space="preserve"> for the financial year ending 31 March 20</w:t>
      </w:r>
      <w:r w:rsidR="0002344D" w:rsidRPr="008A0A4E">
        <w:rPr>
          <w:rFonts w:ascii="Arial" w:hAnsi="Arial" w:cs="Arial"/>
          <w:sz w:val="22"/>
          <w:szCs w:val="22"/>
        </w:rPr>
        <w:t>2</w:t>
      </w:r>
      <w:r w:rsidR="00CF427E">
        <w:rPr>
          <w:rFonts w:ascii="Arial" w:hAnsi="Arial" w:cs="Arial"/>
          <w:sz w:val="22"/>
          <w:szCs w:val="22"/>
        </w:rPr>
        <w:t>5</w:t>
      </w:r>
      <w:r w:rsidRPr="008A0A4E">
        <w:rPr>
          <w:rFonts w:ascii="Arial" w:hAnsi="Arial" w:cs="Arial"/>
          <w:sz w:val="22"/>
          <w:szCs w:val="22"/>
        </w:rPr>
        <w:t xml:space="preserve">. Employee contributions are matched by employer contributions, which are set based on triennial actuarial funding valuations. </w:t>
      </w:r>
    </w:p>
    <w:p w14:paraId="1871CF52" w14:textId="77777777" w:rsidR="00053103" w:rsidRDefault="00053103" w:rsidP="00AA5845">
      <w:pPr>
        <w:ind w:left="426" w:hanging="426"/>
        <w:jc w:val="both"/>
        <w:rPr>
          <w:rFonts w:ascii="Arial" w:hAnsi="Arial" w:cs="Arial"/>
          <w:sz w:val="22"/>
          <w:szCs w:val="22"/>
        </w:rPr>
      </w:pPr>
    </w:p>
    <w:p w14:paraId="0B72F895" w14:textId="057C68E5" w:rsidR="003C45DA" w:rsidRPr="008A0A4E" w:rsidRDefault="003C45DA" w:rsidP="00825AB9">
      <w:pPr>
        <w:ind w:left="426"/>
        <w:jc w:val="both"/>
        <w:rPr>
          <w:rFonts w:ascii="Arial" w:hAnsi="Arial" w:cs="Arial"/>
          <w:sz w:val="22"/>
          <w:szCs w:val="22"/>
        </w:rPr>
      </w:pPr>
      <w:r w:rsidRPr="004A5D5D">
        <w:rPr>
          <w:rFonts w:ascii="Arial" w:hAnsi="Arial" w:cs="Arial"/>
          <w:sz w:val="22"/>
          <w:szCs w:val="22"/>
        </w:rPr>
        <w:t xml:space="preserve">Currently employer contribution rates </w:t>
      </w:r>
      <w:r w:rsidRPr="005A2A7C">
        <w:rPr>
          <w:rFonts w:ascii="Arial" w:hAnsi="Arial" w:cs="Arial"/>
          <w:sz w:val="22"/>
          <w:szCs w:val="22"/>
        </w:rPr>
        <w:t xml:space="preserve">range </w:t>
      </w:r>
      <w:r w:rsidRPr="007F1562">
        <w:rPr>
          <w:rFonts w:ascii="Arial" w:hAnsi="Arial" w:cs="Arial"/>
          <w:sz w:val="22"/>
          <w:szCs w:val="22"/>
        </w:rPr>
        <w:t xml:space="preserve">from </w:t>
      </w:r>
      <w:r w:rsidRPr="00414B67">
        <w:rPr>
          <w:rFonts w:ascii="Arial" w:hAnsi="Arial" w:cs="Arial"/>
          <w:sz w:val="22"/>
          <w:szCs w:val="22"/>
        </w:rPr>
        <w:t>1</w:t>
      </w:r>
      <w:r w:rsidR="004A5D5D" w:rsidRPr="00414B67">
        <w:rPr>
          <w:rFonts w:ascii="Arial" w:hAnsi="Arial" w:cs="Arial"/>
          <w:sz w:val="22"/>
          <w:szCs w:val="22"/>
        </w:rPr>
        <w:t>8.</w:t>
      </w:r>
      <w:r w:rsidR="00A12411" w:rsidRPr="00414B67">
        <w:rPr>
          <w:rFonts w:ascii="Arial" w:hAnsi="Arial" w:cs="Arial"/>
          <w:sz w:val="22"/>
          <w:szCs w:val="22"/>
        </w:rPr>
        <w:t>2</w:t>
      </w:r>
      <w:r w:rsidRPr="00414B67">
        <w:rPr>
          <w:rFonts w:ascii="Arial" w:hAnsi="Arial" w:cs="Arial"/>
          <w:sz w:val="22"/>
          <w:szCs w:val="22"/>
        </w:rPr>
        <w:t xml:space="preserve">% to </w:t>
      </w:r>
      <w:r w:rsidR="00A12411" w:rsidRPr="00414B67">
        <w:rPr>
          <w:rFonts w:ascii="Arial" w:hAnsi="Arial" w:cs="Arial"/>
          <w:sz w:val="22"/>
          <w:szCs w:val="22"/>
        </w:rPr>
        <w:t>34.4</w:t>
      </w:r>
      <w:r w:rsidRPr="00414B67">
        <w:rPr>
          <w:rFonts w:ascii="Arial" w:hAnsi="Arial" w:cs="Arial"/>
          <w:sz w:val="22"/>
          <w:szCs w:val="22"/>
        </w:rPr>
        <w:t xml:space="preserve">%. </w:t>
      </w:r>
    </w:p>
    <w:p w14:paraId="6B1FA9CF" w14:textId="6F4309B4" w:rsidR="000805DE" w:rsidRPr="00F928FC" w:rsidRDefault="003C45DA" w:rsidP="00825AB9">
      <w:pPr>
        <w:ind w:left="426" w:hanging="426"/>
        <w:jc w:val="both"/>
        <w:rPr>
          <w:rFonts w:ascii="Arial" w:hAnsi="Arial" w:cs="Arial"/>
          <w:sz w:val="22"/>
          <w:szCs w:val="22"/>
        </w:rPr>
      </w:pPr>
      <w:r w:rsidRPr="008A0A4E">
        <w:rPr>
          <w:rFonts w:ascii="Arial" w:hAnsi="Arial" w:cs="Arial"/>
          <w:sz w:val="22"/>
          <w:szCs w:val="22"/>
        </w:rPr>
        <w:tab/>
        <w:t>Pension strain contributions are accounted for in the period in which the liability arises.  Any amounts due in year but unpaid will be classed as a current financial asset.</w:t>
      </w:r>
      <w:r w:rsidR="00825AB9">
        <w:rPr>
          <w:rFonts w:ascii="Arial" w:hAnsi="Arial" w:cs="Arial"/>
          <w:sz w:val="22"/>
          <w:szCs w:val="22"/>
        </w:rPr>
        <w:t xml:space="preserve"> </w:t>
      </w:r>
      <w:r w:rsidRPr="008A0A4E">
        <w:rPr>
          <w:rFonts w:ascii="Arial" w:hAnsi="Arial" w:cs="Arial"/>
          <w:sz w:val="22"/>
          <w:szCs w:val="22"/>
        </w:rPr>
        <w:t>The Council uses</w:t>
      </w:r>
      <w:r w:rsidRPr="008A0A4E">
        <w:rPr>
          <w:rFonts w:ascii="Arial" w:hAnsi="Arial" w:cs="Arial"/>
          <w:color w:val="000000"/>
          <w:sz w:val="22"/>
          <w:szCs w:val="22"/>
        </w:rPr>
        <w:t xml:space="preserve"> a mechanism to stabilise the contribution rates</w:t>
      </w:r>
      <w:r w:rsidRPr="008A0A4E">
        <w:rPr>
          <w:rFonts w:ascii="Arial" w:hAnsi="Arial" w:cs="Arial"/>
          <w:sz w:val="22"/>
          <w:szCs w:val="22"/>
        </w:rPr>
        <w:t xml:space="preserve">. This was agreed following the actuary, </w:t>
      </w:r>
      <w:r w:rsidR="00457FD4">
        <w:rPr>
          <w:rFonts w:ascii="Arial" w:hAnsi="Arial" w:cs="Arial"/>
          <w:sz w:val="22"/>
          <w:szCs w:val="22"/>
        </w:rPr>
        <w:t>Barnett Waddingham</w:t>
      </w:r>
      <w:r w:rsidRPr="008A0A4E">
        <w:rPr>
          <w:rFonts w:ascii="Arial" w:hAnsi="Arial" w:cs="Arial"/>
          <w:sz w:val="22"/>
          <w:szCs w:val="22"/>
        </w:rPr>
        <w:t xml:space="preserve">, completing a </w:t>
      </w:r>
      <w:r w:rsidRPr="008A0A4E">
        <w:rPr>
          <w:rFonts w:ascii="Arial" w:hAnsi="Arial" w:cs="Arial"/>
          <w:color w:val="000000"/>
          <w:sz w:val="22"/>
          <w:szCs w:val="22"/>
        </w:rPr>
        <w:t xml:space="preserve">stochastic modelling of the long-term funding position. </w:t>
      </w:r>
      <w:r w:rsidRPr="007C6D3F">
        <w:rPr>
          <w:rFonts w:ascii="Arial" w:hAnsi="Arial" w:cs="Arial"/>
          <w:color w:val="000000"/>
          <w:sz w:val="22"/>
          <w:szCs w:val="22"/>
        </w:rPr>
        <w:t xml:space="preserve">Eligibility for stabilisation is dependent on reasonable consistency in an employer’s membership profile. </w:t>
      </w:r>
      <w:r w:rsidRPr="007C6D3F">
        <w:rPr>
          <w:rFonts w:ascii="Arial" w:hAnsi="Arial" w:cs="Arial"/>
          <w:sz w:val="22"/>
          <w:szCs w:val="22"/>
        </w:rPr>
        <w:t>The primary contribution rate for the financial year ending 31 March 20</w:t>
      </w:r>
      <w:r w:rsidR="001D00E5" w:rsidRPr="007C6D3F">
        <w:rPr>
          <w:rFonts w:ascii="Arial" w:hAnsi="Arial" w:cs="Arial"/>
          <w:sz w:val="22"/>
          <w:szCs w:val="22"/>
        </w:rPr>
        <w:t>2</w:t>
      </w:r>
      <w:r w:rsidR="00327407">
        <w:rPr>
          <w:rFonts w:ascii="Arial" w:hAnsi="Arial" w:cs="Arial"/>
          <w:sz w:val="22"/>
          <w:szCs w:val="22"/>
        </w:rPr>
        <w:t>5</w:t>
      </w:r>
      <w:r w:rsidRPr="007C6D3F">
        <w:rPr>
          <w:rFonts w:ascii="Arial" w:hAnsi="Arial" w:cs="Arial"/>
          <w:sz w:val="22"/>
          <w:szCs w:val="22"/>
        </w:rPr>
        <w:t xml:space="preserve"> was </w:t>
      </w:r>
      <w:r w:rsidRPr="00FC4E6A">
        <w:rPr>
          <w:rFonts w:ascii="Arial" w:hAnsi="Arial" w:cs="Arial"/>
          <w:sz w:val="22"/>
          <w:szCs w:val="22"/>
        </w:rPr>
        <w:t>2</w:t>
      </w:r>
      <w:r w:rsidR="00DD2377" w:rsidRPr="00FC4E6A">
        <w:rPr>
          <w:rFonts w:ascii="Arial" w:hAnsi="Arial" w:cs="Arial"/>
          <w:sz w:val="22"/>
          <w:szCs w:val="22"/>
        </w:rPr>
        <w:t>1.</w:t>
      </w:r>
      <w:r w:rsidR="00C52BE1">
        <w:rPr>
          <w:rFonts w:ascii="Arial" w:hAnsi="Arial" w:cs="Arial"/>
          <w:sz w:val="22"/>
          <w:szCs w:val="22"/>
        </w:rPr>
        <w:t>2</w:t>
      </w:r>
      <w:r w:rsidRPr="00FC4E6A">
        <w:rPr>
          <w:rFonts w:ascii="Arial" w:hAnsi="Arial" w:cs="Arial"/>
          <w:sz w:val="22"/>
          <w:szCs w:val="22"/>
        </w:rPr>
        <w:t>%.</w:t>
      </w:r>
      <w:r w:rsidRPr="008A0A4E">
        <w:rPr>
          <w:rFonts w:ascii="Arial" w:hAnsi="Arial" w:cs="Arial"/>
          <w:sz w:val="22"/>
          <w:szCs w:val="22"/>
        </w:rPr>
        <w:t xml:space="preserve"> </w:t>
      </w:r>
    </w:p>
    <w:p w14:paraId="07F8EBAB" w14:textId="77777777" w:rsidR="00AE00B3" w:rsidRDefault="00AE00B3" w:rsidP="00AA5845">
      <w:pPr>
        <w:ind w:left="426" w:hanging="426"/>
        <w:jc w:val="both"/>
        <w:rPr>
          <w:rFonts w:ascii="Arial" w:hAnsi="Arial" w:cs="Arial"/>
          <w:sz w:val="22"/>
          <w:szCs w:val="22"/>
        </w:rPr>
      </w:pPr>
    </w:p>
    <w:p w14:paraId="4F90EA0B" w14:textId="42AF59EE" w:rsidR="0087512C" w:rsidRDefault="003C45DA" w:rsidP="00DB6CA5">
      <w:pPr>
        <w:ind w:left="426"/>
        <w:jc w:val="both"/>
        <w:rPr>
          <w:rFonts w:ascii="Arial" w:hAnsi="Arial" w:cs="Arial"/>
          <w:sz w:val="22"/>
          <w:szCs w:val="22"/>
        </w:rPr>
      </w:pPr>
      <w:r w:rsidRPr="008A0A4E">
        <w:rPr>
          <w:rFonts w:ascii="Arial" w:hAnsi="Arial" w:cs="Arial"/>
          <w:sz w:val="22"/>
          <w:szCs w:val="22"/>
        </w:rPr>
        <w:t>Contributions shown in the revenue statement may be categorised as follows:</w:t>
      </w:r>
    </w:p>
    <w:p w14:paraId="762AAACA" w14:textId="77777777" w:rsidR="0014310A" w:rsidRDefault="0014310A" w:rsidP="00DB6CA5">
      <w:pPr>
        <w:ind w:left="426"/>
        <w:jc w:val="both"/>
        <w:rPr>
          <w:rFonts w:ascii="Arial" w:hAnsi="Arial" w:cs="Arial"/>
          <w:sz w:val="22"/>
          <w:szCs w:val="22"/>
        </w:rPr>
      </w:pPr>
    </w:p>
    <w:p w14:paraId="7F74A157" w14:textId="77777777" w:rsidR="0014310A" w:rsidRDefault="0014310A" w:rsidP="00DB6CA5">
      <w:pPr>
        <w:ind w:left="426"/>
        <w:jc w:val="both"/>
        <w:rPr>
          <w:rFonts w:ascii="Arial" w:hAnsi="Arial" w:cs="Arial"/>
          <w:sz w:val="22"/>
          <w:szCs w:val="22"/>
        </w:rPr>
      </w:pPr>
    </w:p>
    <w:p w14:paraId="1EEA9390" w14:textId="77777777" w:rsidR="0014310A" w:rsidRDefault="0014310A" w:rsidP="00DB6CA5">
      <w:pPr>
        <w:ind w:left="426"/>
        <w:jc w:val="both"/>
        <w:rPr>
          <w:rFonts w:ascii="Arial" w:hAnsi="Arial" w:cs="Arial"/>
          <w:sz w:val="22"/>
          <w:szCs w:val="22"/>
        </w:rPr>
      </w:pPr>
    </w:p>
    <w:p w14:paraId="2ED1C185" w14:textId="77777777" w:rsidR="0014310A" w:rsidRDefault="0014310A" w:rsidP="00DB6CA5">
      <w:pPr>
        <w:ind w:left="426"/>
        <w:jc w:val="both"/>
        <w:rPr>
          <w:rFonts w:ascii="Arial" w:hAnsi="Arial" w:cs="Arial"/>
          <w:sz w:val="22"/>
          <w:szCs w:val="22"/>
        </w:rPr>
      </w:pPr>
    </w:p>
    <w:p w14:paraId="6D104CC9" w14:textId="77777777" w:rsidR="0014310A" w:rsidRDefault="0014310A" w:rsidP="00DB6CA5">
      <w:pPr>
        <w:ind w:left="426"/>
        <w:jc w:val="both"/>
        <w:rPr>
          <w:rFonts w:ascii="Arial" w:hAnsi="Arial" w:cs="Arial"/>
          <w:sz w:val="22"/>
          <w:szCs w:val="22"/>
        </w:rPr>
      </w:pPr>
    </w:p>
    <w:p w14:paraId="3998610D" w14:textId="77777777" w:rsidR="0014310A" w:rsidRDefault="0014310A" w:rsidP="00DB6CA5">
      <w:pPr>
        <w:ind w:left="426"/>
        <w:jc w:val="both"/>
        <w:rPr>
          <w:rFonts w:ascii="Arial" w:hAnsi="Arial" w:cs="Arial"/>
          <w:sz w:val="22"/>
          <w:szCs w:val="22"/>
        </w:rPr>
      </w:pPr>
    </w:p>
    <w:p w14:paraId="36906791" w14:textId="77777777" w:rsidR="0014310A" w:rsidRDefault="0014310A" w:rsidP="00DB6CA5">
      <w:pPr>
        <w:ind w:left="426"/>
        <w:jc w:val="both"/>
        <w:rPr>
          <w:rFonts w:ascii="Arial" w:hAnsi="Arial" w:cs="Arial"/>
          <w:sz w:val="22"/>
          <w:szCs w:val="22"/>
        </w:rPr>
      </w:pPr>
    </w:p>
    <w:p w14:paraId="6384AE99" w14:textId="77777777" w:rsidR="0014310A" w:rsidRDefault="0014310A" w:rsidP="00DB6CA5">
      <w:pPr>
        <w:ind w:left="426"/>
        <w:jc w:val="both"/>
        <w:rPr>
          <w:rFonts w:ascii="Arial" w:hAnsi="Arial" w:cs="Arial"/>
          <w:sz w:val="22"/>
          <w:szCs w:val="22"/>
        </w:rPr>
      </w:pPr>
    </w:p>
    <w:p w14:paraId="3592CCFF" w14:textId="77777777" w:rsidR="0014310A" w:rsidRDefault="0014310A" w:rsidP="00DB6CA5">
      <w:pPr>
        <w:ind w:left="426"/>
        <w:jc w:val="both"/>
        <w:rPr>
          <w:rFonts w:ascii="Arial" w:hAnsi="Arial" w:cs="Arial"/>
          <w:sz w:val="22"/>
          <w:szCs w:val="22"/>
        </w:rPr>
      </w:pPr>
    </w:p>
    <w:tbl>
      <w:tblPr>
        <w:tblW w:w="9621" w:type="dxa"/>
        <w:jc w:val="center"/>
        <w:tblLayout w:type="fixed"/>
        <w:tblLook w:val="00A0" w:firstRow="1" w:lastRow="0" w:firstColumn="1" w:lastColumn="0" w:noHBand="0" w:noVBand="0"/>
      </w:tblPr>
      <w:tblGrid>
        <w:gridCol w:w="343"/>
        <w:gridCol w:w="5528"/>
        <w:gridCol w:w="279"/>
        <w:gridCol w:w="1534"/>
        <w:gridCol w:w="462"/>
        <w:gridCol w:w="19"/>
        <w:gridCol w:w="1456"/>
      </w:tblGrid>
      <w:tr w:rsidR="00285AAA" w:rsidRPr="00B64150" w14:paraId="3CB69B97" w14:textId="77777777" w:rsidTr="00717100">
        <w:trPr>
          <w:trHeight w:val="82"/>
          <w:jc w:val="center"/>
        </w:trPr>
        <w:tc>
          <w:tcPr>
            <w:tcW w:w="5871" w:type="dxa"/>
            <w:gridSpan w:val="2"/>
            <w:tcBorders>
              <w:top w:val="nil"/>
              <w:left w:val="nil"/>
              <w:bottom w:val="nil"/>
              <w:right w:val="nil"/>
            </w:tcBorders>
            <w:shd w:val="clear" w:color="000000" w:fill="FFFFFF"/>
            <w:noWrap/>
            <w:vAlign w:val="bottom"/>
          </w:tcPr>
          <w:p w14:paraId="5CA020B3" w14:textId="77777777" w:rsidR="00285AAA" w:rsidRPr="008A0A4E" w:rsidRDefault="00285AAA" w:rsidP="00717100">
            <w:pPr>
              <w:rPr>
                <w:rFonts w:ascii="Arial" w:hAnsi="Arial" w:cs="Arial"/>
                <w:color w:val="000000"/>
                <w:sz w:val="22"/>
                <w:szCs w:val="22"/>
              </w:rPr>
            </w:pPr>
            <w:r w:rsidRPr="008A0A4E">
              <w:rPr>
                <w:rFonts w:ascii="Arial" w:hAnsi="Arial" w:cs="Arial"/>
                <w:b/>
                <w:bCs/>
                <w:color w:val="000000"/>
                <w:sz w:val="22"/>
                <w:szCs w:val="22"/>
              </w:rPr>
              <w:t>Contributions</w:t>
            </w:r>
          </w:p>
        </w:tc>
        <w:tc>
          <w:tcPr>
            <w:tcW w:w="279" w:type="dxa"/>
            <w:tcBorders>
              <w:top w:val="nil"/>
              <w:left w:val="nil"/>
              <w:bottom w:val="nil"/>
              <w:right w:val="nil"/>
            </w:tcBorders>
            <w:shd w:val="clear" w:color="000000" w:fill="FFFFFF"/>
            <w:noWrap/>
            <w:vAlign w:val="bottom"/>
          </w:tcPr>
          <w:p w14:paraId="061359FC" w14:textId="77777777" w:rsidR="00285AAA" w:rsidRPr="008A0A4E" w:rsidRDefault="00285AAA" w:rsidP="00717100">
            <w:pPr>
              <w:jc w:val="center"/>
              <w:rPr>
                <w:rFonts w:ascii="Arial" w:hAnsi="Arial" w:cs="Arial"/>
                <w:color w:val="000000"/>
                <w:sz w:val="22"/>
                <w:szCs w:val="22"/>
              </w:rPr>
            </w:pPr>
            <w:r w:rsidRPr="008A0A4E">
              <w:rPr>
                <w:rFonts w:ascii="Arial" w:hAnsi="Arial" w:cs="Arial"/>
                <w:color w:val="000000"/>
                <w:sz w:val="22"/>
                <w:szCs w:val="22"/>
              </w:rPr>
              <w:t> </w:t>
            </w:r>
          </w:p>
        </w:tc>
        <w:tc>
          <w:tcPr>
            <w:tcW w:w="1534" w:type="dxa"/>
            <w:tcBorders>
              <w:top w:val="nil"/>
              <w:left w:val="nil"/>
              <w:bottom w:val="nil"/>
              <w:right w:val="nil"/>
            </w:tcBorders>
            <w:shd w:val="clear" w:color="000000" w:fill="FFFFFF"/>
            <w:vAlign w:val="bottom"/>
          </w:tcPr>
          <w:p w14:paraId="2F6FBBB1" w14:textId="0295934A" w:rsidR="00285AAA" w:rsidRPr="002D1995" w:rsidRDefault="00285AAA" w:rsidP="00692913">
            <w:pPr>
              <w:jc w:val="center"/>
              <w:rPr>
                <w:rFonts w:ascii="Arial" w:hAnsi="Arial" w:cs="Arial"/>
                <w:b/>
                <w:bCs/>
                <w:color w:val="000000"/>
                <w:sz w:val="22"/>
                <w:szCs w:val="22"/>
              </w:rPr>
            </w:pPr>
            <w:r w:rsidRPr="002D1995">
              <w:rPr>
                <w:rFonts w:ascii="Arial" w:hAnsi="Arial" w:cs="Arial"/>
                <w:b/>
                <w:bCs/>
                <w:color w:val="000000"/>
                <w:sz w:val="22"/>
                <w:szCs w:val="22"/>
              </w:rPr>
              <w:t>2023/24</w:t>
            </w:r>
          </w:p>
        </w:tc>
        <w:tc>
          <w:tcPr>
            <w:tcW w:w="462" w:type="dxa"/>
            <w:tcBorders>
              <w:top w:val="nil"/>
              <w:left w:val="nil"/>
              <w:bottom w:val="nil"/>
              <w:right w:val="nil"/>
            </w:tcBorders>
            <w:shd w:val="clear" w:color="000000" w:fill="FFFFFF"/>
            <w:noWrap/>
            <w:vAlign w:val="bottom"/>
          </w:tcPr>
          <w:p w14:paraId="6C80300B" w14:textId="3A9A449C" w:rsidR="00285AAA" w:rsidRPr="008A0A4E" w:rsidRDefault="00285AAA" w:rsidP="00692913">
            <w:pPr>
              <w:jc w:val="center"/>
              <w:rPr>
                <w:rFonts w:ascii="Arial" w:hAnsi="Arial" w:cs="Arial"/>
                <w:color w:val="000000"/>
                <w:sz w:val="22"/>
                <w:szCs w:val="22"/>
              </w:rPr>
            </w:pPr>
          </w:p>
        </w:tc>
        <w:tc>
          <w:tcPr>
            <w:tcW w:w="1475" w:type="dxa"/>
            <w:gridSpan w:val="2"/>
            <w:tcBorders>
              <w:top w:val="nil"/>
              <w:left w:val="nil"/>
              <w:bottom w:val="nil"/>
              <w:right w:val="nil"/>
            </w:tcBorders>
            <w:vAlign w:val="bottom"/>
          </w:tcPr>
          <w:p w14:paraId="0CBFFF6C" w14:textId="77099C78" w:rsidR="00285AAA" w:rsidRPr="008A0A4E" w:rsidRDefault="00285AAA" w:rsidP="00692913">
            <w:pPr>
              <w:jc w:val="center"/>
              <w:rPr>
                <w:rFonts w:ascii="Arial" w:hAnsi="Arial" w:cs="Arial"/>
                <w:b/>
                <w:bCs/>
                <w:color w:val="000000"/>
                <w:sz w:val="22"/>
                <w:szCs w:val="22"/>
              </w:rPr>
            </w:pPr>
            <w:r>
              <w:rPr>
                <w:rFonts w:ascii="Arial" w:hAnsi="Arial" w:cs="Arial"/>
                <w:b/>
                <w:bCs/>
                <w:color w:val="000000"/>
                <w:sz w:val="22"/>
                <w:szCs w:val="22"/>
              </w:rPr>
              <w:t>2024/25</w:t>
            </w:r>
          </w:p>
        </w:tc>
      </w:tr>
      <w:tr w:rsidR="00285AAA" w:rsidRPr="00B64150" w14:paraId="4983241F" w14:textId="77777777" w:rsidTr="00717100">
        <w:trPr>
          <w:trHeight w:val="80"/>
          <w:jc w:val="center"/>
        </w:trPr>
        <w:tc>
          <w:tcPr>
            <w:tcW w:w="5871" w:type="dxa"/>
            <w:gridSpan w:val="2"/>
            <w:tcBorders>
              <w:top w:val="nil"/>
              <w:left w:val="nil"/>
              <w:bottom w:val="nil"/>
              <w:right w:val="nil"/>
            </w:tcBorders>
            <w:shd w:val="clear" w:color="000000" w:fill="FFFFFF"/>
            <w:noWrap/>
            <w:vAlign w:val="bottom"/>
          </w:tcPr>
          <w:p w14:paraId="447BC307" w14:textId="77777777" w:rsidR="00285AAA" w:rsidRPr="008A0A4E" w:rsidRDefault="00285AAA" w:rsidP="00717100">
            <w:pPr>
              <w:rPr>
                <w:rFonts w:ascii="Arial" w:hAnsi="Arial" w:cs="Arial"/>
                <w:color w:val="000000"/>
                <w:sz w:val="22"/>
                <w:szCs w:val="22"/>
              </w:rPr>
            </w:pPr>
            <w:r w:rsidRPr="008A0A4E">
              <w:rPr>
                <w:rFonts w:ascii="Arial" w:hAnsi="Arial" w:cs="Arial"/>
                <w:b/>
                <w:bCs/>
                <w:color w:val="000000"/>
                <w:sz w:val="22"/>
                <w:szCs w:val="22"/>
              </w:rPr>
              <w:t>Members normal contributions</w:t>
            </w:r>
          </w:p>
        </w:tc>
        <w:tc>
          <w:tcPr>
            <w:tcW w:w="279" w:type="dxa"/>
            <w:tcBorders>
              <w:top w:val="nil"/>
              <w:left w:val="nil"/>
              <w:bottom w:val="nil"/>
              <w:right w:val="nil"/>
            </w:tcBorders>
            <w:shd w:val="clear" w:color="000000" w:fill="FFFFFF"/>
            <w:noWrap/>
            <w:vAlign w:val="bottom"/>
          </w:tcPr>
          <w:p w14:paraId="5AF5AED8" w14:textId="77777777" w:rsidR="00285AAA" w:rsidRPr="008A0A4E" w:rsidRDefault="00285AAA" w:rsidP="00717100">
            <w:pPr>
              <w:jc w:val="center"/>
              <w:rPr>
                <w:rFonts w:ascii="Arial" w:hAnsi="Arial" w:cs="Arial"/>
                <w:b/>
                <w:bCs/>
                <w:color w:val="000000"/>
                <w:sz w:val="22"/>
                <w:szCs w:val="22"/>
              </w:rPr>
            </w:pPr>
          </w:p>
        </w:tc>
        <w:tc>
          <w:tcPr>
            <w:tcW w:w="1534" w:type="dxa"/>
            <w:tcBorders>
              <w:top w:val="nil"/>
              <w:left w:val="nil"/>
              <w:bottom w:val="nil"/>
              <w:right w:val="nil"/>
            </w:tcBorders>
            <w:shd w:val="clear" w:color="000000" w:fill="FFFFFF"/>
            <w:vAlign w:val="bottom"/>
          </w:tcPr>
          <w:p w14:paraId="1E41835D" w14:textId="77777777" w:rsidR="00285AAA" w:rsidRPr="002D1995" w:rsidRDefault="00285AAA" w:rsidP="00692913">
            <w:pPr>
              <w:jc w:val="center"/>
              <w:rPr>
                <w:rFonts w:ascii="Arial" w:hAnsi="Arial" w:cs="Arial"/>
                <w:b/>
                <w:bCs/>
                <w:color w:val="000000"/>
                <w:sz w:val="22"/>
                <w:szCs w:val="22"/>
              </w:rPr>
            </w:pPr>
            <w:r w:rsidRPr="002D1995">
              <w:rPr>
                <w:rFonts w:ascii="Arial" w:hAnsi="Arial" w:cs="Arial"/>
                <w:b/>
                <w:bCs/>
                <w:color w:val="000000"/>
                <w:sz w:val="22"/>
                <w:szCs w:val="22"/>
              </w:rPr>
              <w:t>£000</w:t>
            </w:r>
          </w:p>
        </w:tc>
        <w:tc>
          <w:tcPr>
            <w:tcW w:w="462" w:type="dxa"/>
            <w:tcBorders>
              <w:top w:val="nil"/>
              <w:left w:val="nil"/>
              <w:bottom w:val="nil"/>
              <w:right w:val="nil"/>
            </w:tcBorders>
            <w:shd w:val="clear" w:color="000000" w:fill="FFFFFF"/>
            <w:noWrap/>
            <w:vAlign w:val="bottom"/>
          </w:tcPr>
          <w:p w14:paraId="52595A08" w14:textId="4B46EBE3" w:rsidR="00285AAA" w:rsidRPr="008A0A4E" w:rsidRDefault="00285AAA" w:rsidP="00692913">
            <w:pPr>
              <w:jc w:val="center"/>
              <w:rPr>
                <w:rFonts w:ascii="Arial" w:hAnsi="Arial" w:cs="Arial"/>
                <w:color w:val="000000"/>
                <w:sz w:val="22"/>
                <w:szCs w:val="22"/>
              </w:rPr>
            </w:pPr>
          </w:p>
        </w:tc>
        <w:tc>
          <w:tcPr>
            <w:tcW w:w="1475" w:type="dxa"/>
            <w:gridSpan w:val="2"/>
            <w:tcBorders>
              <w:top w:val="nil"/>
              <w:left w:val="nil"/>
              <w:bottom w:val="nil"/>
              <w:right w:val="nil"/>
            </w:tcBorders>
            <w:shd w:val="clear" w:color="000000" w:fill="FFFFFF"/>
            <w:noWrap/>
            <w:vAlign w:val="bottom"/>
          </w:tcPr>
          <w:p w14:paraId="48DFB72D" w14:textId="77777777" w:rsidR="00285AAA" w:rsidRPr="008A0A4E" w:rsidRDefault="00285AAA" w:rsidP="00692913">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285AAA" w:rsidRPr="005A20FD" w14:paraId="670BD95E" w14:textId="77777777" w:rsidTr="0027105B">
        <w:trPr>
          <w:trHeight w:val="96"/>
          <w:jc w:val="center"/>
        </w:trPr>
        <w:tc>
          <w:tcPr>
            <w:tcW w:w="343" w:type="dxa"/>
            <w:tcBorders>
              <w:top w:val="nil"/>
              <w:left w:val="nil"/>
              <w:bottom w:val="nil"/>
              <w:right w:val="nil"/>
            </w:tcBorders>
            <w:shd w:val="clear" w:color="000000" w:fill="FFFFFF"/>
            <w:noWrap/>
            <w:vAlign w:val="bottom"/>
          </w:tcPr>
          <w:p w14:paraId="470D8CE2"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6DE288D9"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Council</w:t>
            </w:r>
          </w:p>
        </w:tc>
        <w:tc>
          <w:tcPr>
            <w:tcW w:w="279" w:type="dxa"/>
            <w:tcBorders>
              <w:top w:val="nil"/>
              <w:left w:val="nil"/>
              <w:bottom w:val="nil"/>
              <w:right w:val="nil"/>
            </w:tcBorders>
            <w:shd w:val="clear" w:color="000000" w:fill="FFFFFF"/>
            <w:noWrap/>
            <w:vAlign w:val="bottom"/>
          </w:tcPr>
          <w:p w14:paraId="26A8E95D"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390D6A6E" w14:textId="0AC6DE4A"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9,727</w:t>
            </w:r>
          </w:p>
        </w:tc>
        <w:tc>
          <w:tcPr>
            <w:tcW w:w="481" w:type="dxa"/>
            <w:gridSpan w:val="2"/>
            <w:tcBorders>
              <w:top w:val="nil"/>
              <w:left w:val="nil"/>
              <w:bottom w:val="nil"/>
              <w:right w:val="nil"/>
            </w:tcBorders>
            <w:shd w:val="clear" w:color="000000" w:fill="FFFFFF"/>
            <w:noWrap/>
            <w:vAlign w:val="bottom"/>
          </w:tcPr>
          <w:p w14:paraId="52B8C90A" w14:textId="77777777" w:rsidR="00285AAA" w:rsidRPr="005A20FD" w:rsidRDefault="00285AAA" w:rsidP="00285AAA">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vAlign w:val="center"/>
          </w:tcPr>
          <w:p w14:paraId="16055EA0" w14:textId="671036B1" w:rsidR="00285AAA" w:rsidRPr="0033435A" w:rsidRDefault="00D575B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10,002</w:t>
            </w:r>
          </w:p>
        </w:tc>
      </w:tr>
      <w:tr w:rsidR="00285AAA" w:rsidRPr="005A20FD" w14:paraId="7EEC121D" w14:textId="77777777" w:rsidTr="0027105B">
        <w:trPr>
          <w:trHeight w:val="96"/>
          <w:jc w:val="center"/>
        </w:trPr>
        <w:tc>
          <w:tcPr>
            <w:tcW w:w="343" w:type="dxa"/>
            <w:tcBorders>
              <w:top w:val="nil"/>
              <w:left w:val="nil"/>
              <w:bottom w:val="nil"/>
              <w:right w:val="nil"/>
            </w:tcBorders>
            <w:shd w:val="clear" w:color="000000" w:fill="FFFFFF"/>
            <w:noWrap/>
            <w:vAlign w:val="bottom"/>
          </w:tcPr>
          <w:p w14:paraId="4C9EE2A9"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066A3C5F"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Admitted bodies</w:t>
            </w:r>
          </w:p>
        </w:tc>
        <w:tc>
          <w:tcPr>
            <w:tcW w:w="279" w:type="dxa"/>
            <w:tcBorders>
              <w:top w:val="nil"/>
              <w:left w:val="nil"/>
              <w:bottom w:val="nil"/>
              <w:right w:val="nil"/>
            </w:tcBorders>
            <w:shd w:val="clear" w:color="000000" w:fill="FFFFFF"/>
            <w:noWrap/>
            <w:vAlign w:val="bottom"/>
          </w:tcPr>
          <w:p w14:paraId="349ACD39"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31BFCCD7" w14:textId="631EBE1A"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409</w:t>
            </w:r>
          </w:p>
        </w:tc>
        <w:tc>
          <w:tcPr>
            <w:tcW w:w="481" w:type="dxa"/>
            <w:gridSpan w:val="2"/>
            <w:tcBorders>
              <w:top w:val="nil"/>
              <w:left w:val="nil"/>
              <w:bottom w:val="nil"/>
              <w:right w:val="nil"/>
            </w:tcBorders>
            <w:shd w:val="clear" w:color="000000" w:fill="FFFFFF"/>
            <w:noWrap/>
            <w:vAlign w:val="bottom"/>
          </w:tcPr>
          <w:p w14:paraId="2622125F" w14:textId="77777777" w:rsidR="00285AAA" w:rsidRPr="005A20FD" w:rsidRDefault="00285AAA" w:rsidP="00285AAA">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vAlign w:val="center"/>
          </w:tcPr>
          <w:p w14:paraId="04279E2F" w14:textId="5D6E0015" w:rsidR="00285AAA" w:rsidRPr="0033435A" w:rsidRDefault="00D575B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351</w:t>
            </w:r>
          </w:p>
        </w:tc>
      </w:tr>
      <w:tr w:rsidR="00285AAA" w:rsidRPr="005A20FD" w14:paraId="5D0684E3" w14:textId="77777777" w:rsidTr="0027105B">
        <w:trPr>
          <w:trHeight w:val="96"/>
          <w:jc w:val="center"/>
        </w:trPr>
        <w:tc>
          <w:tcPr>
            <w:tcW w:w="343" w:type="dxa"/>
            <w:tcBorders>
              <w:top w:val="nil"/>
              <w:left w:val="nil"/>
              <w:bottom w:val="nil"/>
              <w:right w:val="nil"/>
            </w:tcBorders>
            <w:shd w:val="clear" w:color="000000" w:fill="FFFFFF"/>
            <w:noWrap/>
            <w:vAlign w:val="bottom"/>
          </w:tcPr>
          <w:p w14:paraId="417FE6B5"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62C2977A"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Scheduled bodies</w:t>
            </w:r>
          </w:p>
        </w:tc>
        <w:tc>
          <w:tcPr>
            <w:tcW w:w="279" w:type="dxa"/>
            <w:tcBorders>
              <w:top w:val="nil"/>
              <w:left w:val="nil"/>
              <w:bottom w:val="nil"/>
              <w:right w:val="nil"/>
            </w:tcBorders>
            <w:shd w:val="clear" w:color="000000" w:fill="FFFFFF"/>
            <w:noWrap/>
            <w:vAlign w:val="bottom"/>
          </w:tcPr>
          <w:p w14:paraId="5E3A0879"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7363EC09" w14:textId="386B3F97"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2,206</w:t>
            </w:r>
          </w:p>
        </w:tc>
        <w:tc>
          <w:tcPr>
            <w:tcW w:w="481" w:type="dxa"/>
            <w:gridSpan w:val="2"/>
            <w:tcBorders>
              <w:top w:val="nil"/>
              <w:left w:val="nil"/>
              <w:bottom w:val="nil"/>
              <w:right w:val="nil"/>
            </w:tcBorders>
            <w:shd w:val="clear" w:color="000000" w:fill="FFFFFF"/>
            <w:noWrap/>
            <w:vAlign w:val="bottom"/>
          </w:tcPr>
          <w:p w14:paraId="5B630C8E" w14:textId="77777777" w:rsidR="00285AAA" w:rsidRPr="005A20FD" w:rsidRDefault="00285AAA" w:rsidP="00285AAA">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vAlign w:val="center"/>
          </w:tcPr>
          <w:p w14:paraId="01E58406" w14:textId="0C0314C8" w:rsidR="00285AAA" w:rsidRPr="0033435A" w:rsidRDefault="00E324F5"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2,367</w:t>
            </w:r>
          </w:p>
        </w:tc>
      </w:tr>
      <w:tr w:rsidR="00285AAA" w:rsidRPr="005A20FD" w14:paraId="41A8D876" w14:textId="77777777" w:rsidTr="0027105B">
        <w:trPr>
          <w:trHeight w:val="96"/>
          <w:jc w:val="center"/>
        </w:trPr>
        <w:tc>
          <w:tcPr>
            <w:tcW w:w="343" w:type="dxa"/>
            <w:tcBorders>
              <w:top w:val="nil"/>
              <w:left w:val="nil"/>
              <w:bottom w:val="nil"/>
              <w:right w:val="nil"/>
            </w:tcBorders>
            <w:shd w:val="clear" w:color="000000" w:fill="FFFFFF"/>
            <w:noWrap/>
            <w:vAlign w:val="bottom"/>
          </w:tcPr>
          <w:p w14:paraId="5E24E6D6"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48B87F93"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members</w:t>
            </w:r>
          </w:p>
        </w:tc>
        <w:tc>
          <w:tcPr>
            <w:tcW w:w="279" w:type="dxa"/>
            <w:tcBorders>
              <w:top w:val="nil"/>
              <w:left w:val="nil"/>
              <w:bottom w:val="nil"/>
              <w:right w:val="nil"/>
            </w:tcBorders>
            <w:shd w:val="clear" w:color="000000" w:fill="FFFFFF"/>
            <w:noWrap/>
            <w:vAlign w:val="bottom"/>
          </w:tcPr>
          <w:p w14:paraId="69031074"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vAlign w:val="center"/>
          </w:tcPr>
          <w:p w14:paraId="359B1B1E" w14:textId="36991EEE"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12,342</w:t>
            </w:r>
          </w:p>
        </w:tc>
        <w:tc>
          <w:tcPr>
            <w:tcW w:w="481" w:type="dxa"/>
            <w:gridSpan w:val="2"/>
            <w:tcBorders>
              <w:top w:val="nil"/>
              <w:left w:val="nil"/>
              <w:bottom w:val="nil"/>
              <w:right w:val="nil"/>
            </w:tcBorders>
            <w:shd w:val="clear" w:color="000000" w:fill="FFFFFF"/>
            <w:noWrap/>
            <w:vAlign w:val="bottom"/>
          </w:tcPr>
          <w:p w14:paraId="1A6C13BC" w14:textId="77777777" w:rsidR="00285AAA" w:rsidRPr="005A20FD" w:rsidRDefault="00285AAA" w:rsidP="00285AAA">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single" w:sz="4" w:space="0" w:color="auto"/>
              <w:left w:val="nil"/>
              <w:bottom w:val="single" w:sz="8" w:space="0" w:color="auto"/>
              <w:right w:val="nil"/>
            </w:tcBorders>
            <w:shd w:val="clear" w:color="000000" w:fill="FFFFFF"/>
            <w:noWrap/>
            <w:vAlign w:val="center"/>
          </w:tcPr>
          <w:p w14:paraId="3F3DD1DD" w14:textId="0DF46771" w:rsidR="00285AAA" w:rsidRPr="0033435A" w:rsidRDefault="00E153E9"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12,720</w:t>
            </w:r>
          </w:p>
        </w:tc>
      </w:tr>
      <w:tr w:rsidR="00285AAA" w:rsidRPr="00F63CB7" w14:paraId="03391077" w14:textId="77777777" w:rsidTr="00717100">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05850428" w14:textId="77777777" w:rsidR="00285AAA" w:rsidRPr="005A20FD" w:rsidRDefault="00285AAA" w:rsidP="00717100">
            <w:pPr>
              <w:rPr>
                <w:rFonts w:ascii="Arial" w:hAnsi="Arial" w:cs="Arial"/>
                <w:b/>
                <w:bCs/>
                <w:color w:val="000000" w:themeColor="text1"/>
                <w:sz w:val="22"/>
                <w:szCs w:val="22"/>
              </w:rPr>
            </w:pPr>
          </w:p>
        </w:tc>
        <w:tc>
          <w:tcPr>
            <w:tcW w:w="279" w:type="dxa"/>
            <w:tcBorders>
              <w:top w:val="nil"/>
              <w:left w:val="nil"/>
              <w:bottom w:val="nil"/>
              <w:right w:val="nil"/>
            </w:tcBorders>
            <w:shd w:val="clear" w:color="000000" w:fill="FFFFFF"/>
            <w:noWrap/>
            <w:vAlign w:val="bottom"/>
          </w:tcPr>
          <w:p w14:paraId="5AFD2B7A" w14:textId="77777777" w:rsidR="00285AAA" w:rsidRPr="005A20FD" w:rsidRDefault="00285AAA" w:rsidP="00717100">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noWrap/>
            <w:vAlign w:val="bottom"/>
          </w:tcPr>
          <w:p w14:paraId="3D79C2F5" w14:textId="77777777" w:rsidR="00285AAA" w:rsidRPr="00DD6AD5" w:rsidRDefault="00285AAA" w:rsidP="00717100">
            <w:pPr>
              <w:jc w:val="right"/>
              <w:rPr>
                <w:rFonts w:ascii="Arial" w:hAnsi="Arial" w:cs="Arial"/>
                <w:color w:val="000000" w:themeColor="text1"/>
                <w:sz w:val="22"/>
                <w:szCs w:val="22"/>
              </w:rPr>
            </w:pPr>
          </w:p>
        </w:tc>
      </w:tr>
      <w:tr w:rsidR="00285AAA" w:rsidRPr="00A202F9" w14:paraId="30D4A204" w14:textId="77777777" w:rsidTr="00717100">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3F396871" w14:textId="77777777" w:rsidR="00285AAA" w:rsidRPr="00A202F9" w:rsidRDefault="00285AAA" w:rsidP="00717100">
            <w:pPr>
              <w:rPr>
                <w:rFonts w:ascii="Arial" w:hAnsi="Arial" w:cs="Arial"/>
                <w:b/>
                <w:bCs/>
                <w:color w:val="000000" w:themeColor="text1"/>
                <w:sz w:val="22"/>
                <w:szCs w:val="22"/>
              </w:rPr>
            </w:pPr>
            <w:proofErr w:type="gramStart"/>
            <w:r w:rsidRPr="00A202F9">
              <w:rPr>
                <w:rFonts w:ascii="Arial" w:hAnsi="Arial" w:cs="Arial"/>
                <w:b/>
                <w:bCs/>
                <w:color w:val="000000" w:themeColor="text1"/>
                <w:sz w:val="22"/>
                <w:szCs w:val="22"/>
              </w:rPr>
              <w:t>Employers</w:t>
            </w:r>
            <w:proofErr w:type="gramEnd"/>
            <w:r w:rsidRPr="00A202F9">
              <w:rPr>
                <w:rFonts w:ascii="Arial" w:hAnsi="Arial" w:cs="Arial"/>
                <w:b/>
                <w:bCs/>
                <w:color w:val="000000" w:themeColor="text1"/>
                <w:sz w:val="22"/>
                <w:szCs w:val="22"/>
              </w:rPr>
              <w:t xml:space="preserve"> contributions</w:t>
            </w:r>
          </w:p>
        </w:tc>
        <w:tc>
          <w:tcPr>
            <w:tcW w:w="279" w:type="dxa"/>
            <w:tcBorders>
              <w:top w:val="nil"/>
              <w:left w:val="nil"/>
              <w:bottom w:val="nil"/>
              <w:right w:val="nil"/>
            </w:tcBorders>
            <w:shd w:val="clear" w:color="000000" w:fill="FFFFFF"/>
            <w:noWrap/>
            <w:vAlign w:val="bottom"/>
          </w:tcPr>
          <w:p w14:paraId="18688E46" w14:textId="77777777" w:rsidR="00285AAA" w:rsidRPr="00A202F9" w:rsidRDefault="00285AAA" w:rsidP="00717100">
            <w:pPr>
              <w:jc w:val="center"/>
              <w:rPr>
                <w:rFonts w:ascii="Arial" w:hAnsi="Arial" w:cs="Arial"/>
                <w:color w:val="000000" w:themeColor="text1"/>
                <w:sz w:val="22"/>
                <w:szCs w:val="22"/>
              </w:rPr>
            </w:pPr>
            <w:r w:rsidRPr="00A202F9">
              <w:rPr>
                <w:rFonts w:ascii="Arial" w:hAnsi="Arial" w:cs="Arial"/>
                <w:color w:val="000000" w:themeColor="text1"/>
                <w:sz w:val="22"/>
                <w:szCs w:val="22"/>
              </w:rPr>
              <w:t> </w:t>
            </w:r>
          </w:p>
        </w:tc>
        <w:tc>
          <w:tcPr>
            <w:tcW w:w="1534" w:type="dxa"/>
            <w:tcBorders>
              <w:top w:val="nil"/>
              <w:left w:val="nil"/>
              <w:bottom w:val="nil"/>
              <w:right w:val="nil"/>
            </w:tcBorders>
            <w:shd w:val="clear" w:color="000000" w:fill="FFFFFF"/>
            <w:noWrap/>
            <w:vAlign w:val="bottom"/>
          </w:tcPr>
          <w:p w14:paraId="7E26C807" w14:textId="77777777" w:rsidR="00285AAA" w:rsidRPr="00A202F9" w:rsidRDefault="00285AAA" w:rsidP="00717100">
            <w:pPr>
              <w:jc w:val="right"/>
              <w:rPr>
                <w:rFonts w:ascii="Arial" w:hAnsi="Arial" w:cs="Arial"/>
                <w:color w:val="000000" w:themeColor="text1"/>
                <w:sz w:val="22"/>
                <w:szCs w:val="22"/>
              </w:rPr>
            </w:pPr>
          </w:p>
        </w:tc>
      </w:tr>
      <w:tr w:rsidR="00285AAA" w:rsidRPr="00A202F9" w14:paraId="2372B366" w14:textId="77777777" w:rsidTr="00717100">
        <w:trPr>
          <w:trHeight w:val="96"/>
          <w:jc w:val="center"/>
        </w:trPr>
        <w:tc>
          <w:tcPr>
            <w:tcW w:w="343" w:type="dxa"/>
            <w:tcBorders>
              <w:top w:val="nil"/>
              <w:left w:val="nil"/>
              <w:bottom w:val="nil"/>
              <w:right w:val="nil"/>
            </w:tcBorders>
            <w:shd w:val="clear" w:color="000000" w:fill="FFFFFF"/>
            <w:noWrap/>
            <w:vAlign w:val="bottom"/>
          </w:tcPr>
          <w:p w14:paraId="68583576" w14:textId="77777777" w:rsidR="00285AAA" w:rsidRPr="00A202F9" w:rsidRDefault="00285AAA" w:rsidP="00285AAA">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1B07F10C" w14:textId="77777777" w:rsidR="00285AAA" w:rsidRPr="00A202F9" w:rsidRDefault="00285AAA" w:rsidP="00285AAA">
            <w:pPr>
              <w:ind w:left="-318" w:firstLine="318"/>
              <w:rPr>
                <w:rFonts w:ascii="Arial" w:hAnsi="Arial" w:cs="Arial"/>
                <w:color w:val="000000" w:themeColor="text1"/>
                <w:sz w:val="22"/>
                <w:szCs w:val="22"/>
              </w:rPr>
            </w:pPr>
            <w:r w:rsidRPr="00A202F9">
              <w:rPr>
                <w:rFonts w:ascii="Arial" w:hAnsi="Arial" w:cs="Arial"/>
                <w:color w:val="000000" w:themeColor="text1"/>
                <w:sz w:val="22"/>
                <w:szCs w:val="22"/>
              </w:rPr>
              <w:t>Council - Normal</w:t>
            </w:r>
          </w:p>
        </w:tc>
        <w:tc>
          <w:tcPr>
            <w:tcW w:w="279" w:type="dxa"/>
            <w:tcBorders>
              <w:top w:val="nil"/>
              <w:left w:val="nil"/>
              <w:bottom w:val="nil"/>
              <w:right w:val="nil"/>
            </w:tcBorders>
            <w:shd w:val="clear" w:color="000000" w:fill="FFFFFF"/>
            <w:noWrap/>
            <w:vAlign w:val="bottom"/>
          </w:tcPr>
          <w:p w14:paraId="1AB71288" w14:textId="77777777" w:rsidR="00285AAA" w:rsidRPr="00A202F9" w:rsidRDefault="00285AAA" w:rsidP="00285AAA">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vAlign w:val="center"/>
          </w:tcPr>
          <w:p w14:paraId="7C4EB595" w14:textId="4FBE262E"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30,307</w:t>
            </w:r>
          </w:p>
        </w:tc>
        <w:tc>
          <w:tcPr>
            <w:tcW w:w="481" w:type="dxa"/>
            <w:gridSpan w:val="2"/>
            <w:tcBorders>
              <w:top w:val="nil"/>
              <w:left w:val="nil"/>
              <w:bottom w:val="nil"/>
              <w:right w:val="nil"/>
            </w:tcBorders>
            <w:shd w:val="clear" w:color="000000" w:fill="FFFFFF"/>
            <w:noWrap/>
            <w:vAlign w:val="bottom"/>
          </w:tcPr>
          <w:p w14:paraId="72990E96" w14:textId="77777777" w:rsidR="00285AAA" w:rsidRPr="00A202F9"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74D17B43" w14:textId="781932D7" w:rsidR="00285AAA" w:rsidRPr="00A202F9" w:rsidRDefault="00285F0D"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31,629</w:t>
            </w:r>
          </w:p>
        </w:tc>
      </w:tr>
      <w:tr w:rsidR="00285AAA" w:rsidRPr="005A20FD" w14:paraId="04F53F69" w14:textId="77777777" w:rsidTr="00717100">
        <w:trPr>
          <w:trHeight w:val="96"/>
          <w:jc w:val="center"/>
        </w:trPr>
        <w:tc>
          <w:tcPr>
            <w:tcW w:w="343" w:type="dxa"/>
            <w:tcBorders>
              <w:top w:val="nil"/>
              <w:left w:val="nil"/>
              <w:bottom w:val="nil"/>
              <w:right w:val="nil"/>
            </w:tcBorders>
            <w:shd w:val="clear" w:color="000000" w:fill="FFFFFF"/>
            <w:noWrap/>
            <w:vAlign w:val="bottom"/>
          </w:tcPr>
          <w:p w14:paraId="025925DA" w14:textId="77777777" w:rsidR="00285AAA" w:rsidRPr="00A202F9" w:rsidRDefault="00285AAA" w:rsidP="00285AAA">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310DCED9" w14:textId="77777777" w:rsidR="00285AAA" w:rsidRPr="00A202F9" w:rsidRDefault="00285AAA" w:rsidP="00285AAA">
            <w:pPr>
              <w:rPr>
                <w:rFonts w:ascii="Arial" w:hAnsi="Arial" w:cs="Arial"/>
                <w:color w:val="000000" w:themeColor="text1"/>
                <w:sz w:val="22"/>
                <w:szCs w:val="22"/>
              </w:rPr>
            </w:pPr>
            <w:r w:rsidRPr="00A202F9">
              <w:rPr>
                <w:rFonts w:ascii="Arial" w:hAnsi="Arial" w:cs="Arial"/>
                <w:color w:val="000000" w:themeColor="text1"/>
                <w:sz w:val="22"/>
                <w:szCs w:val="22"/>
              </w:rPr>
              <w:t>Council - Deficit Recovery</w:t>
            </w:r>
          </w:p>
        </w:tc>
        <w:tc>
          <w:tcPr>
            <w:tcW w:w="279" w:type="dxa"/>
            <w:tcBorders>
              <w:top w:val="nil"/>
              <w:left w:val="nil"/>
              <w:bottom w:val="nil"/>
              <w:right w:val="nil"/>
            </w:tcBorders>
            <w:shd w:val="clear" w:color="000000" w:fill="FFFFFF"/>
            <w:noWrap/>
            <w:vAlign w:val="bottom"/>
          </w:tcPr>
          <w:p w14:paraId="79C52C94" w14:textId="77777777" w:rsidR="00285AAA" w:rsidRPr="00A202F9" w:rsidRDefault="00285AAA" w:rsidP="00285AAA">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vAlign w:val="center"/>
          </w:tcPr>
          <w:p w14:paraId="1C4C2121" w14:textId="3AFDCAD0"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1,144</w:t>
            </w:r>
          </w:p>
        </w:tc>
        <w:tc>
          <w:tcPr>
            <w:tcW w:w="481" w:type="dxa"/>
            <w:gridSpan w:val="2"/>
            <w:tcBorders>
              <w:top w:val="nil"/>
              <w:left w:val="nil"/>
              <w:bottom w:val="nil"/>
              <w:right w:val="nil"/>
            </w:tcBorders>
            <w:shd w:val="clear" w:color="000000" w:fill="FFFFFF"/>
            <w:noWrap/>
            <w:vAlign w:val="bottom"/>
          </w:tcPr>
          <w:p w14:paraId="2F9FB01A" w14:textId="77777777" w:rsidR="00285AAA" w:rsidRPr="00A202F9"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1C33A95E" w14:textId="727CA29E" w:rsidR="00285AAA" w:rsidRPr="00A10D45" w:rsidRDefault="00285F0D"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1,194</w:t>
            </w:r>
          </w:p>
        </w:tc>
      </w:tr>
      <w:tr w:rsidR="00285AAA" w:rsidRPr="005A20FD" w14:paraId="0927AF4F" w14:textId="77777777" w:rsidTr="00717100">
        <w:trPr>
          <w:trHeight w:val="96"/>
          <w:jc w:val="center"/>
        </w:trPr>
        <w:tc>
          <w:tcPr>
            <w:tcW w:w="343" w:type="dxa"/>
            <w:tcBorders>
              <w:top w:val="nil"/>
              <w:left w:val="nil"/>
              <w:bottom w:val="nil"/>
              <w:right w:val="nil"/>
            </w:tcBorders>
            <w:shd w:val="clear" w:color="000000" w:fill="FFFFFF"/>
            <w:noWrap/>
            <w:vAlign w:val="bottom"/>
          </w:tcPr>
          <w:p w14:paraId="4F8E64D4" w14:textId="77777777" w:rsidR="00285AAA" w:rsidRPr="005A20FD" w:rsidRDefault="00285AAA" w:rsidP="00285AAA">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24BEF002"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Admitted bodies - Normal</w:t>
            </w:r>
          </w:p>
        </w:tc>
        <w:tc>
          <w:tcPr>
            <w:tcW w:w="279" w:type="dxa"/>
            <w:tcBorders>
              <w:top w:val="nil"/>
              <w:left w:val="nil"/>
              <w:bottom w:val="nil"/>
              <w:right w:val="nil"/>
            </w:tcBorders>
            <w:shd w:val="clear" w:color="000000" w:fill="FFFFFF"/>
            <w:noWrap/>
            <w:vAlign w:val="bottom"/>
          </w:tcPr>
          <w:p w14:paraId="4C0A5225" w14:textId="77777777" w:rsidR="00285AAA" w:rsidRPr="005A20FD" w:rsidRDefault="00285AAA" w:rsidP="00285AAA">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vAlign w:val="center"/>
          </w:tcPr>
          <w:p w14:paraId="42FE31FA" w14:textId="68578AEC"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1,706</w:t>
            </w:r>
          </w:p>
        </w:tc>
        <w:tc>
          <w:tcPr>
            <w:tcW w:w="481" w:type="dxa"/>
            <w:gridSpan w:val="2"/>
            <w:tcBorders>
              <w:top w:val="nil"/>
              <w:left w:val="nil"/>
              <w:bottom w:val="nil"/>
              <w:right w:val="nil"/>
            </w:tcBorders>
            <w:shd w:val="clear" w:color="000000" w:fill="FFFFFF"/>
            <w:noWrap/>
            <w:vAlign w:val="bottom"/>
          </w:tcPr>
          <w:p w14:paraId="2CD02A2D" w14:textId="77777777" w:rsidR="00285AAA" w:rsidRPr="005A20FD"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48EEB878" w14:textId="36892D5C" w:rsidR="00285AAA" w:rsidRPr="00A10D45" w:rsidRDefault="00285F0D"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1,497</w:t>
            </w:r>
          </w:p>
        </w:tc>
      </w:tr>
      <w:tr w:rsidR="00285AAA" w:rsidRPr="005A20FD" w14:paraId="2BBE8B97" w14:textId="77777777" w:rsidTr="00717100">
        <w:trPr>
          <w:trHeight w:val="96"/>
          <w:jc w:val="center"/>
        </w:trPr>
        <w:tc>
          <w:tcPr>
            <w:tcW w:w="343" w:type="dxa"/>
            <w:tcBorders>
              <w:top w:val="nil"/>
              <w:left w:val="nil"/>
              <w:bottom w:val="nil"/>
              <w:right w:val="nil"/>
            </w:tcBorders>
            <w:shd w:val="clear" w:color="000000" w:fill="FFFFFF"/>
            <w:noWrap/>
            <w:vAlign w:val="bottom"/>
          </w:tcPr>
          <w:p w14:paraId="527D29C3"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26B8034B"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Admitted bodies- Deficit Recovery</w:t>
            </w:r>
          </w:p>
        </w:tc>
        <w:tc>
          <w:tcPr>
            <w:tcW w:w="279" w:type="dxa"/>
            <w:tcBorders>
              <w:top w:val="nil"/>
              <w:left w:val="nil"/>
              <w:bottom w:val="nil"/>
              <w:right w:val="nil"/>
            </w:tcBorders>
            <w:shd w:val="clear" w:color="000000" w:fill="FFFFFF"/>
            <w:noWrap/>
            <w:vAlign w:val="bottom"/>
          </w:tcPr>
          <w:p w14:paraId="7C632BD5"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0395978C" w14:textId="2D4D8A70"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24</w:t>
            </w:r>
          </w:p>
        </w:tc>
        <w:tc>
          <w:tcPr>
            <w:tcW w:w="481" w:type="dxa"/>
            <w:gridSpan w:val="2"/>
            <w:tcBorders>
              <w:top w:val="nil"/>
              <w:left w:val="nil"/>
              <w:bottom w:val="nil"/>
              <w:right w:val="nil"/>
            </w:tcBorders>
            <w:shd w:val="clear" w:color="000000" w:fill="FFFFFF"/>
            <w:noWrap/>
            <w:vAlign w:val="bottom"/>
          </w:tcPr>
          <w:p w14:paraId="1CE3916E" w14:textId="77777777" w:rsidR="00285AAA" w:rsidRPr="005A20FD"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614EEBF2" w14:textId="2EDC727D" w:rsidR="00285AAA" w:rsidRPr="00A10D45" w:rsidRDefault="00C15DA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19</w:t>
            </w:r>
          </w:p>
        </w:tc>
      </w:tr>
      <w:tr w:rsidR="00285AAA" w:rsidRPr="005A20FD" w14:paraId="058EC150" w14:textId="77777777" w:rsidTr="00717100">
        <w:trPr>
          <w:trHeight w:val="96"/>
          <w:jc w:val="center"/>
        </w:trPr>
        <w:tc>
          <w:tcPr>
            <w:tcW w:w="343" w:type="dxa"/>
            <w:tcBorders>
              <w:top w:val="nil"/>
              <w:left w:val="nil"/>
              <w:bottom w:val="nil"/>
              <w:right w:val="nil"/>
            </w:tcBorders>
            <w:shd w:val="clear" w:color="000000" w:fill="FFFFFF"/>
            <w:noWrap/>
            <w:vAlign w:val="bottom"/>
          </w:tcPr>
          <w:p w14:paraId="47FDF02E"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73F3E3C2"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Scheduled bodies - Normal</w:t>
            </w:r>
          </w:p>
        </w:tc>
        <w:tc>
          <w:tcPr>
            <w:tcW w:w="279" w:type="dxa"/>
            <w:tcBorders>
              <w:top w:val="nil"/>
              <w:left w:val="nil"/>
              <w:bottom w:val="nil"/>
              <w:right w:val="nil"/>
            </w:tcBorders>
            <w:shd w:val="clear" w:color="000000" w:fill="FFFFFF"/>
            <w:noWrap/>
            <w:vAlign w:val="bottom"/>
          </w:tcPr>
          <w:p w14:paraId="6E757B84"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2C10627A" w14:textId="2097B906"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6,890</w:t>
            </w:r>
          </w:p>
        </w:tc>
        <w:tc>
          <w:tcPr>
            <w:tcW w:w="481" w:type="dxa"/>
            <w:gridSpan w:val="2"/>
            <w:tcBorders>
              <w:top w:val="nil"/>
              <w:left w:val="nil"/>
              <w:bottom w:val="nil"/>
              <w:right w:val="nil"/>
            </w:tcBorders>
            <w:shd w:val="clear" w:color="000000" w:fill="FFFFFF"/>
            <w:noWrap/>
            <w:vAlign w:val="bottom"/>
          </w:tcPr>
          <w:p w14:paraId="0B9EAEFA" w14:textId="77777777" w:rsidR="00285AAA" w:rsidRPr="005A20FD"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61AB5953" w14:textId="39BBCEC2" w:rsidR="00285AAA" w:rsidRPr="00A10D45" w:rsidRDefault="00C15DA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7,389</w:t>
            </w:r>
          </w:p>
        </w:tc>
      </w:tr>
      <w:tr w:rsidR="00285AAA" w:rsidRPr="005A20FD" w14:paraId="48BEF906" w14:textId="77777777" w:rsidTr="00717100">
        <w:trPr>
          <w:trHeight w:val="96"/>
          <w:jc w:val="center"/>
        </w:trPr>
        <w:tc>
          <w:tcPr>
            <w:tcW w:w="343" w:type="dxa"/>
            <w:tcBorders>
              <w:top w:val="nil"/>
              <w:left w:val="nil"/>
              <w:bottom w:val="nil"/>
              <w:right w:val="nil"/>
            </w:tcBorders>
            <w:shd w:val="clear" w:color="000000" w:fill="FFFFFF"/>
            <w:noWrap/>
            <w:vAlign w:val="bottom"/>
          </w:tcPr>
          <w:p w14:paraId="509ACCB7"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5DAC5A3A"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Scheduled bodies- Deficit Recovery</w:t>
            </w:r>
          </w:p>
        </w:tc>
        <w:tc>
          <w:tcPr>
            <w:tcW w:w="279" w:type="dxa"/>
            <w:tcBorders>
              <w:top w:val="nil"/>
              <w:left w:val="nil"/>
              <w:bottom w:val="nil"/>
              <w:right w:val="nil"/>
            </w:tcBorders>
            <w:shd w:val="clear" w:color="000000" w:fill="FFFFFF"/>
            <w:noWrap/>
            <w:vAlign w:val="bottom"/>
          </w:tcPr>
          <w:p w14:paraId="380E436E"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163D9D11" w14:textId="15890462"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1,441</w:t>
            </w:r>
          </w:p>
        </w:tc>
        <w:tc>
          <w:tcPr>
            <w:tcW w:w="481" w:type="dxa"/>
            <w:gridSpan w:val="2"/>
            <w:tcBorders>
              <w:top w:val="nil"/>
              <w:left w:val="nil"/>
              <w:bottom w:val="nil"/>
              <w:right w:val="nil"/>
            </w:tcBorders>
            <w:shd w:val="clear" w:color="000000" w:fill="FFFFFF"/>
            <w:noWrap/>
            <w:vAlign w:val="bottom"/>
          </w:tcPr>
          <w:p w14:paraId="54BF614D" w14:textId="77777777" w:rsidR="00285AAA" w:rsidRPr="005A20FD" w:rsidRDefault="00285AAA" w:rsidP="00285AAA">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4D04B5CB" w14:textId="3C5EDFC6" w:rsidR="00285AAA" w:rsidRPr="00A10D45" w:rsidRDefault="00C15DA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1,449</w:t>
            </w:r>
          </w:p>
        </w:tc>
      </w:tr>
      <w:tr w:rsidR="00285AAA" w:rsidRPr="005A20FD" w14:paraId="038EBEA2" w14:textId="77777777" w:rsidTr="009E056F">
        <w:trPr>
          <w:trHeight w:val="96"/>
          <w:jc w:val="center"/>
        </w:trPr>
        <w:tc>
          <w:tcPr>
            <w:tcW w:w="343" w:type="dxa"/>
            <w:tcBorders>
              <w:top w:val="nil"/>
              <w:left w:val="nil"/>
              <w:bottom w:val="nil"/>
              <w:right w:val="nil"/>
            </w:tcBorders>
            <w:shd w:val="clear" w:color="000000" w:fill="FFFFFF"/>
            <w:noWrap/>
            <w:vAlign w:val="bottom"/>
          </w:tcPr>
          <w:p w14:paraId="61643192"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5BCE9870"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Pension Strain</w:t>
            </w:r>
          </w:p>
        </w:tc>
        <w:tc>
          <w:tcPr>
            <w:tcW w:w="279" w:type="dxa"/>
            <w:tcBorders>
              <w:top w:val="nil"/>
              <w:left w:val="nil"/>
              <w:bottom w:val="nil"/>
              <w:right w:val="nil"/>
            </w:tcBorders>
            <w:shd w:val="clear" w:color="000000" w:fill="FFFFFF"/>
            <w:noWrap/>
            <w:vAlign w:val="bottom"/>
          </w:tcPr>
          <w:p w14:paraId="1FBAD7D5" w14:textId="77777777" w:rsidR="00285AAA" w:rsidRPr="005A20FD" w:rsidRDefault="00285AAA" w:rsidP="00285AAA">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5DF6C35E" w14:textId="12849D33" w:rsidR="00285AAA" w:rsidRPr="00285AAA" w:rsidRDefault="00285AAA" w:rsidP="00285AAA">
            <w:pPr>
              <w:jc w:val="right"/>
              <w:rPr>
                <w:rFonts w:ascii="Arial" w:hAnsi="Arial" w:cs="Arial"/>
                <w:color w:val="000000" w:themeColor="text1"/>
                <w:sz w:val="22"/>
                <w:szCs w:val="22"/>
                <w:highlight w:val="yellow"/>
              </w:rPr>
            </w:pPr>
            <w:r w:rsidRPr="00285AAA">
              <w:rPr>
                <w:rFonts w:ascii="Arial" w:hAnsi="Arial" w:cs="Arial"/>
                <w:color w:val="000000"/>
                <w:sz w:val="22"/>
                <w:szCs w:val="22"/>
              </w:rPr>
              <w:t>177</w:t>
            </w:r>
          </w:p>
        </w:tc>
        <w:tc>
          <w:tcPr>
            <w:tcW w:w="481" w:type="dxa"/>
            <w:gridSpan w:val="2"/>
            <w:tcBorders>
              <w:top w:val="nil"/>
              <w:left w:val="nil"/>
              <w:bottom w:val="nil"/>
              <w:right w:val="nil"/>
            </w:tcBorders>
            <w:shd w:val="clear" w:color="000000" w:fill="FFFFFF"/>
            <w:noWrap/>
            <w:vAlign w:val="bottom"/>
          </w:tcPr>
          <w:p w14:paraId="5EB1E7CE" w14:textId="77777777" w:rsidR="00285AAA" w:rsidRPr="005A20FD" w:rsidRDefault="00285AAA" w:rsidP="00285AAA">
            <w:pPr>
              <w:jc w:val="right"/>
              <w:rPr>
                <w:rFonts w:ascii="Arial" w:hAnsi="Arial" w:cs="Arial"/>
                <w:color w:val="000000" w:themeColor="text1"/>
                <w:sz w:val="22"/>
                <w:szCs w:val="22"/>
                <w:highlight w:val="yellow"/>
              </w:rPr>
            </w:pPr>
          </w:p>
        </w:tc>
        <w:tc>
          <w:tcPr>
            <w:tcW w:w="1456" w:type="dxa"/>
            <w:tcBorders>
              <w:top w:val="nil"/>
              <w:left w:val="nil"/>
              <w:bottom w:val="nil"/>
              <w:right w:val="nil"/>
            </w:tcBorders>
            <w:shd w:val="clear" w:color="000000" w:fill="FFFFFF"/>
            <w:noWrap/>
            <w:vAlign w:val="center"/>
          </w:tcPr>
          <w:p w14:paraId="6A16B0EF" w14:textId="4AFD556A" w:rsidR="00285AAA" w:rsidRPr="00A10D45" w:rsidRDefault="00C15DAE"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1,507</w:t>
            </w:r>
          </w:p>
        </w:tc>
      </w:tr>
      <w:tr w:rsidR="00285AAA" w:rsidRPr="005A20FD" w14:paraId="610AD846" w14:textId="77777777" w:rsidTr="00B53577">
        <w:trPr>
          <w:trHeight w:val="96"/>
          <w:jc w:val="center"/>
        </w:trPr>
        <w:tc>
          <w:tcPr>
            <w:tcW w:w="343" w:type="dxa"/>
            <w:tcBorders>
              <w:top w:val="nil"/>
              <w:left w:val="nil"/>
              <w:bottom w:val="nil"/>
              <w:right w:val="nil"/>
            </w:tcBorders>
            <w:shd w:val="clear" w:color="000000" w:fill="FFFFFF"/>
            <w:noWrap/>
            <w:vAlign w:val="bottom"/>
          </w:tcPr>
          <w:p w14:paraId="1633FF5B"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center"/>
          </w:tcPr>
          <w:p w14:paraId="63D809DE" w14:textId="77777777" w:rsidR="00285AAA" w:rsidRPr="00AD19A3" w:rsidRDefault="00285AAA" w:rsidP="00285AAA">
            <w:pPr>
              <w:rPr>
                <w:rFonts w:ascii="Arial" w:hAnsi="Arial" w:cs="Arial"/>
                <w:b/>
                <w:bCs/>
                <w:color w:val="000000" w:themeColor="text1"/>
                <w:sz w:val="22"/>
                <w:szCs w:val="22"/>
              </w:rPr>
            </w:pPr>
            <w:r w:rsidRPr="00AD19A3">
              <w:rPr>
                <w:rFonts w:ascii="Arial" w:hAnsi="Arial" w:cs="Arial"/>
                <w:b/>
                <w:bCs/>
                <w:color w:val="000000" w:themeColor="text1"/>
                <w:sz w:val="22"/>
                <w:szCs w:val="22"/>
              </w:rPr>
              <w:t>Total contributions from employers</w:t>
            </w:r>
          </w:p>
        </w:tc>
        <w:tc>
          <w:tcPr>
            <w:tcW w:w="279" w:type="dxa"/>
            <w:tcBorders>
              <w:top w:val="nil"/>
              <w:left w:val="nil"/>
              <w:bottom w:val="nil"/>
              <w:right w:val="nil"/>
            </w:tcBorders>
            <w:shd w:val="clear" w:color="000000" w:fill="FFFFFF"/>
            <w:noWrap/>
            <w:vAlign w:val="bottom"/>
          </w:tcPr>
          <w:p w14:paraId="71FF723F" w14:textId="77777777" w:rsidR="00285AAA" w:rsidRPr="00AD19A3" w:rsidRDefault="00285AAA" w:rsidP="00285AAA">
            <w:pPr>
              <w:jc w:val="center"/>
              <w:rPr>
                <w:rFonts w:ascii="Arial" w:hAnsi="Arial" w:cs="Arial"/>
                <w:color w:val="000000" w:themeColor="text1"/>
                <w:sz w:val="22"/>
                <w:szCs w:val="22"/>
              </w:rPr>
            </w:pPr>
            <w:r w:rsidRPr="00AD19A3">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vAlign w:val="center"/>
          </w:tcPr>
          <w:p w14:paraId="6FCECA9A" w14:textId="0A0DC61C"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sz w:val="22"/>
                <w:szCs w:val="22"/>
              </w:rPr>
              <w:t>41,689</w:t>
            </w:r>
          </w:p>
        </w:tc>
        <w:tc>
          <w:tcPr>
            <w:tcW w:w="481" w:type="dxa"/>
            <w:gridSpan w:val="2"/>
            <w:tcBorders>
              <w:top w:val="nil"/>
              <w:left w:val="nil"/>
              <w:bottom w:val="nil"/>
              <w:right w:val="nil"/>
            </w:tcBorders>
            <w:shd w:val="clear" w:color="000000" w:fill="FFFFFF"/>
            <w:noWrap/>
            <w:vAlign w:val="bottom"/>
          </w:tcPr>
          <w:p w14:paraId="6B3F6F8D" w14:textId="77777777" w:rsidR="00285AAA" w:rsidRPr="00AD19A3" w:rsidRDefault="00285AAA" w:rsidP="00285AAA">
            <w:pPr>
              <w:rPr>
                <w:rFonts w:ascii="Arial" w:hAnsi="Arial" w:cs="Arial"/>
                <w:color w:val="000000" w:themeColor="text1"/>
                <w:sz w:val="22"/>
                <w:szCs w:val="22"/>
              </w:rPr>
            </w:pPr>
          </w:p>
        </w:tc>
        <w:tc>
          <w:tcPr>
            <w:tcW w:w="1456" w:type="dxa"/>
            <w:tcBorders>
              <w:top w:val="single" w:sz="4" w:space="0" w:color="auto"/>
              <w:left w:val="nil"/>
              <w:bottom w:val="single" w:sz="8" w:space="0" w:color="auto"/>
              <w:right w:val="nil"/>
            </w:tcBorders>
            <w:shd w:val="clear" w:color="000000" w:fill="FFFFFF"/>
            <w:noWrap/>
            <w:vAlign w:val="center"/>
          </w:tcPr>
          <w:p w14:paraId="7BA76CEE" w14:textId="031903D4" w:rsidR="00285AAA" w:rsidRPr="00AD19A3" w:rsidRDefault="00C62355"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44,684</w:t>
            </w:r>
          </w:p>
        </w:tc>
      </w:tr>
      <w:tr w:rsidR="00285AAA" w:rsidRPr="005A20FD" w14:paraId="78984D01" w14:textId="77777777" w:rsidTr="00B53577">
        <w:trPr>
          <w:trHeight w:val="100"/>
          <w:jc w:val="center"/>
        </w:trPr>
        <w:tc>
          <w:tcPr>
            <w:tcW w:w="343" w:type="dxa"/>
            <w:tcBorders>
              <w:top w:val="nil"/>
              <w:left w:val="nil"/>
              <w:bottom w:val="nil"/>
              <w:right w:val="nil"/>
            </w:tcBorders>
            <w:shd w:val="clear" w:color="000000" w:fill="FFFFFF"/>
            <w:noWrap/>
            <w:vAlign w:val="bottom"/>
          </w:tcPr>
          <w:p w14:paraId="7817F255"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bottom"/>
          </w:tcPr>
          <w:p w14:paraId="49B89F37" w14:textId="77777777" w:rsidR="00285AAA" w:rsidRPr="005A20FD" w:rsidRDefault="00285AAA" w:rsidP="00285AAA">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w:t>
            </w:r>
          </w:p>
        </w:tc>
        <w:tc>
          <w:tcPr>
            <w:tcW w:w="279" w:type="dxa"/>
            <w:tcBorders>
              <w:top w:val="nil"/>
              <w:left w:val="nil"/>
              <w:bottom w:val="nil"/>
              <w:right w:val="nil"/>
            </w:tcBorders>
            <w:shd w:val="clear" w:color="000000" w:fill="FFFFFF"/>
            <w:noWrap/>
            <w:vAlign w:val="bottom"/>
          </w:tcPr>
          <w:p w14:paraId="4AC0D008" w14:textId="77777777" w:rsidR="00285AAA" w:rsidRPr="005A20FD" w:rsidRDefault="00285AAA" w:rsidP="00285AAA">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8" w:space="0" w:color="auto"/>
              <w:left w:val="nil"/>
              <w:bottom w:val="single" w:sz="8" w:space="0" w:color="auto"/>
              <w:right w:val="nil"/>
            </w:tcBorders>
            <w:shd w:val="clear" w:color="auto" w:fill="auto"/>
            <w:vAlign w:val="bottom"/>
          </w:tcPr>
          <w:p w14:paraId="61F98E95" w14:textId="3D3C8DDB" w:rsidR="00285AAA" w:rsidRPr="00285AAA" w:rsidRDefault="00285AAA" w:rsidP="00285AAA">
            <w:pPr>
              <w:jc w:val="right"/>
              <w:rPr>
                <w:rFonts w:ascii="Arial" w:hAnsi="Arial" w:cs="Arial"/>
                <w:color w:val="000000" w:themeColor="text1"/>
                <w:sz w:val="22"/>
                <w:szCs w:val="22"/>
              </w:rPr>
            </w:pPr>
            <w:r w:rsidRPr="00285AAA">
              <w:rPr>
                <w:rFonts w:ascii="Arial" w:hAnsi="Arial" w:cs="Arial"/>
                <w:color w:val="000000" w:themeColor="text1"/>
                <w:sz w:val="22"/>
                <w:szCs w:val="22"/>
              </w:rPr>
              <w:t>54,031</w:t>
            </w:r>
          </w:p>
        </w:tc>
        <w:tc>
          <w:tcPr>
            <w:tcW w:w="481" w:type="dxa"/>
            <w:gridSpan w:val="2"/>
            <w:tcBorders>
              <w:top w:val="nil"/>
              <w:left w:val="nil"/>
              <w:bottom w:val="nil"/>
              <w:right w:val="nil"/>
            </w:tcBorders>
            <w:shd w:val="clear" w:color="auto" w:fill="auto"/>
            <w:noWrap/>
            <w:vAlign w:val="bottom"/>
          </w:tcPr>
          <w:p w14:paraId="3DDFD580" w14:textId="77777777" w:rsidR="00285AAA" w:rsidRPr="0093328D" w:rsidRDefault="00285AAA" w:rsidP="00285AAA">
            <w:pPr>
              <w:rPr>
                <w:rFonts w:ascii="Arial" w:hAnsi="Arial" w:cs="Arial"/>
                <w:color w:val="000000" w:themeColor="text1"/>
                <w:sz w:val="22"/>
                <w:szCs w:val="22"/>
              </w:rPr>
            </w:pPr>
          </w:p>
        </w:tc>
        <w:tc>
          <w:tcPr>
            <w:tcW w:w="1456" w:type="dxa"/>
            <w:tcBorders>
              <w:top w:val="single" w:sz="8" w:space="0" w:color="auto"/>
              <w:left w:val="nil"/>
              <w:bottom w:val="single" w:sz="8" w:space="0" w:color="auto"/>
              <w:right w:val="nil"/>
            </w:tcBorders>
            <w:shd w:val="clear" w:color="auto" w:fill="auto"/>
            <w:noWrap/>
            <w:vAlign w:val="bottom"/>
          </w:tcPr>
          <w:p w14:paraId="4F0E7481" w14:textId="2CBD6EF8" w:rsidR="00285AAA" w:rsidRPr="0093328D" w:rsidRDefault="00C62355" w:rsidP="00285AAA">
            <w:pPr>
              <w:jc w:val="right"/>
              <w:rPr>
                <w:rFonts w:ascii="Arial" w:hAnsi="Arial" w:cs="Arial"/>
                <w:b/>
                <w:bCs/>
                <w:color w:val="000000" w:themeColor="text1"/>
                <w:sz w:val="22"/>
                <w:szCs w:val="22"/>
              </w:rPr>
            </w:pPr>
            <w:r>
              <w:rPr>
                <w:rFonts w:ascii="Arial" w:hAnsi="Arial" w:cs="Arial"/>
                <w:b/>
                <w:bCs/>
                <w:color w:val="000000" w:themeColor="text1"/>
                <w:sz w:val="22"/>
                <w:szCs w:val="22"/>
              </w:rPr>
              <w:t>57,404</w:t>
            </w:r>
          </w:p>
        </w:tc>
      </w:tr>
    </w:tbl>
    <w:p w14:paraId="73C6DACC" w14:textId="77777777" w:rsidR="003C45DA" w:rsidRDefault="003C45DA" w:rsidP="00521B73">
      <w:pPr>
        <w:jc w:val="both"/>
        <w:rPr>
          <w:rFonts w:ascii="Arial" w:hAnsi="Arial" w:cs="Arial"/>
          <w:color w:val="000000" w:themeColor="text1"/>
          <w:sz w:val="22"/>
          <w:szCs w:val="22"/>
          <w:lang w:val="en-US"/>
        </w:rPr>
      </w:pPr>
    </w:p>
    <w:p w14:paraId="39C27D05" w14:textId="77777777" w:rsidR="00040CD2" w:rsidRDefault="00040CD2" w:rsidP="00521B73">
      <w:pPr>
        <w:jc w:val="both"/>
        <w:rPr>
          <w:rFonts w:ascii="Arial" w:hAnsi="Arial" w:cs="Arial"/>
          <w:color w:val="000000" w:themeColor="text1"/>
          <w:sz w:val="22"/>
          <w:szCs w:val="22"/>
          <w:lang w:val="en-US"/>
        </w:rPr>
      </w:pPr>
    </w:p>
    <w:p w14:paraId="27DACC6B" w14:textId="77777777" w:rsidR="00040CD2" w:rsidRDefault="00040CD2" w:rsidP="00521B73">
      <w:pPr>
        <w:jc w:val="both"/>
        <w:rPr>
          <w:rFonts w:ascii="Arial" w:hAnsi="Arial" w:cs="Arial"/>
          <w:color w:val="000000" w:themeColor="text1"/>
          <w:sz w:val="22"/>
          <w:szCs w:val="22"/>
          <w:lang w:val="en-US"/>
        </w:rPr>
      </w:pPr>
    </w:p>
    <w:p w14:paraId="3D9CFE93" w14:textId="6757EDCF" w:rsidR="003C45DA" w:rsidRPr="00D33F10" w:rsidRDefault="003C45DA" w:rsidP="005A20FD">
      <w:pPr>
        <w:pStyle w:val="ListParagraph"/>
        <w:numPr>
          <w:ilvl w:val="0"/>
          <w:numId w:val="24"/>
        </w:numPr>
        <w:spacing w:after="0"/>
        <w:jc w:val="both"/>
        <w:rPr>
          <w:rFonts w:ascii="Arial" w:hAnsi="Arial" w:cs="Arial"/>
          <w:b/>
          <w:lang w:val="en-US"/>
        </w:rPr>
      </w:pPr>
      <w:r w:rsidRPr="00D33F10">
        <w:rPr>
          <w:rFonts w:ascii="Arial" w:hAnsi="Arial" w:cs="Arial"/>
          <w:b/>
          <w:lang w:val="en-US"/>
        </w:rPr>
        <w:t>Transfers in from other pension funds</w:t>
      </w:r>
      <w:r w:rsidRPr="008A0A4E">
        <w:rPr>
          <w:rFonts w:ascii="Arial" w:hAnsi="Arial" w:cs="Arial"/>
          <w:b/>
          <w:lang w:val="en-US"/>
        </w:rPr>
        <w:t xml:space="preserve"> </w:t>
      </w:r>
    </w:p>
    <w:tbl>
      <w:tblPr>
        <w:tblW w:w="9671" w:type="dxa"/>
        <w:jc w:val="center"/>
        <w:tblLook w:val="00A0" w:firstRow="1" w:lastRow="0" w:firstColumn="1" w:lastColumn="0" w:noHBand="0" w:noVBand="0"/>
      </w:tblPr>
      <w:tblGrid>
        <w:gridCol w:w="6128"/>
        <w:gridCol w:w="1607"/>
        <w:gridCol w:w="493"/>
        <w:gridCol w:w="1443"/>
      </w:tblGrid>
      <w:tr w:rsidR="00943A03" w:rsidRPr="00B64150" w14:paraId="70904A18" w14:textId="77777777" w:rsidTr="00CB78EF">
        <w:trPr>
          <w:trHeight w:val="126"/>
          <w:jc w:val="center"/>
        </w:trPr>
        <w:tc>
          <w:tcPr>
            <w:tcW w:w="6128" w:type="dxa"/>
            <w:tcBorders>
              <w:top w:val="nil"/>
              <w:left w:val="nil"/>
              <w:bottom w:val="nil"/>
              <w:right w:val="nil"/>
            </w:tcBorders>
            <w:shd w:val="clear" w:color="000000" w:fill="FFFFFF"/>
            <w:noWrap/>
            <w:vAlign w:val="bottom"/>
          </w:tcPr>
          <w:p w14:paraId="4ADF1BDA" w14:textId="77777777" w:rsidR="00943A03" w:rsidRPr="008A0A4E" w:rsidRDefault="00943A03" w:rsidP="00943A03">
            <w:pPr>
              <w:jc w:val="center"/>
              <w:rPr>
                <w:rFonts w:ascii="Arial" w:hAnsi="Arial" w:cs="Arial"/>
                <w:color w:val="000000"/>
                <w:sz w:val="22"/>
                <w:szCs w:val="22"/>
              </w:rPr>
            </w:pPr>
          </w:p>
        </w:tc>
        <w:tc>
          <w:tcPr>
            <w:tcW w:w="1607" w:type="dxa"/>
            <w:tcBorders>
              <w:top w:val="nil"/>
              <w:left w:val="nil"/>
              <w:bottom w:val="nil"/>
              <w:right w:val="nil"/>
            </w:tcBorders>
            <w:shd w:val="clear" w:color="000000" w:fill="FFFFFF"/>
            <w:vAlign w:val="bottom"/>
          </w:tcPr>
          <w:p w14:paraId="6C3C5ADA" w14:textId="02EA869F" w:rsidR="00943A03" w:rsidRPr="002D1995" w:rsidRDefault="00943A03" w:rsidP="00692913">
            <w:pPr>
              <w:jc w:val="center"/>
              <w:rPr>
                <w:rFonts w:ascii="Arial" w:hAnsi="Arial" w:cs="Arial"/>
                <w:b/>
                <w:bCs/>
                <w:color w:val="000000"/>
                <w:sz w:val="22"/>
                <w:szCs w:val="22"/>
              </w:rPr>
            </w:pPr>
            <w:r w:rsidRPr="002D1995">
              <w:rPr>
                <w:rFonts w:ascii="Arial" w:hAnsi="Arial" w:cs="Arial"/>
                <w:b/>
                <w:bCs/>
                <w:color w:val="000000"/>
                <w:sz w:val="22"/>
                <w:szCs w:val="22"/>
              </w:rPr>
              <w:t>202</w:t>
            </w:r>
            <w:r w:rsidR="0010106F" w:rsidRPr="002D1995">
              <w:rPr>
                <w:rFonts w:ascii="Arial" w:hAnsi="Arial" w:cs="Arial"/>
                <w:b/>
                <w:bCs/>
                <w:color w:val="000000"/>
                <w:sz w:val="22"/>
                <w:szCs w:val="22"/>
              </w:rPr>
              <w:t>3</w:t>
            </w:r>
            <w:r w:rsidR="00AE49A7" w:rsidRPr="002D1995">
              <w:rPr>
                <w:rFonts w:ascii="Arial" w:hAnsi="Arial" w:cs="Arial"/>
                <w:b/>
                <w:bCs/>
                <w:color w:val="000000"/>
                <w:sz w:val="22"/>
                <w:szCs w:val="22"/>
              </w:rPr>
              <w:t>/2</w:t>
            </w:r>
            <w:r w:rsidR="0010106F" w:rsidRPr="002D1995">
              <w:rPr>
                <w:rFonts w:ascii="Arial" w:hAnsi="Arial" w:cs="Arial"/>
                <w:b/>
                <w:bCs/>
                <w:color w:val="000000"/>
                <w:sz w:val="22"/>
                <w:szCs w:val="22"/>
              </w:rPr>
              <w:t>4</w:t>
            </w:r>
          </w:p>
        </w:tc>
        <w:tc>
          <w:tcPr>
            <w:tcW w:w="493" w:type="dxa"/>
            <w:tcBorders>
              <w:top w:val="nil"/>
              <w:left w:val="nil"/>
              <w:bottom w:val="nil"/>
              <w:right w:val="nil"/>
            </w:tcBorders>
            <w:shd w:val="clear" w:color="000000" w:fill="FFFFFF"/>
            <w:noWrap/>
            <w:vAlign w:val="bottom"/>
          </w:tcPr>
          <w:p w14:paraId="6276432C" w14:textId="7F6D8658" w:rsidR="00943A03" w:rsidRPr="008A0A4E" w:rsidRDefault="00943A03" w:rsidP="00692913">
            <w:pPr>
              <w:jc w:val="center"/>
              <w:rPr>
                <w:rFonts w:ascii="Arial" w:hAnsi="Arial" w:cs="Arial"/>
                <w:color w:val="000000"/>
                <w:sz w:val="22"/>
                <w:szCs w:val="22"/>
              </w:rPr>
            </w:pPr>
          </w:p>
        </w:tc>
        <w:tc>
          <w:tcPr>
            <w:tcW w:w="1443" w:type="dxa"/>
            <w:tcBorders>
              <w:top w:val="nil"/>
              <w:left w:val="nil"/>
              <w:bottom w:val="nil"/>
              <w:right w:val="nil"/>
            </w:tcBorders>
            <w:shd w:val="clear" w:color="000000" w:fill="FFFFFF"/>
            <w:vAlign w:val="bottom"/>
          </w:tcPr>
          <w:p w14:paraId="6DFBD110" w14:textId="27B42C15" w:rsidR="00943A03" w:rsidRPr="008A0A4E" w:rsidRDefault="0004466B" w:rsidP="00692913">
            <w:pPr>
              <w:jc w:val="center"/>
              <w:rPr>
                <w:rFonts w:ascii="Arial" w:hAnsi="Arial" w:cs="Arial"/>
                <w:b/>
                <w:bCs/>
                <w:color w:val="000000"/>
                <w:sz w:val="22"/>
                <w:szCs w:val="22"/>
              </w:rPr>
            </w:pPr>
            <w:r>
              <w:rPr>
                <w:rFonts w:ascii="Arial" w:hAnsi="Arial" w:cs="Arial"/>
                <w:b/>
                <w:bCs/>
                <w:color w:val="000000"/>
                <w:sz w:val="22"/>
                <w:szCs w:val="22"/>
              </w:rPr>
              <w:t>202</w:t>
            </w:r>
            <w:r w:rsidR="0010106F">
              <w:rPr>
                <w:rFonts w:ascii="Arial" w:hAnsi="Arial" w:cs="Arial"/>
                <w:b/>
                <w:bCs/>
                <w:color w:val="000000"/>
                <w:sz w:val="22"/>
                <w:szCs w:val="22"/>
              </w:rPr>
              <w:t>4</w:t>
            </w:r>
            <w:r w:rsidR="00AE49A7">
              <w:rPr>
                <w:rFonts w:ascii="Arial" w:hAnsi="Arial" w:cs="Arial"/>
                <w:b/>
                <w:bCs/>
                <w:color w:val="000000"/>
                <w:sz w:val="22"/>
                <w:szCs w:val="22"/>
              </w:rPr>
              <w:t>/2</w:t>
            </w:r>
            <w:r w:rsidR="0010106F">
              <w:rPr>
                <w:rFonts w:ascii="Arial" w:hAnsi="Arial" w:cs="Arial"/>
                <w:b/>
                <w:bCs/>
                <w:color w:val="000000"/>
                <w:sz w:val="22"/>
                <w:szCs w:val="22"/>
              </w:rPr>
              <w:t>5</w:t>
            </w:r>
          </w:p>
        </w:tc>
      </w:tr>
      <w:tr w:rsidR="00943A03" w:rsidRPr="00B64150" w14:paraId="5C6AF60B" w14:textId="77777777" w:rsidTr="00CB78EF">
        <w:trPr>
          <w:trHeight w:val="192"/>
          <w:jc w:val="center"/>
        </w:trPr>
        <w:tc>
          <w:tcPr>
            <w:tcW w:w="6128" w:type="dxa"/>
            <w:tcBorders>
              <w:top w:val="nil"/>
              <w:left w:val="nil"/>
              <w:bottom w:val="nil"/>
              <w:right w:val="nil"/>
            </w:tcBorders>
            <w:shd w:val="clear" w:color="000000" w:fill="FFFFFF"/>
            <w:noWrap/>
            <w:vAlign w:val="bottom"/>
          </w:tcPr>
          <w:p w14:paraId="6A778183" w14:textId="77777777" w:rsidR="00943A03" w:rsidRPr="008A0A4E" w:rsidRDefault="00943A03" w:rsidP="00943A03">
            <w:pPr>
              <w:rPr>
                <w:rFonts w:ascii="Arial" w:hAnsi="Arial" w:cs="Arial"/>
                <w:b/>
                <w:bCs/>
                <w:color w:val="000000"/>
                <w:sz w:val="22"/>
                <w:szCs w:val="22"/>
              </w:rPr>
            </w:pPr>
            <w:r w:rsidRPr="008A0A4E">
              <w:rPr>
                <w:rFonts w:ascii="Arial" w:hAnsi="Arial" w:cs="Arial"/>
                <w:b/>
                <w:bCs/>
                <w:color w:val="000000"/>
                <w:sz w:val="22"/>
                <w:szCs w:val="22"/>
              </w:rPr>
              <w:t> </w:t>
            </w:r>
          </w:p>
        </w:tc>
        <w:tc>
          <w:tcPr>
            <w:tcW w:w="1607" w:type="dxa"/>
            <w:tcBorders>
              <w:top w:val="nil"/>
              <w:left w:val="nil"/>
              <w:bottom w:val="nil"/>
              <w:right w:val="nil"/>
            </w:tcBorders>
            <w:shd w:val="clear" w:color="000000" w:fill="FFFFFF"/>
            <w:vAlign w:val="bottom"/>
          </w:tcPr>
          <w:p w14:paraId="05B0761B" w14:textId="776AA928" w:rsidR="00943A03" w:rsidRPr="002D1995" w:rsidRDefault="00943A03" w:rsidP="00692913">
            <w:pPr>
              <w:jc w:val="center"/>
              <w:rPr>
                <w:rFonts w:ascii="Arial" w:hAnsi="Arial" w:cs="Arial"/>
                <w:b/>
                <w:bCs/>
                <w:color w:val="000000"/>
                <w:sz w:val="22"/>
                <w:szCs w:val="22"/>
              </w:rPr>
            </w:pPr>
            <w:r w:rsidRPr="002D1995">
              <w:rPr>
                <w:rFonts w:ascii="Arial" w:hAnsi="Arial" w:cs="Arial"/>
                <w:b/>
                <w:bCs/>
                <w:color w:val="000000"/>
                <w:sz w:val="22"/>
                <w:szCs w:val="22"/>
              </w:rPr>
              <w:t>£000</w:t>
            </w:r>
          </w:p>
        </w:tc>
        <w:tc>
          <w:tcPr>
            <w:tcW w:w="493" w:type="dxa"/>
            <w:tcBorders>
              <w:top w:val="nil"/>
              <w:left w:val="nil"/>
              <w:bottom w:val="nil"/>
              <w:right w:val="nil"/>
            </w:tcBorders>
            <w:shd w:val="clear" w:color="000000" w:fill="FFFFFF"/>
            <w:noWrap/>
            <w:vAlign w:val="bottom"/>
          </w:tcPr>
          <w:p w14:paraId="5DAF926B" w14:textId="27C7E49E" w:rsidR="00943A03" w:rsidRPr="008A0A4E" w:rsidRDefault="00943A03" w:rsidP="00692913">
            <w:pPr>
              <w:jc w:val="center"/>
              <w:rPr>
                <w:rFonts w:ascii="Arial" w:hAnsi="Arial" w:cs="Arial"/>
                <w:color w:val="000000"/>
                <w:sz w:val="22"/>
                <w:szCs w:val="22"/>
              </w:rPr>
            </w:pPr>
          </w:p>
        </w:tc>
        <w:tc>
          <w:tcPr>
            <w:tcW w:w="1443" w:type="dxa"/>
            <w:tcBorders>
              <w:top w:val="nil"/>
              <w:left w:val="nil"/>
              <w:bottom w:val="nil"/>
              <w:right w:val="nil"/>
            </w:tcBorders>
            <w:shd w:val="clear" w:color="000000" w:fill="FFFFFF"/>
            <w:noWrap/>
            <w:vAlign w:val="bottom"/>
          </w:tcPr>
          <w:p w14:paraId="3390FDF2" w14:textId="77777777" w:rsidR="00943A03" w:rsidRPr="008A0A4E" w:rsidRDefault="00943A03" w:rsidP="00692913">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AE49A7" w:rsidRPr="00B64150" w14:paraId="0C80A98C" w14:textId="77777777" w:rsidTr="00710A24">
        <w:trPr>
          <w:trHeight w:val="192"/>
          <w:jc w:val="center"/>
        </w:trPr>
        <w:tc>
          <w:tcPr>
            <w:tcW w:w="6128" w:type="dxa"/>
            <w:tcBorders>
              <w:top w:val="nil"/>
              <w:left w:val="nil"/>
              <w:bottom w:val="nil"/>
              <w:right w:val="nil"/>
            </w:tcBorders>
            <w:shd w:val="clear" w:color="000000" w:fill="FFFFFF"/>
            <w:noWrap/>
            <w:vAlign w:val="bottom"/>
          </w:tcPr>
          <w:p w14:paraId="0E6DE8A1" w14:textId="77777777" w:rsidR="00AE49A7" w:rsidRPr="008A0A4E" w:rsidRDefault="00AE49A7" w:rsidP="00AE49A7">
            <w:pPr>
              <w:ind w:left="175"/>
              <w:rPr>
                <w:rFonts w:ascii="Arial" w:hAnsi="Arial" w:cs="Arial"/>
                <w:b/>
                <w:bCs/>
                <w:color w:val="000000"/>
                <w:sz w:val="22"/>
                <w:szCs w:val="22"/>
              </w:rPr>
            </w:pPr>
            <w:r w:rsidRPr="008A0A4E">
              <w:rPr>
                <w:rFonts w:ascii="Arial" w:hAnsi="Arial" w:cs="Arial"/>
                <w:b/>
                <w:bCs/>
                <w:color w:val="000000"/>
                <w:sz w:val="22"/>
                <w:szCs w:val="22"/>
              </w:rPr>
              <w:t>Individual Transfers</w:t>
            </w:r>
          </w:p>
        </w:tc>
        <w:tc>
          <w:tcPr>
            <w:tcW w:w="1607" w:type="dxa"/>
            <w:tcBorders>
              <w:top w:val="nil"/>
              <w:left w:val="nil"/>
              <w:bottom w:val="nil"/>
              <w:right w:val="nil"/>
            </w:tcBorders>
            <w:shd w:val="clear" w:color="000000" w:fill="FFFFFF"/>
            <w:vAlign w:val="center"/>
          </w:tcPr>
          <w:p w14:paraId="298219CB" w14:textId="584E05E4" w:rsidR="00AE49A7" w:rsidRPr="0010106F" w:rsidRDefault="0010106F" w:rsidP="00AE49A7">
            <w:pPr>
              <w:jc w:val="right"/>
              <w:rPr>
                <w:rFonts w:ascii="Arial" w:hAnsi="Arial" w:cs="Arial"/>
                <w:color w:val="000000"/>
                <w:sz w:val="22"/>
                <w:szCs w:val="22"/>
              </w:rPr>
            </w:pPr>
            <w:r w:rsidRPr="0010106F">
              <w:rPr>
                <w:rFonts w:ascii="Arial" w:hAnsi="Arial" w:cs="Arial"/>
                <w:color w:val="000000"/>
                <w:sz w:val="22"/>
                <w:szCs w:val="22"/>
              </w:rPr>
              <w:t>6,216</w:t>
            </w:r>
          </w:p>
        </w:tc>
        <w:tc>
          <w:tcPr>
            <w:tcW w:w="493" w:type="dxa"/>
            <w:tcBorders>
              <w:top w:val="nil"/>
              <w:left w:val="nil"/>
              <w:bottom w:val="nil"/>
              <w:right w:val="nil"/>
            </w:tcBorders>
            <w:shd w:val="clear" w:color="000000" w:fill="FFFFFF"/>
            <w:noWrap/>
            <w:vAlign w:val="bottom"/>
          </w:tcPr>
          <w:p w14:paraId="7F244826" w14:textId="77777777" w:rsidR="00AE49A7" w:rsidRPr="008A0A4E" w:rsidRDefault="00AE49A7" w:rsidP="00AE49A7">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center"/>
          </w:tcPr>
          <w:p w14:paraId="2DF0DDFB" w14:textId="106F4717" w:rsidR="00AE49A7" w:rsidRPr="008A0A4E" w:rsidRDefault="006A78CC" w:rsidP="00AE49A7">
            <w:pPr>
              <w:jc w:val="right"/>
              <w:rPr>
                <w:rFonts w:ascii="Arial" w:hAnsi="Arial" w:cs="Arial"/>
                <w:b/>
                <w:bCs/>
                <w:color w:val="000000"/>
                <w:sz w:val="22"/>
                <w:szCs w:val="22"/>
              </w:rPr>
            </w:pPr>
            <w:r>
              <w:rPr>
                <w:rFonts w:ascii="Arial" w:hAnsi="Arial" w:cs="Arial"/>
                <w:b/>
                <w:bCs/>
                <w:color w:val="000000"/>
                <w:sz w:val="22"/>
                <w:szCs w:val="22"/>
              </w:rPr>
              <w:t>4,161</w:t>
            </w:r>
          </w:p>
        </w:tc>
      </w:tr>
      <w:tr w:rsidR="00513647" w:rsidRPr="00B64150" w14:paraId="58B94106" w14:textId="77777777" w:rsidTr="00B53577">
        <w:trPr>
          <w:trHeight w:val="192"/>
          <w:jc w:val="center"/>
        </w:trPr>
        <w:tc>
          <w:tcPr>
            <w:tcW w:w="6128" w:type="dxa"/>
            <w:tcBorders>
              <w:top w:val="nil"/>
              <w:left w:val="nil"/>
              <w:bottom w:val="nil"/>
              <w:right w:val="nil"/>
            </w:tcBorders>
            <w:shd w:val="clear" w:color="000000" w:fill="FFFFFF"/>
            <w:noWrap/>
            <w:vAlign w:val="bottom"/>
          </w:tcPr>
          <w:p w14:paraId="46DA8BEE" w14:textId="0D70AE58" w:rsidR="00513647" w:rsidRPr="008A0A4E" w:rsidRDefault="00513647" w:rsidP="00AE49A7">
            <w:pPr>
              <w:ind w:left="175"/>
              <w:rPr>
                <w:rFonts w:ascii="Arial" w:hAnsi="Arial" w:cs="Arial"/>
                <w:b/>
                <w:bCs/>
                <w:color w:val="000000"/>
                <w:sz w:val="22"/>
                <w:szCs w:val="22"/>
              </w:rPr>
            </w:pPr>
            <w:r>
              <w:rPr>
                <w:rFonts w:ascii="Arial" w:hAnsi="Arial" w:cs="Arial"/>
                <w:b/>
                <w:bCs/>
                <w:color w:val="000000"/>
                <w:sz w:val="22"/>
                <w:szCs w:val="22"/>
              </w:rPr>
              <w:t>Group Transfers</w:t>
            </w:r>
          </w:p>
        </w:tc>
        <w:tc>
          <w:tcPr>
            <w:tcW w:w="1607" w:type="dxa"/>
            <w:tcBorders>
              <w:top w:val="nil"/>
              <w:left w:val="nil"/>
              <w:bottom w:val="single" w:sz="4" w:space="0" w:color="auto"/>
              <w:right w:val="nil"/>
            </w:tcBorders>
            <w:shd w:val="clear" w:color="000000" w:fill="FFFFFF"/>
            <w:vAlign w:val="center"/>
          </w:tcPr>
          <w:p w14:paraId="4936F656" w14:textId="2696FE2C" w:rsidR="00513647" w:rsidRPr="00AE49A7" w:rsidRDefault="00AE2323" w:rsidP="00AE49A7">
            <w:pPr>
              <w:jc w:val="right"/>
              <w:rPr>
                <w:rFonts w:ascii="Arial" w:hAnsi="Arial" w:cs="Arial"/>
                <w:color w:val="000000"/>
                <w:sz w:val="22"/>
                <w:szCs w:val="22"/>
              </w:rPr>
            </w:pPr>
            <w:r>
              <w:rPr>
                <w:rFonts w:ascii="Arial" w:hAnsi="Arial" w:cs="Arial"/>
                <w:color w:val="000000"/>
                <w:sz w:val="22"/>
                <w:szCs w:val="22"/>
              </w:rPr>
              <w:t>-</w:t>
            </w:r>
          </w:p>
        </w:tc>
        <w:tc>
          <w:tcPr>
            <w:tcW w:w="493" w:type="dxa"/>
            <w:tcBorders>
              <w:top w:val="nil"/>
              <w:left w:val="nil"/>
              <w:bottom w:val="nil"/>
              <w:right w:val="nil"/>
            </w:tcBorders>
            <w:shd w:val="clear" w:color="000000" w:fill="FFFFFF"/>
            <w:noWrap/>
            <w:vAlign w:val="bottom"/>
          </w:tcPr>
          <w:p w14:paraId="5C952904" w14:textId="77777777" w:rsidR="00513647" w:rsidRPr="008A0A4E" w:rsidRDefault="00513647" w:rsidP="00AE49A7">
            <w:pPr>
              <w:jc w:val="right"/>
              <w:rPr>
                <w:rFonts w:ascii="Arial" w:hAnsi="Arial" w:cs="Arial"/>
                <w:color w:val="000000"/>
                <w:sz w:val="22"/>
                <w:szCs w:val="22"/>
              </w:rPr>
            </w:pPr>
          </w:p>
        </w:tc>
        <w:tc>
          <w:tcPr>
            <w:tcW w:w="1443" w:type="dxa"/>
            <w:tcBorders>
              <w:top w:val="nil"/>
              <w:left w:val="nil"/>
              <w:bottom w:val="single" w:sz="4" w:space="0" w:color="auto"/>
              <w:right w:val="nil"/>
            </w:tcBorders>
            <w:shd w:val="clear" w:color="000000" w:fill="FFFFFF"/>
            <w:noWrap/>
            <w:vAlign w:val="center"/>
          </w:tcPr>
          <w:p w14:paraId="61536E3F" w14:textId="09A19D4D" w:rsidR="00513647" w:rsidRPr="00FC6BC2" w:rsidRDefault="00AE2323" w:rsidP="00AE49A7">
            <w:pPr>
              <w:jc w:val="right"/>
              <w:rPr>
                <w:rFonts w:ascii="Arial" w:hAnsi="Arial" w:cs="Arial"/>
                <w:b/>
                <w:bCs/>
                <w:color w:val="000000"/>
                <w:sz w:val="22"/>
                <w:szCs w:val="22"/>
              </w:rPr>
            </w:pPr>
            <w:r>
              <w:rPr>
                <w:rFonts w:ascii="Arial" w:hAnsi="Arial" w:cs="Arial"/>
                <w:b/>
                <w:bCs/>
                <w:color w:val="000000"/>
                <w:sz w:val="22"/>
                <w:szCs w:val="22"/>
              </w:rPr>
              <w:t>-</w:t>
            </w:r>
          </w:p>
        </w:tc>
      </w:tr>
      <w:tr w:rsidR="00AE49A7" w:rsidRPr="00B64150" w14:paraId="2FCFBAA1" w14:textId="77777777" w:rsidTr="00B53577">
        <w:trPr>
          <w:trHeight w:val="203"/>
          <w:jc w:val="center"/>
        </w:trPr>
        <w:tc>
          <w:tcPr>
            <w:tcW w:w="6128" w:type="dxa"/>
            <w:tcBorders>
              <w:top w:val="nil"/>
              <w:left w:val="nil"/>
              <w:bottom w:val="nil"/>
              <w:right w:val="nil"/>
            </w:tcBorders>
            <w:shd w:val="clear" w:color="000000" w:fill="FFFFFF"/>
            <w:noWrap/>
            <w:vAlign w:val="bottom"/>
          </w:tcPr>
          <w:p w14:paraId="3EF51EA6" w14:textId="7536F9C6" w:rsidR="00AE49A7" w:rsidRPr="008A0A4E" w:rsidRDefault="00AE49A7" w:rsidP="00AE49A7">
            <w:pPr>
              <w:rPr>
                <w:rFonts w:ascii="Arial" w:hAnsi="Arial" w:cs="Arial"/>
                <w:b/>
                <w:bCs/>
                <w:color w:val="000000"/>
                <w:sz w:val="22"/>
                <w:szCs w:val="22"/>
              </w:rPr>
            </w:pPr>
          </w:p>
        </w:tc>
        <w:tc>
          <w:tcPr>
            <w:tcW w:w="1607" w:type="dxa"/>
            <w:tcBorders>
              <w:top w:val="single" w:sz="4" w:space="0" w:color="auto"/>
              <w:left w:val="nil"/>
              <w:bottom w:val="single" w:sz="8" w:space="0" w:color="auto"/>
              <w:right w:val="nil"/>
            </w:tcBorders>
            <w:shd w:val="clear" w:color="000000" w:fill="FFFFFF"/>
            <w:vAlign w:val="center"/>
          </w:tcPr>
          <w:p w14:paraId="5CA5A862" w14:textId="0326DEBF" w:rsidR="00AE49A7" w:rsidRPr="0010106F" w:rsidRDefault="0010106F" w:rsidP="00AE49A7">
            <w:pPr>
              <w:jc w:val="right"/>
              <w:rPr>
                <w:rFonts w:ascii="Arial" w:hAnsi="Arial" w:cs="Arial"/>
                <w:color w:val="000000"/>
                <w:sz w:val="22"/>
                <w:szCs w:val="22"/>
              </w:rPr>
            </w:pPr>
            <w:r w:rsidRPr="0010106F">
              <w:rPr>
                <w:rFonts w:ascii="Arial" w:hAnsi="Arial" w:cs="Arial"/>
                <w:color w:val="000000"/>
                <w:sz w:val="22"/>
                <w:szCs w:val="22"/>
              </w:rPr>
              <w:t>6,216</w:t>
            </w:r>
          </w:p>
        </w:tc>
        <w:tc>
          <w:tcPr>
            <w:tcW w:w="493" w:type="dxa"/>
            <w:tcBorders>
              <w:top w:val="nil"/>
              <w:left w:val="nil"/>
              <w:bottom w:val="nil"/>
              <w:right w:val="nil"/>
            </w:tcBorders>
            <w:shd w:val="clear" w:color="000000" w:fill="FFFFFF"/>
            <w:noWrap/>
            <w:vAlign w:val="bottom"/>
          </w:tcPr>
          <w:p w14:paraId="5A39AEE3" w14:textId="77777777" w:rsidR="00AE49A7" w:rsidRPr="008A0A4E" w:rsidRDefault="00AE49A7" w:rsidP="00AE49A7">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single" w:sz="4" w:space="0" w:color="auto"/>
              <w:left w:val="nil"/>
              <w:bottom w:val="single" w:sz="8" w:space="0" w:color="auto"/>
              <w:right w:val="nil"/>
            </w:tcBorders>
            <w:shd w:val="clear" w:color="000000" w:fill="FFFFFF"/>
            <w:noWrap/>
            <w:vAlign w:val="center"/>
          </w:tcPr>
          <w:p w14:paraId="71F71AE5" w14:textId="6457229E" w:rsidR="00AE49A7" w:rsidRPr="008A0A4E" w:rsidRDefault="006A78CC" w:rsidP="00AE49A7">
            <w:pPr>
              <w:jc w:val="right"/>
              <w:rPr>
                <w:rFonts w:ascii="Arial" w:hAnsi="Arial" w:cs="Arial"/>
                <w:b/>
                <w:bCs/>
                <w:color w:val="000000"/>
                <w:sz w:val="22"/>
                <w:szCs w:val="22"/>
              </w:rPr>
            </w:pPr>
            <w:r>
              <w:rPr>
                <w:rFonts w:ascii="Arial" w:hAnsi="Arial" w:cs="Arial"/>
                <w:b/>
                <w:bCs/>
                <w:color w:val="000000"/>
                <w:sz w:val="22"/>
                <w:szCs w:val="22"/>
              </w:rPr>
              <w:t>4,161</w:t>
            </w:r>
          </w:p>
        </w:tc>
      </w:tr>
    </w:tbl>
    <w:p w14:paraId="4F377AA5" w14:textId="77777777" w:rsidR="003C45DA" w:rsidRPr="00F928FC" w:rsidRDefault="003C45DA" w:rsidP="003C45DA">
      <w:pPr>
        <w:tabs>
          <w:tab w:val="left" w:pos="709"/>
          <w:tab w:val="left" w:pos="1134"/>
        </w:tabs>
        <w:jc w:val="both"/>
        <w:rPr>
          <w:rFonts w:ascii="Arial" w:hAnsi="Arial" w:cs="Arial"/>
          <w:sz w:val="22"/>
          <w:szCs w:val="22"/>
        </w:rPr>
      </w:pPr>
    </w:p>
    <w:p w14:paraId="1E68E2B6" w14:textId="2DDD2B8E" w:rsidR="003C45DA" w:rsidRPr="008A0A4E" w:rsidRDefault="003C45DA" w:rsidP="0003205F">
      <w:pPr>
        <w:pStyle w:val="ListParagraph"/>
        <w:numPr>
          <w:ilvl w:val="0"/>
          <w:numId w:val="24"/>
        </w:numPr>
        <w:tabs>
          <w:tab w:val="left" w:pos="709"/>
          <w:tab w:val="left" w:pos="1134"/>
        </w:tabs>
        <w:jc w:val="both"/>
        <w:rPr>
          <w:rFonts w:ascii="Arial" w:hAnsi="Arial" w:cs="Arial"/>
        </w:rPr>
      </w:pPr>
      <w:r w:rsidRPr="008A0A4E">
        <w:rPr>
          <w:rFonts w:ascii="Arial" w:hAnsi="Arial" w:cs="Arial"/>
          <w:b/>
          <w:lang w:val="en-US"/>
        </w:rPr>
        <w:t>Benefits</w:t>
      </w:r>
    </w:p>
    <w:p w14:paraId="38CE20A2" w14:textId="77777777" w:rsidR="003C45DA" w:rsidRPr="008A0A4E" w:rsidRDefault="003C45DA" w:rsidP="003C45DA">
      <w:pPr>
        <w:pStyle w:val="ListParagraph"/>
        <w:tabs>
          <w:tab w:val="left" w:pos="709"/>
          <w:tab w:val="left" w:pos="1134"/>
        </w:tabs>
        <w:spacing w:after="0" w:line="240" w:lineRule="auto"/>
        <w:ind w:left="360"/>
        <w:jc w:val="both"/>
        <w:rPr>
          <w:rFonts w:ascii="Arial" w:hAnsi="Arial" w:cs="Arial"/>
        </w:rPr>
      </w:pPr>
    </w:p>
    <w:p w14:paraId="1E5D2032" w14:textId="5AA55EF0" w:rsidR="003C45DA" w:rsidRDefault="003C45DA" w:rsidP="00C671BF">
      <w:pPr>
        <w:ind w:left="360" w:right="426"/>
        <w:jc w:val="both"/>
        <w:rPr>
          <w:rFonts w:ascii="Arial" w:hAnsi="Arial" w:cs="Arial"/>
          <w:sz w:val="22"/>
          <w:szCs w:val="22"/>
        </w:rPr>
      </w:pPr>
      <w:r w:rsidRPr="008A0A4E">
        <w:rPr>
          <w:rFonts w:ascii="Arial" w:hAnsi="Arial" w:cs="Arial"/>
          <w:sz w:val="22"/>
          <w:szCs w:val="22"/>
        </w:rPr>
        <w:t xml:space="preserve">Benefits payable and refunds of contributions have been brought into the accounts based on all valid claims approved during the year.  </w:t>
      </w:r>
    </w:p>
    <w:p w14:paraId="1538069D" w14:textId="77777777" w:rsidR="002328C5" w:rsidRPr="008A0A4E" w:rsidRDefault="002328C5" w:rsidP="00C671BF">
      <w:pPr>
        <w:ind w:left="360" w:right="426"/>
        <w:jc w:val="both"/>
        <w:rPr>
          <w:rFonts w:ascii="Arial" w:hAnsi="Arial" w:cs="Arial"/>
          <w:sz w:val="22"/>
          <w:szCs w:val="22"/>
        </w:rPr>
      </w:pPr>
    </w:p>
    <w:tbl>
      <w:tblPr>
        <w:tblW w:w="10318" w:type="dxa"/>
        <w:jc w:val="center"/>
        <w:tblLayout w:type="fixed"/>
        <w:tblLook w:val="00A0" w:firstRow="1" w:lastRow="0" w:firstColumn="1" w:lastColumn="0" w:noHBand="0" w:noVBand="0"/>
      </w:tblPr>
      <w:tblGrid>
        <w:gridCol w:w="1546"/>
        <w:gridCol w:w="992"/>
        <w:gridCol w:w="946"/>
        <w:gridCol w:w="1098"/>
        <w:gridCol w:w="895"/>
        <w:gridCol w:w="6"/>
        <w:gridCol w:w="243"/>
        <w:gridCol w:w="1073"/>
        <w:gridCol w:w="1180"/>
        <w:gridCol w:w="1210"/>
        <w:gridCol w:w="1129"/>
      </w:tblGrid>
      <w:tr w:rsidR="0047699B" w:rsidRPr="00B64150" w14:paraId="1DF3ECEA" w14:textId="77777777" w:rsidTr="00120FA7">
        <w:trPr>
          <w:trHeight w:val="62"/>
          <w:jc w:val="center"/>
        </w:trPr>
        <w:tc>
          <w:tcPr>
            <w:tcW w:w="1546" w:type="dxa"/>
            <w:tcBorders>
              <w:top w:val="nil"/>
              <w:left w:val="nil"/>
              <w:bottom w:val="nil"/>
              <w:right w:val="nil"/>
            </w:tcBorders>
            <w:noWrap/>
            <w:vAlign w:val="bottom"/>
          </w:tcPr>
          <w:p w14:paraId="75A8E0D9" w14:textId="77777777" w:rsidR="0047699B" w:rsidRPr="008A0A4E" w:rsidRDefault="0047699B" w:rsidP="0047699B">
            <w:pPr>
              <w:rPr>
                <w:rFonts w:ascii="Arial" w:hAnsi="Arial" w:cs="Arial"/>
                <w:b/>
                <w:bCs/>
                <w:color w:val="000000"/>
                <w:sz w:val="22"/>
                <w:szCs w:val="22"/>
              </w:rPr>
            </w:pPr>
          </w:p>
        </w:tc>
        <w:tc>
          <w:tcPr>
            <w:tcW w:w="3931" w:type="dxa"/>
            <w:gridSpan w:val="4"/>
            <w:tcBorders>
              <w:top w:val="nil"/>
              <w:left w:val="nil"/>
              <w:bottom w:val="nil"/>
              <w:right w:val="nil"/>
            </w:tcBorders>
            <w:noWrap/>
            <w:vAlign w:val="bottom"/>
          </w:tcPr>
          <w:p w14:paraId="6AC6D7FF" w14:textId="61FAA18C" w:rsidR="0047699B" w:rsidRPr="00C6305E" w:rsidRDefault="0047699B" w:rsidP="0047699B">
            <w:pPr>
              <w:jc w:val="center"/>
              <w:rPr>
                <w:rFonts w:ascii="Arial" w:hAnsi="Arial" w:cs="Arial"/>
                <w:color w:val="000000"/>
                <w:sz w:val="22"/>
                <w:szCs w:val="22"/>
              </w:rPr>
            </w:pPr>
            <w:r w:rsidRPr="00C6305E">
              <w:rPr>
                <w:rFonts w:ascii="Arial" w:hAnsi="Arial" w:cs="Arial"/>
                <w:color w:val="000000"/>
                <w:sz w:val="22"/>
                <w:szCs w:val="22"/>
              </w:rPr>
              <w:t>202</w:t>
            </w:r>
            <w:r w:rsidR="006A78CC" w:rsidRPr="00C6305E">
              <w:rPr>
                <w:rFonts w:ascii="Arial" w:hAnsi="Arial" w:cs="Arial"/>
                <w:color w:val="000000"/>
                <w:sz w:val="22"/>
                <w:szCs w:val="22"/>
              </w:rPr>
              <w:t>3</w:t>
            </w:r>
            <w:r w:rsidR="00D74644" w:rsidRPr="00C6305E">
              <w:rPr>
                <w:rFonts w:ascii="Arial" w:hAnsi="Arial" w:cs="Arial"/>
                <w:color w:val="000000"/>
                <w:sz w:val="22"/>
                <w:szCs w:val="22"/>
              </w:rPr>
              <w:t>/2</w:t>
            </w:r>
            <w:r w:rsidR="006A78CC" w:rsidRPr="00C6305E">
              <w:rPr>
                <w:rFonts w:ascii="Arial" w:hAnsi="Arial" w:cs="Arial"/>
                <w:color w:val="000000"/>
                <w:sz w:val="22"/>
                <w:szCs w:val="22"/>
              </w:rPr>
              <w:t>4</w:t>
            </w:r>
          </w:p>
        </w:tc>
        <w:tc>
          <w:tcPr>
            <w:tcW w:w="249" w:type="dxa"/>
            <w:gridSpan w:val="2"/>
            <w:tcBorders>
              <w:top w:val="nil"/>
              <w:left w:val="nil"/>
              <w:bottom w:val="nil"/>
              <w:right w:val="nil"/>
            </w:tcBorders>
            <w:vAlign w:val="bottom"/>
          </w:tcPr>
          <w:p w14:paraId="62DE29CB" w14:textId="7FFF9FF7" w:rsidR="0047699B" w:rsidRPr="008A0A4E" w:rsidRDefault="0047699B" w:rsidP="0047699B">
            <w:pPr>
              <w:jc w:val="center"/>
              <w:rPr>
                <w:rFonts w:ascii="Arial" w:hAnsi="Arial" w:cs="Arial"/>
                <w:b/>
                <w:color w:val="000000"/>
                <w:sz w:val="22"/>
                <w:szCs w:val="22"/>
              </w:rPr>
            </w:pPr>
            <w:r w:rsidRPr="008A0A4E">
              <w:rPr>
                <w:rFonts w:ascii="Arial" w:hAnsi="Arial" w:cs="Arial"/>
                <w:color w:val="000000"/>
                <w:sz w:val="22"/>
                <w:szCs w:val="22"/>
              </w:rPr>
              <w:t> </w:t>
            </w:r>
          </w:p>
        </w:tc>
        <w:tc>
          <w:tcPr>
            <w:tcW w:w="4592" w:type="dxa"/>
            <w:gridSpan w:val="4"/>
            <w:tcBorders>
              <w:top w:val="nil"/>
              <w:left w:val="nil"/>
              <w:bottom w:val="nil"/>
              <w:right w:val="nil"/>
            </w:tcBorders>
            <w:noWrap/>
            <w:vAlign w:val="bottom"/>
          </w:tcPr>
          <w:p w14:paraId="69593284" w14:textId="12137D2B" w:rsidR="0047699B" w:rsidRPr="008A0A4E" w:rsidRDefault="0047699B" w:rsidP="0047699B">
            <w:pPr>
              <w:jc w:val="center"/>
              <w:rPr>
                <w:rFonts w:ascii="Arial" w:hAnsi="Arial" w:cs="Arial"/>
                <w:b/>
                <w:color w:val="000000"/>
                <w:sz w:val="22"/>
                <w:szCs w:val="22"/>
              </w:rPr>
            </w:pPr>
            <w:r w:rsidRPr="00EB7BF9">
              <w:rPr>
                <w:rFonts w:ascii="Arial" w:hAnsi="Arial" w:cs="Arial"/>
                <w:b/>
                <w:bCs/>
                <w:color w:val="000000"/>
                <w:sz w:val="22"/>
                <w:szCs w:val="22"/>
              </w:rPr>
              <w:t>202</w:t>
            </w:r>
            <w:r w:rsidR="006A78CC">
              <w:rPr>
                <w:rFonts w:ascii="Arial" w:hAnsi="Arial" w:cs="Arial"/>
                <w:b/>
                <w:bCs/>
                <w:color w:val="000000"/>
                <w:sz w:val="22"/>
                <w:szCs w:val="22"/>
              </w:rPr>
              <w:t>4</w:t>
            </w:r>
            <w:r w:rsidR="00D74644">
              <w:rPr>
                <w:rFonts w:ascii="Arial" w:hAnsi="Arial" w:cs="Arial"/>
                <w:b/>
                <w:bCs/>
                <w:color w:val="000000"/>
                <w:sz w:val="22"/>
                <w:szCs w:val="22"/>
              </w:rPr>
              <w:t>/2</w:t>
            </w:r>
            <w:r w:rsidR="006A78CC">
              <w:rPr>
                <w:rFonts w:ascii="Arial" w:hAnsi="Arial" w:cs="Arial"/>
                <w:b/>
                <w:bCs/>
                <w:color w:val="000000"/>
                <w:sz w:val="22"/>
                <w:szCs w:val="22"/>
              </w:rPr>
              <w:t>5</w:t>
            </w:r>
          </w:p>
        </w:tc>
      </w:tr>
      <w:tr w:rsidR="00922098" w:rsidRPr="00B64150" w14:paraId="5C433ED0" w14:textId="77777777" w:rsidTr="00DF166D">
        <w:trPr>
          <w:trHeight w:val="214"/>
          <w:jc w:val="center"/>
        </w:trPr>
        <w:tc>
          <w:tcPr>
            <w:tcW w:w="1546" w:type="dxa"/>
            <w:tcBorders>
              <w:top w:val="nil"/>
              <w:left w:val="nil"/>
              <w:bottom w:val="nil"/>
              <w:right w:val="nil"/>
            </w:tcBorders>
            <w:noWrap/>
            <w:vAlign w:val="bottom"/>
          </w:tcPr>
          <w:p w14:paraId="31D48342" w14:textId="77777777" w:rsidR="00922098" w:rsidRPr="008A0A4E" w:rsidRDefault="00922098" w:rsidP="00DF3ECC">
            <w:pPr>
              <w:rPr>
                <w:rFonts w:ascii="Arial" w:hAnsi="Arial" w:cs="Arial"/>
                <w:color w:val="000000"/>
                <w:sz w:val="22"/>
                <w:szCs w:val="22"/>
              </w:rPr>
            </w:pPr>
          </w:p>
        </w:tc>
        <w:tc>
          <w:tcPr>
            <w:tcW w:w="992" w:type="dxa"/>
            <w:tcBorders>
              <w:top w:val="nil"/>
              <w:left w:val="nil"/>
              <w:bottom w:val="nil"/>
              <w:right w:val="nil"/>
            </w:tcBorders>
            <w:vAlign w:val="bottom"/>
          </w:tcPr>
          <w:p w14:paraId="40BC41EF"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Council</w:t>
            </w:r>
          </w:p>
        </w:tc>
        <w:tc>
          <w:tcPr>
            <w:tcW w:w="946" w:type="dxa"/>
            <w:tcBorders>
              <w:top w:val="nil"/>
              <w:left w:val="nil"/>
              <w:bottom w:val="nil"/>
              <w:right w:val="nil"/>
            </w:tcBorders>
            <w:vAlign w:val="bottom"/>
          </w:tcPr>
          <w:p w14:paraId="113A4831" w14:textId="77777777" w:rsidR="00922098" w:rsidRPr="008A0A4E" w:rsidRDefault="00922098" w:rsidP="00DF3ECC">
            <w:pPr>
              <w:ind w:left="-174" w:right="-109"/>
              <w:jc w:val="center"/>
              <w:rPr>
                <w:rFonts w:ascii="Arial" w:hAnsi="Arial" w:cs="Arial"/>
                <w:bCs/>
                <w:color w:val="000000"/>
                <w:sz w:val="22"/>
                <w:szCs w:val="22"/>
              </w:rPr>
            </w:pPr>
            <w:r w:rsidRPr="008A0A4E">
              <w:rPr>
                <w:rFonts w:ascii="Arial" w:hAnsi="Arial" w:cs="Arial"/>
                <w:bCs/>
                <w:color w:val="000000"/>
                <w:sz w:val="22"/>
                <w:szCs w:val="22"/>
              </w:rPr>
              <w:t>Admitted Bodies</w:t>
            </w:r>
          </w:p>
        </w:tc>
        <w:tc>
          <w:tcPr>
            <w:tcW w:w="1098" w:type="dxa"/>
            <w:tcBorders>
              <w:top w:val="nil"/>
              <w:left w:val="nil"/>
              <w:bottom w:val="nil"/>
              <w:right w:val="nil"/>
            </w:tcBorders>
            <w:vAlign w:val="bottom"/>
          </w:tcPr>
          <w:p w14:paraId="03F03587" w14:textId="77777777" w:rsidR="00922098" w:rsidRPr="008A0A4E" w:rsidRDefault="00922098" w:rsidP="00DF3ECC">
            <w:pPr>
              <w:ind w:left="-107" w:right="-75"/>
              <w:jc w:val="center"/>
              <w:rPr>
                <w:rFonts w:ascii="Arial" w:hAnsi="Arial" w:cs="Arial"/>
                <w:bCs/>
                <w:color w:val="000000"/>
                <w:sz w:val="22"/>
                <w:szCs w:val="22"/>
              </w:rPr>
            </w:pPr>
            <w:r w:rsidRPr="008A0A4E">
              <w:rPr>
                <w:rFonts w:ascii="Arial" w:hAnsi="Arial" w:cs="Arial"/>
                <w:bCs/>
                <w:color w:val="000000"/>
                <w:sz w:val="22"/>
                <w:szCs w:val="22"/>
              </w:rPr>
              <w:t>Scheduled Bodies</w:t>
            </w:r>
          </w:p>
        </w:tc>
        <w:tc>
          <w:tcPr>
            <w:tcW w:w="901" w:type="dxa"/>
            <w:gridSpan w:val="2"/>
            <w:tcBorders>
              <w:top w:val="nil"/>
              <w:left w:val="nil"/>
              <w:bottom w:val="nil"/>
              <w:right w:val="nil"/>
            </w:tcBorders>
            <w:vAlign w:val="bottom"/>
          </w:tcPr>
          <w:p w14:paraId="31423896"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Total</w:t>
            </w:r>
          </w:p>
        </w:tc>
        <w:tc>
          <w:tcPr>
            <w:tcW w:w="243" w:type="dxa"/>
            <w:vMerge w:val="restart"/>
            <w:tcBorders>
              <w:top w:val="nil"/>
              <w:left w:val="nil"/>
              <w:right w:val="nil"/>
            </w:tcBorders>
          </w:tcPr>
          <w:p w14:paraId="14961C67" w14:textId="77777777" w:rsidR="00922098" w:rsidRPr="00922098" w:rsidRDefault="00922098" w:rsidP="00DF3ECC">
            <w:pPr>
              <w:jc w:val="center"/>
              <w:rPr>
                <w:rFonts w:ascii="Arial" w:hAnsi="Arial" w:cs="Arial"/>
                <w:b/>
                <w:bCs/>
                <w:color w:val="000000"/>
                <w:sz w:val="22"/>
                <w:szCs w:val="22"/>
                <w:highlight w:val="lightGray"/>
              </w:rPr>
            </w:pPr>
          </w:p>
        </w:tc>
        <w:tc>
          <w:tcPr>
            <w:tcW w:w="1073" w:type="dxa"/>
            <w:tcBorders>
              <w:top w:val="nil"/>
              <w:left w:val="nil"/>
              <w:bottom w:val="nil"/>
              <w:right w:val="nil"/>
            </w:tcBorders>
            <w:vAlign w:val="bottom"/>
          </w:tcPr>
          <w:p w14:paraId="5481A357" w14:textId="39267CFF"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Council</w:t>
            </w:r>
          </w:p>
        </w:tc>
        <w:tc>
          <w:tcPr>
            <w:tcW w:w="1180" w:type="dxa"/>
            <w:tcBorders>
              <w:top w:val="nil"/>
              <w:left w:val="nil"/>
              <w:bottom w:val="nil"/>
              <w:right w:val="nil"/>
            </w:tcBorders>
            <w:vAlign w:val="bottom"/>
          </w:tcPr>
          <w:p w14:paraId="0C641A13" w14:textId="77777777" w:rsidR="00922098" w:rsidRPr="008A0A4E" w:rsidRDefault="00922098" w:rsidP="00DF3ECC">
            <w:pPr>
              <w:ind w:hanging="39"/>
              <w:jc w:val="center"/>
              <w:rPr>
                <w:rFonts w:ascii="Arial" w:hAnsi="Arial" w:cs="Arial"/>
                <w:b/>
                <w:bCs/>
                <w:color w:val="000000"/>
                <w:sz w:val="22"/>
                <w:szCs w:val="22"/>
              </w:rPr>
            </w:pPr>
            <w:r w:rsidRPr="008A0A4E">
              <w:rPr>
                <w:rFonts w:ascii="Arial" w:hAnsi="Arial" w:cs="Arial"/>
                <w:b/>
                <w:bCs/>
                <w:color w:val="000000"/>
                <w:sz w:val="22"/>
                <w:szCs w:val="22"/>
              </w:rPr>
              <w:t>Admitted Bodies</w:t>
            </w:r>
          </w:p>
        </w:tc>
        <w:tc>
          <w:tcPr>
            <w:tcW w:w="1210" w:type="dxa"/>
            <w:tcBorders>
              <w:top w:val="nil"/>
              <w:left w:val="nil"/>
              <w:bottom w:val="nil"/>
              <w:right w:val="nil"/>
            </w:tcBorders>
            <w:vAlign w:val="bottom"/>
          </w:tcPr>
          <w:p w14:paraId="7748F9BB" w14:textId="77777777" w:rsidR="00922098" w:rsidRPr="008A0A4E" w:rsidRDefault="00922098"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Scheduled Bodies</w:t>
            </w:r>
          </w:p>
        </w:tc>
        <w:tc>
          <w:tcPr>
            <w:tcW w:w="1129" w:type="dxa"/>
            <w:tcBorders>
              <w:top w:val="nil"/>
              <w:left w:val="nil"/>
              <w:bottom w:val="nil"/>
              <w:right w:val="nil"/>
            </w:tcBorders>
            <w:vAlign w:val="bottom"/>
          </w:tcPr>
          <w:p w14:paraId="45A168EE"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Total</w:t>
            </w:r>
          </w:p>
        </w:tc>
      </w:tr>
      <w:tr w:rsidR="00922098" w:rsidRPr="00B64150" w14:paraId="5E481876" w14:textId="77777777" w:rsidTr="00922098">
        <w:trPr>
          <w:trHeight w:val="58"/>
          <w:jc w:val="center"/>
        </w:trPr>
        <w:tc>
          <w:tcPr>
            <w:tcW w:w="1546" w:type="dxa"/>
            <w:tcBorders>
              <w:top w:val="nil"/>
              <w:left w:val="nil"/>
              <w:bottom w:val="nil"/>
              <w:right w:val="nil"/>
            </w:tcBorders>
            <w:noWrap/>
            <w:vAlign w:val="bottom"/>
          </w:tcPr>
          <w:p w14:paraId="1ACD8EED" w14:textId="77777777" w:rsidR="00922098" w:rsidRPr="008A0A4E" w:rsidRDefault="00922098" w:rsidP="00DF3ECC">
            <w:pPr>
              <w:rPr>
                <w:rFonts w:ascii="Arial" w:hAnsi="Arial" w:cs="Arial"/>
                <w:b/>
                <w:bCs/>
                <w:color w:val="000000"/>
                <w:sz w:val="22"/>
                <w:szCs w:val="22"/>
              </w:rPr>
            </w:pPr>
          </w:p>
        </w:tc>
        <w:tc>
          <w:tcPr>
            <w:tcW w:w="992" w:type="dxa"/>
            <w:tcBorders>
              <w:top w:val="nil"/>
              <w:left w:val="nil"/>
              <w:bottom w:val="nil"/>
              <w:right w:val="nil"/>
            </w:tcBorders>
            <w:noWrap/>
            <w:vAlign w:val="bottom"/>
          </w:tcPr>
          <w:p w14:paraId="5AF0DA03" w14:textId="77777777" w:rsidR="00922098" w:rsidRPr="00EE7097" w:rsidRDefault="00922098" w:rsidP="00DF3ECC">
            <w:pPr>
              <w:jc w:val="center"/>
              <w:rPr>
                <w:rFonts w:ascii="Arial" w:hAnsi="Arial" w:cs="Arial"/>
                <w:bCs/>
                <w:color w:val="000000"/>
                <w:sz w:val="22"/>
                <w:szCs w:val="22"/>
              </w:rPr>
            </w:pPr>
            <w:r w:rsidRPr="00EE7097">
              <w:rPr>
                <w:rFonts w:ascii="Arial" w:hAnsi="Arial" w:cs="Arial"/>
                <w:bCs/>
                <w:color w:val="000000"/>
                <w:sz w:val="22"/>
                <w:szCs w:val="22"/>
              </w:rPr>
              <w:t>£000</w:t>
            </w:r>
          </w:p>
        </w:tc>
        <w:tc>
          <w:tcPr>
            <w:tcW w:w="946" w:type="dxa"/>
            <w:tcBorders>
              <w:top w:val="nil"/>
              <w:left w:val="nil"/>
              <w:bottom w:val="nil"/>
              <w:right w:val="nil"/>
            </w:tcBorders>
            <w:noWrap/>
            <w:vAlign w:val="bottom"/>
          </w:tcPr>
          <w:p w14:paraId="64E87C9B" w14:textId="77777777" w:rsidR="00922098" w:rsidRPr="00EE7097" w:rsidRDefault="00922098" w:rsidP="00DF3ECC">
            <w:pPr>
              <w:ind w:left="-174" w:right="-109"/>
              <w:jc w:val="center"/>
              <w:rPr>
                <w:rFonts w:ascii="Arial" w:hAnsi="Arial" w:cs="Arial"/>
                <w:bCs/>
                <w:color w:val="000000"/>
                <w:sz w:val="22"/>
                <w:szCs w:val="22"/>
              </w:rPr>
            </w:pPr>
            <w:r w:rsidRPr="00EE7097">
              <w:rPr>
                <w:rFonts w:ascii="Arial" w:hAnsi="Arial" w:cs="Arial"/>
                <w:bCs/>
                <w:color w:val="000000"/>
                <w:sz w:val="22"/>
                <w:szCs w:val="22"/>
              </w:rPr>
              <w:t>£000</w:t>
            </w:r>
          </w:p>
        </w:tc>
        <w:tc>
          <w:tcPr>
            <w:tcW w:w="1098" w:type="dxa"/>
            <w:tcBorders>
              <w:top w:val="nil"/>
              <w:left w:val="nil"/>
              <w:bottom w:val="nil"/>
              <w:right w:val="nil"/>
            </w:tcBorders>
            <w:noWrap/>
            <w:vAlign w:val="bottom"/>
          </w:tcPr>
          <w:p w14:paraId="46012624" w14:textId="77777777" w:rsidR="00922098" w:rsidRPr="00EE7097" w:rsidRDefault="00922098" w:rsidP="00DF3ECC">
            <w:pPr>
              <w:ind w:left="-107" w:right="-75"/>
              <w:jc w:val="center"/>
              <w:rPr>
                <w:rFonts w:ascii="Arial" w:hAnsi="Arial" w:cs="Arial"/>
                <w:bCs/>
                <w:color w:val="000000"/>
                <w:sz w:val="22"/>
                <w:szCs w:val="22"/>
              </w:rPr>
            </w:pPr>
            <w:r w:rsidRPr="00EE7097">
              <w:rPr>
                <w:rFonts w:ascii="Arial" w:hAnsi="Arial" w:cs="Arial"/>
                <w:bCs/>
                <w:color w:val="000000"/>
                <w:sz w:val="22"/>
                <w:szCs w:val="22"/>
              </w:rPr>
              <w:t>£000</w:t>
            </w:r>
          </w:p>
        </w:tc>
        <w:tc>
          <w:tcPr>
            <w:tcW w:w="901" w:type="dxa"/>
            <w:gridSpan w:val="2"/>
            <w:tcBorders>
              <w:top w:val="nil"/>
              <w:left w:val="nil"/>
              <w:bottom w:val="nil"/>
              <w:right w:val="nil"/>
            </w:tcBorders>
            <w:noWrap/>
            <w:vAlign w:val="bottom"/>
          </w:tcPr>
          <w:p w14:paraId="35211922"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£000</w:t>
            </w:r>
          </w:p>
        </w:tc>
        <w:tc>
          <w:tcPr>
            <w:tcW w:w="243" w:type="dxa"/>
            <w:vMerge/>
            <w:tcBorders>
              <w:left w:val="nil"/>
              <w:right w:val="nil"/>
            </w:tcBorders>
          </w:tcPr>
          <w:p w14:paraId="09F5CCEF" w14:textId="77777777" w:rsidR="00922098" w:rsidRPr="008A0A4E" w:rsidRDefault="00922098" w:rsidP="00DF3ECC">
            <w:pPr>
              <w:jc w:val="center"/>
              <w:rPr>
                <w:rFonts w:ascii="Arial" w:hAnsi="Arial" w:cs="Arial"/>
                <w:b/>
                <w:bCs/>
                <w:color w:val="000000"/>
                <w:sz w:val="22"/>
                <w:szCs w:val="22"/>
              </w:rPr>
            </w:pPr>
          </w:p>
        </w:tc>
        <w:tc>
          <w:tcPr>
            <w:tcW w:w="1073" w:type="dxa"/>
            <w:tcBorders>
              <w:top w:val="nil"/>
              <w:left w:val="nil"/>
              <w:bottom w:val="nil"/>
              <w:right w:val="nil"/>
            </w:tcBorders>
            <w:noWrap/>
            <w:vAlign w:val="bottom"/>
          </w:tcPr>
          <w:p w14:paraId="51CDEFF6" w14:textId="309CC9C8"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80" w:type="dxa"/>
            <w:tcBorders>
              <w:top w:val="nil"/>
              <w:left w:val="nil"/>
              <w:bottom w:val="nil"/>
              <w:right w:val="nil"/>
            </w:tcBorders>
            <w:noWrap/>
            <w:vAlign w:val="bottom"/>
          </w:tcPr>
          <w:p w14:paraId="647B9C90"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10" w:type="dxa"/>
            <w:tcBorders>
              <w:top w:val="nil"/>
              <w:left w:val="nil"/>
              <w:bottom w:val="nil"/>
              <w:right w:val="nil"/>
            </w:tcBorders>
            <w:noWrap/>
            <w:vAlign w:val="bottom"/>
          </w:tcPr>
          <w:p w14:paraId="7532253D" w14:textId="77777777" w:rsidR="00922098" w:rsidRPr="008A0A4E" w:rsidRDefault="00922098"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29" w:type="dxa"/>
            <w:tcBorders>
              <w:top w:val="nil"/>
              <w:left w:val="nil"/>
              <w:bottom w:val="nil"/>
              <w:right w:val="nil"/>
            </w:tcBorders>
            <w:noWrap/>
            <w:vAlign w:val="bottom"/>
          </w:tcPr>
          <w:p w14:paraId="1FCB88B4"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A1F6D" w:rsidRPr="00B64150" w14:paraId="6373442F" w14:textId="77777777" w:rsidTr="001E1D55">
        <w:trPr>
          <w:trHeight w:val="58"/>
          <w:jc w:val="center"/>
        </w:trPr>
        <w:tc>
          <w:tcPr>
            <w:tcW w:w="1546" w:type="dxa"/>
            <w:tcBorders>
              <w:top w:val="nil"/>
              <w:left w:val="nil"/>
              <w:bottom w:val="nil"/>
              <w:right w:val="nil"/>
            </w:tcBorders>
            <w:noWrap/>
            <w:vAlign w:val="bottom"/>
          </w:tcPr>
          <w:p w14:paraId="0EDF541E" w14:textId="77777777" w:rsidR="00FA1F6D" w:rsidRPr="008A0A4E" w:rsidRDefault="00FA1F6D" w:rsidP="00FA1F6D">
            <w:pPr>
              <w:ind w:right="-108"/>
              <w:rPr>
                <w:rFonts w:ascii="Arial" w:hAnsi="Arial" w:cs="Arial"/>
                <w:b/>
                <w:bCs/>
                <w:color w:val="000000"/>
                <w:sz w:val="22"/>
                <w:szCs w:val="22"/>
              </w:rPr>
            </w:pPr>
            <w:r w:rsidRPr="008A0A4E">
              <w:rPr>
                <w:rFonts w:ascii="Arial" w:hAnsi="Arial" w:cs="Arial"/>
                <w:b/>
                <w:bCs/>
                <w:color w:val="000000"/>
                <w:sz w:val="22"/>
                <w:szCs w:val="22"/>
              </w:rPr>
              <w:t>Pensions</w:t>
            </w:r>
          </w:p>
        </w:tc>
        <w:tc>
          <w:tcPr>
            <w:tcW w:w="992" w:type="dxa"/>
            <w:tcBorders>
              <w:top w:val="nil"/>
              <w:left w:val="nil"/>
              <w:bottom w:val="nil"/>
              <w:right w:val="nil"/>
            </w:tcBorders>
            <w:shd w:val="clear" w:color="000000" w:fill="FFFFFF"/>
            <w:noWrap/>
          </w:tcPr>
          <w:p w14:paraId="28AAAFEF" w14:textId="0993C170" w:rsidR="00FA1F6D" w:rsidRPr="006A78CC" w:rsidRDefault="00FA1F6D" w:rsidP="00FA1F6D">
            <w:pPr>
              <w:ind w:left="-241"/>
              <w:jc w:val="right"/>
              <w:rPr>
                <w:rFonts w:ascii="Arial" w:hAnsi="Arial" w:cs="Arial"/>
                <w:sz w:val="22"/>
                <w:szCs w:val="22"/>
              </w:rPr>
            </w:pPr>
            <w:r w:rsidRPr="006A78CC">
              <w:rPr>
                <w:rFonts w:ascii="Arial" w:hAnsi="Arial" w:cs="Arial"/>
                <w:sz w:val="22"/>
                <w:szCs w:val="22"/>
              </w:rPr>
              <w:t>33,640</w:t>
            </w:r>
          </w:p>
        </w:tc>
        <w:tc>
          <w:tcPr>
            <w:tcW w:w="946" w:type="dxa"/>
            <w:tcBorders>
              <w:top w:val="nil"/>
              <w:left w:val="nil"/>
              <w:bottom w:val="nil"/>
              <w:right w:val="nil"/>
            </w:tcBorders>
            <w:shd w:val="clear" w:color="000000" w:fill="FFFFFF"/>
            <w:noWrap/>
          </w:tcPr>
          <w:p w14:paraId="372C1DAB" w14:textId="6EA53272" w:rsidR="00FA1F6D" w:rsidRPr="006A78CC" w:rsidRDefault="00FA1F6D" w:rsidP="00FA1F6D">
            <w:pPr>
              <w:jc w:val="right"/>
              <w:rPr>
                <w:rFonts w:ascii="Arial" w:hAnsi="Arial" w:cs="Arial"/>
                <w:sz w:val="22"/>
                <w:szCs w:val="22"/>
              </w:rPr>
            </w:pPr>
            <w:r w:rsidRPr="006A78CC">
              <w:rPr>
                <w:rFonts w:ascii="Arial" w:hAnsi="Arial" w:cs="Arial"/>
                <w:sz w:val="22"/>
                <w:szCs w:val="22"/>
              </w:rPr>
              <w:t>370</w:t>
            </w:r>
          </w:p>
        </w:tc>
        <w:tc>
          <w:tcPr>
            <w:tcW w:w="1098" w:type="dxa"/>
            <w:tcBorders>
              <w:top w:val="nil"/>
              <w:left w:val="nil"/>
              <w:bottom w:val="nil"/>
              <w:right w:val="nil"/>
            </w:tcBorders>
            <w:shd w:val="clear" w:color="000000" w:fill="FFFFFF"/>
            <w:noWrap/>
          </w:tcPr>
          <w:p w14:paraId="327B0BA7" w14:textId="0C75C8B0" w:rsidR="00FA1F6D" w:rsidRPr="006A78CC" w:rsidRDefault="00FA1F6D" w:rsidP="00FA1F6D">
            <w:pPr>
              <w:jc w:val="right"/>
              <w:rPr>
                <w:rFonts w:ascii="Arial" w:hAnsi="Arial" w:cs="Arial"/>
                <w:sz w:val="22"/>
                <w:szCs w:val="22"/>
              </w:rPr>
            </w:pPr>
            <w:r w:rsidRPr="006A78CC">
              <w:rPr>
                <w:rFonts w:ascii="Arial" w:hAnsi="Arial" w:cs="Arial"/>
                <w:sz w:val="22"/>
                <w:szCs w:val="22"/>
              </w:rPr>
              <w:t>7,686</w:t>
            </w:r>
          </w:p>
        </w:tc>
        <w:tc>
          <w:tcPr>
            <w:tcW w:w="901" w:type="dxa"/>
            <w:gridSpan w:val="2"/>
            <w:tcBorders>
              <w:top w:val="nil"/>
              <w:left w:val="nil"/>
              <w:bottom w:val="nil"/>
              <w:right w:val="nil"/>
            </w:tcBorders>
            <w:shd w:val="clear" w:color="000000" w:fill="FFFFFF"/>
            <w:noWrap/>
          </w:tcPr>
          <w:p w14:paraId="357ADA0A" w14:textId="3B4DF727" w:rsidR="00FA1F6D" w:rsidRPr="006A78CC" w:rsidRDefault="00FA1F6D" w:rsidP="00FA1F6D">
            <w:pPr>
              <w:jc w:val="right"/>
              <w:rPr>
                <w:rFonts w:ascii="Arial" w:hAnsi="Arial" w:cs="Arial"/>
                <w:sz w:val="22"/>
                <w:szCs w:val="22"/>
              </w:rPr>
            </w:pPr>
            <w:r w:rsidRPr="006A78CC">
              <w:rPr>
                <w:rFonts w:ascii="Arial" w:hAnsi="Arial" w:cs="Arial"/>
                <w:sz w:val="22"/>
                <w:szCs w:val="22"/>
              </w:rPr>
              <w:t>41,697</w:t>
            </w:r>
          </w:p>
        </w:tc>
        <w:tc>
          <w:tcPr>
            <w:tcW w:w="243" w:type="dxa"/>
            <w:vMerge/>
            <w:tcBorders>
              <w:left w:val="nil"/>
              <w:right w:val="nil"/>
            </w:tcBorders>
            <w:shd w:val="clear" w:color="000000" w:fill="FFFFFF"/>
          </w:tcPr>
          <w:p w14:paraId="1C86B75B" w14:textId="77777777" w:rsidR="00FA1F6D" w:rsidRPr="008A0A4E" w:rsidRDefault="00FA1F6D" w:rsidP="00FA1F6D">
            <w:pPr>
              <w:jc w:val="right"/>
              <w:rPr>
                <w:rFonts w:ascii="Arial" w:hAnsi="Arial" w:cs="Arial"/>
                <w:b/>
                <w:bCs/>
                <w:color w:val="000000"/>
                <w:sz w:val="22"/>
                <w:szCs w:val="22"/>
              </w:rPr>
            </w:pPr>
          </w:p>
        </w:tc>
        <w:tc>
          <w:tcPr>
            <w:tcW w:w="1073" w:type="dxa"/>
            <w:tcBorders>
              <w:top w:val="nil"/>
              <w:left w:val="nil"/>
              <w:bottom w:val="nil"/>
              <w:right w:val="nil"/>
            </w:tcBorders>
            <w:shd w:val="clear" w:color="000000" w:fill="FFFFFF"/>
            <w:noWrap/>
            <w:vAlign w:val="center"/>
          </w:tcPr>
          <w:p w14:paraId="450B7957" w14:textId="7A9369E7" w:rsidR="00FA1F6D" w:rsidRPr="007C32F2" w:rsidRDefault="00FA1F6D" w:rsidP="00FA1F6D">
            <w:pPr>
              <w:jc w:val="right"/>
              <w:rPr>
                <w:rFonts w:ascii="Arial" w:hAnsi="Arial" w:cs="Arial"/>
                <w:b/>
                <w:bCs/>
                <w:sz w:val="22"/>
                <w:szCs w:val="22"/>
              </w:rPr>
            </w:pPr>
            <w:r>
              <w:rPr>
                <w:rFonts w:ascii="Arial" w:hAnsi="Arial" w:cs="Arial"/>
                <w:b/>
                <w:bCs/>
                <w:color w:val="000000"/>
                <w:sz w:val="22"/>
                <w:szCs w:val="22"/>
              </w:rPr>
              <w:t>37,061</w:t>
            </w:r>
          </w:p>
        </w:tc>
        <w:tc>
          <w:tcPr>
            <w:tcW w:w="1180" w:type="dxa"/>
            <w:tcBorders>
              <w:top w:val="nil"/>
              <w:left w:val="nil"/>
              <w:bottom w:val="nil"/>
              <w:right w:val="nil"/>
            </w:tcBorders>
            <w:shd w:val="clear" w:color="000000" w:fill="FFFFFF"/>
            <w:noWrap/>
            <w:vAlign w:val="center"/>
          </w:tcPr>
          <w:p w14:paraId="643AD1ED" w14:textId="0452BD5B" w:rsidR="00FA1F6D" w:rsidRPr="007C32F2" w:rsidRDefault="00FA1F6D" w:rsidP="00FA1F6D">
            <w:pPr>
              <w:jc w:val="right"/>
              <w:rPr>
                <w:rFonts w:ascii="Arial" w:hAnsi="Arial" w:cs="Arial"/>
                <w:b/>
                <w:bCs/>
                <w:sz w:val="22"/>
                <w:szCs w:val="22"/>
              </w:rPr>
            </w:pPr>
            <w:r>
              <w:rPr>
                <w:rFonts w:ascii="Arial" w:hAnsi="Arial" w:cs="Arial"/>
                <w:b/>
                <w:bCs/>
                <w:color w:val="000000"/>
                <w:sz w:val="22"/>
                <w:szCs w:val="22"/>
              </w:rPr>
              <w:t>873</w:t>
            </w:r>
          </w:p>
        </w:tc>
        <w:tc>
          <w:tcPr>
            <w:tcW w:w="1210" w:type="dxa"/>
            <w:tcBorders>
              <w:top w:val="nil"/>
              <w:left w:val="nil"/>
              <w:bottom w:val="nil"/>
              <w:right w:val="nil"/>
            </w:tcBorders>
            <w:shd w:val="clear" w:color="000000" w:fill="FFFFFF"/>
            <w:noWrap/>
            <w:vAlign w:val="center"/>
          </w:tcPr>
          <w:p w14:paraId="3F944A56" w14:textId="7536F80A" w:rsidR="00FA1F6D" w:rsidRPr="007C32F2" w:rsidRDefault="00FA1F6D" w:rsidP="00FA1F6D">
            <w:pPr>
              <w:jc w:val="right"/>
              <w:rPr>
                <w:rFonts w:ascii="Arial" w:hAnsi="Arial" w:cs="Arial"/>
                <w:b/>
                <w:bCs/>
                <w:sz w:val="22"/>
                <w:szCs w:val="22"/>
              </w:rPr>
            </w:pPr>
            <w:r>
              <w:rPr>
                <w:rFonts w:ascii="Arial" w:hAnsi="Arial" w:cs="Arial"/>
                <w:b/>
                <w:bCs/>
                <w:color w:val="000000"/>
                <w:sz w:val="22"/>
                <w:szCs w:val="22"/>
              </w:rPr>
              <w:t>7,537</w:t>
            </w:r>
          </w:p>
        </w:tc>
        <w:tc>
          <w:tcPr>
            <w:tcW w:w="1129" w:type="dxa"/>
            <w:tcBorders>
              <w:top w:val="nil"/>
              <w:left w:val="nil"/>
              <w:bottom w:val="nil"/>
              <w:right w:val="nil"/>
            </w:tcBorders>
            <w:shd w:val="clear" w:color="000000" w:fill="FFFFFF"/>
            <w:noWrap/>
            <w:vAlign w:val="center"/>
          </w:tcPr>
          <w:p w14:paraId="36F4ABE5" w14:textId="58D6895F" w:rsidR="00FA1F6D" w:rsidRPr="007C32F2" w:rsidRDefault="00FA1F6D" w:rsidP="00FA1F6D">
            <w:pPr>
              <w:jc w:val="right"/>
              <w:rPr>
                <w:rFonts w:ascii="Arial" w:hAnsi="Arial" w:cs="Arial"/>
                <w:b/>
                <w:bCs/>
                <w:sz w:val="22"/>
                <w:szCs w:val="22"/>
              </w:rPr>
            </w:pPr>
            <w:r>
              <w:rPr>
                <w:rFonts w:ascii="Arial" w:hAnsi="Arial" w:cs="Arial"/>
                <w:b/>
                <w:bCs/>
                <w:color w:val="000000"/>
                <w:sz w:val="22"/>
                <w:szCs w:val="22"/>
              </w:rPr>
              <w:t>45,471</w:t>
            </w:r>
          </w:p>
        </w:tc>
      </w:tr>
      <w:tr w:rsidR="00B80CEB" w:rsidRPr="00B64150" w14:paraId="514D21A3" w14:textId="77777777" w:rsidTr="00B53577">
        <w:trPr>
          <w:trHeight w:val="58"/>
          <w:jc w:val="center"/>
        </w:trPr>
        <w:tc>
          <w:tcPr>
            <w:tcW w:w="1546" w:type="dxa"/>
            <w:tcBorders>
              <w:top w:val="nil"/>
              <w:left w:val="nil"/>
              <w:bottom w:val="nil"/>
              <w:right w:val="nil"/>
            </w:tcBorders>
            <w:noWrap/>
            <w:vAlign w:val="bottom"/>
          </w:tcPr>
          <w:p w14:paraId="580BB0AA" w14:textId="77777777" w:rsidR="00B80CEB" w:rsidRPr="008A0A4E" w:rsidRDefault="00B80CEB" w:rsidP="00B80CEB">
            <w:pPr>
              <w:ind w:right="-108"/>
              <w:rPr>
                <w:rFonts w:ascii="Arial" w:hAnsi="Arial" w:cs="Arial"/>
                <w:b/>
                <w:bCs/>
                <w:color w:val="000000"/>
                <w:sz w:val="22"/>
                <w:szCs w:val="22"/>
              </w:rPr>
            </w:pPr>
            <w:r w:rsidRPr="008A0A4E">
              <w:rPr>
                <w:rFonts w:ascii="Arial" w:hAnsi="Arial" w:cs="Arial"/>
                <w:b/>
                <w:bCs/>
                <w:color w:val="000000"/>
                <w:sz w:val="22"/>
                <w:szCs w:val="22"/>
              </w:rPr>
              <w:t>Lump sums</w:t>
            </w:r>
          </w:p>
        </w:tc>
        <w:tc>
          <w:tcPr>
            <w:tcW w:w="992" w:type="dxa"/>
            <w:tcBorders>
              <w:top w:val="nil"/>
              <w:left w:val="nil"/>
              <w:bottom w:val="nil"/>
              <w:right w:val="nil"/>
            </w:tcBorders>
            <w:shd w:val="clear" w:color="000000" w:fill="FFFFFF"/>
            <w:noWrap/>
          </w:tcPr>
          <w:p w14:paraId="538551AF" w14:textId="1FD2D788" w:rsidR="00B80CEB" w:rsidRPr="006A78CC" w:rsidRDefault="00B80CEB" w:rsidP="00B80CEB">
            <w:pPr>
              <w:jc w:val="right"/>
              <w:rPr>
                <w:rFonts w:ascii="Arial" w:hAnsi="Arial" w:cs="Arial"/>
                <w:sz w:val="22"/>
                <w:szCs w:val="22"/>
              </w:rPr>
            </w:pPr>
            <w:r w:rsidRPr="006A78CC">
              <w:rPr>
                <w:rFonts w:ascii="Arial" w:hAnsi="Arial" w:cs="Arial"/>
                <w:sz w:val="22"/>
                <w:szCs w:val="22"/>
              </w:rPr>
              <w:t>5,381</w:t>
            </w:r>
          </w:p>
        </w:tc>
        <w:tc>
          <w:tcPr>
            <w:tcW w:w="946" w:type="dxa"/>
            <w:tcBorders>
              <w:top w:val="nil"/>
              <w:left w:val="nil"/>
              <w:bottom w:val="nil"/>
              <w:right w:val="nil"/>
            </w:tcBorders>
            <w:shd w:val="clear" w:color="000000" w:fill="FFFFFF"/>
            <w:noWrap/>
          </w:tcPr>
          <w:p w14:paraId="3C9B7DF1" w14:textId="6DFD9C6F" w:rsidR="00B80CEB" w:rsidRPr="006A78CC" w:rsidRDefault="00B80CEB" w:rsidP="00B80CEB">
            <w:pPr>
              <w:jc w:val="right"/>
              <w:rPr>
                <w:rFonts w:ascii="Arial" w:hAnsi="Arial" w:cs="Arial"/>
                <w:sz w:val="22"/>
                <w:szCs w:val="22"/>
              </w:rPr>
            </w:pPr>
            <w:r w:rsidRPr="006A78CC">
              <w:rPr>
                <w:rFonts w:ascii="Arial" w:hAnsi="Arial" w:cs="Arial"/>
                <w:sz w:val="22"/>
                <w:szCs w:val="22"/>
              </w:rPr>
              <w:t>364</w:t>
            </w:r>
          </w:p>
        </w:tc>
        <w:tc>
          <w:tcPr>
            <w:tcW w:w="1098" w:type="dxa"/>
            <w:tcBorders>
              <w:top w:val="nil"/>
              <w:left w:val="nil"/>
              <w:bottom w:val="nil"/>
              <w:right w:val="nil"/>
            </w:tcBorders>
            <w:shd w:val="clear" w:color="000000" w:fill="FFFFFF"/>
            <w:noWrap/>
          </w:tcPr>
          <w:p w14:paraId="343B5873" w14:textId="55A9F4E5" w:rsidR="00B80CEB" w:rsidRPr="006A78CC" w:rsidRDefault="00B80CEB" w:rsidP="00B80CEB">
            <w:pPr>
              <w:jc w:val="right"/>
              <w:rPr>
                <w:rFonts w:ascii="Arial" w:hAnsi="Arial" w:cs="Arial"/>
                <w:sz w:val="22"/>
                <w:szCs w:val="22"/>
              </w:rPr>
            </w:pPr>
            <w:r w:rsidRPr="006A78CC">
              <w:rPr>
                <w:rFonts w:ascii="Arial" w:hAnsi="Arial" w:cs="Arial"/>
                <w:sz w:val="22"/>
                <w:szCs w:val="22"/>
              </w:rPr>
              <w:t>1,425</w:t>
            </w:r>
          </w:p>
        </w:tc>
        <w:tc>
          <w:tcPr>
            <w:tcW w:w="901" w:type="dxa"/>
            <w:gridSpan w:val="2"/>
            <w:tcBorders>
              <w:top w:val="nil"/>
              <w:left w:val="nil"/>
              <w:right w:val="nil"/>
            </w:tcBorders>
            <w:shd w:val="clear" w:color="000000" w:fill="FFFFFF"/>
            <w:noWrap/>
          </w:tcPr>
          <w:p w14:paraId="63BCFBB5" w14:textId="445AC9BE" w:rsidR="00B80CEB" w:rsidRPr="006A78CC" w:rsidRDefault="00B80CEB" w:rsidP="00B80CEB">
            <w:pPr>
              <w:jc w:val="right"/>
              <w:rPr>
                <w:rFonts w:ascii="Arial" w:hAnsi="Arial" w:cs="Arial"/>
                <w:sz w:val="22"/>
                <w:szCs w:val="22"/>
              </w:rPr>
            </w:pPr>
            <w:r w:rsidRPr="006A78CC">
              <w:rPr>
                <w:rFonts w:ascii="Arial" w:hAnsi="Arial" w:cs="Arial"/>
                <w:sz w:val="22"/>
                <w:szCs w:val="22"/>
              </w:rPr>
              <w:t>7,170</w:t>
            </w:r>
          </w:p>
        </w:tc>
        <w:tc>
          <w:tcPr>
            <w:tcW w:w="243" w:type="dxa"/>
            <w:vMerge/>
            <w:tcBorders>
              <w:left w:val="nil"/>
              <w:right w:val="nil"/>
            </w:tcBorders>
            <w:shd w:val="clear" w:color="000000" w:fill="FFFFFF"/>
          </w:tcPr>
          <w:p w14:paraId="0076E1CE" w14:textId="77777777" w:rsidR="00B80CEB" w:rsidRDefault="00B80CEB" w:rsidP="00B80CEB">
            <w:pPr>
              <w:jc w:val="right"/>
              <w:rPr>
                <w:rFonts w:ascii="Arial" w:hAnsi="Arial" w:cs="Arial"/>
                <w:b/>
                <w:sz w:val="22"/>
                <w:szCs w:val="22"/>
              </w:rPr>
            </w:pPr>
          </w:p>
        </w:tc>
        <w:tc>
          <w:tcPr>
            <w:tcW w:w="1073" w:type="dxa"/>
            <w:tcBorders>
              <w:top w:val="nil"/>
              <w:left w:val="nil"/>
              <w:bottom w:val="nil"/>
              <w:right w:val="nil"/>
            </w:tcBorders>
            <w:shd w:val="clear" w:color="000000" w:fill="FFFFFF"/>
            <w:noWrap/>
            <w:vAlign w:val="center"/>
          </w:tcPr>
          <w:p w14:paraId="641136FA" w14:textId="74542521"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9,334</w:t>
            </w:r>
          </w:p>
        </w:tc>
        <w:tc>
          <w:tcPr>
            <w:tcW w:w="1180" w:type="dxa"/>
            <w:tcBorders>
              <w:top w:val="nil"/>
              <w:left w:val="nil"/>
              <w:bottom w:val="nil"/>
              <w:right w:val="nil"/>
            </w:tcBorders>
            <w:shd w:val="clear" w:color="000000" w:fill="FFFFFF"/>
            <w:noWrap/>
            <w:vAlign w:val="center"/>
          </w:tcPr>
          <w:p w14:paraId="03770810" w14:textId="5B21540E"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460</w:t>
            </w:r>
          </w:p>
        </w:tc>
        <w:tc>
          <w:tcPr>
            <w:tcW w:w="1210" w:type="dxa"/>
            <w:tcBorders>
              <w:top w:val="nil"/>
              <w:left w:val="nil"/>
              <w:bottom w:val="nil"/>
              <w:right w:val="nil"/>
            </w:tcBorders>
            <w:shd w:val="clear" w:color="000000" w:fill="FFFFFF"/>
            <w:noWrap/>
            <w:vAlign w:val="center"/>
          </w:tcPr>
          <w:p w14:paraId="087D0F3B" w14:textId="28A27AAC"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1,353</w:t>
            </w:r>
          </w:p>
        </w:tc>
        <w:tc>
          <w:tcPr>
            <w:tcW w:w="1129" w:type="dxa"/>
            <w:tcBorders>
              <w:top w:val="nil"/>
              <w:left w:val="nil"/>
              <w:bottom w:val="nil"/>
              <w:right w:val="nil"/>
            </w:tcBorders>
            <w:shd w:val="clear" w:color="000000" w:fill="FFFFFF"/>
            <w:noWrap/>
            <w:vAlign w:val="center"/>
          </w:tcPr>
          <w:p w14:paraId="40BDED80" w14:textId="7C48ED4D"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11,147</w:t>
            </w:r>
          </w:p>
        </w:tc>
      </w:tr>
      <w:tr w:rsidR="00B80CEB" w:rsidRPr="00B64150" w14:paraId="0560F08C" w14:textId="77777777" w:rsidTr="00B53577">
        <w:trPr>
          <w:trHeight w:val="58"/>
          <w:jc w:val="center"/>
        </w:trPr>
        <w:tc>
          <w:tcPr>
            <w:tcW w:w="1546" w:type="dxa"/>
            <w:tcBorders>
              <w:top w:val="nil"/>
              <w:left w:val="nil"/>
              <w:bottom w:val="nil"/>
              <w:right w:val="nil"/>
            </w:tcBorders>
            <w:noWrap/>
            <w:vAlign w:val="bottom"/>
          </w:tcPr>
          <w:p w14:paraId="171057C3" w14:textId="77777777" w:rsidR="00B80CEB" w:rsidRPr="008A0A4E" w:rsidRDefault="00B80CEB" w:rsidP="00B80CEB">
            <w:pPr>
              <w:ind w:right="-108"/>
              <w:rPr>
                <w:rFonts w:ascii="Arial" w:hAnsi="Arial" w:cs="Arial"/>
                <w:b/>
                <w:bCs/>
                <w:color w:val="000000"/>
                <w:sz w:val="22"/>
                <w:szCs w:val="22"/>
              </w:rPr>
            </w:pPr>
            <w:r w:rsidRPr="008A0A4E">
              <w:rPr>
                <w:rFonts w:ascii="Arial" w:hAnsi="Arial" w:cs="Arial"/>
                <w:b/>
                <w:bCs/>
                <w:color w:val="000000"/>
                <w:sz w:val="22"/>
                <w:szCs w:val="22"/>
              </w:rPr>
              <w:t>Death grants</w:t>
            </w:r>
          </w:p>
        </w:tc>
        <w:tc>
          <w:tcPr>
            <w:tcW w:w="992" w:type="dxa"/>
            <w:tcBorders>
              <w:top w:val="nil"/>
              <w:left w:val="nil"/>
              <w:bottom w:val="nil"/>
              <w:right w:val="nil"/>
            </w:tcBorders>
            <w:shd w:val="clear" w:color="000000" w:fill="FFFFFF"/>
            <w:noWrap/>
          </w:tcPr>
          <w:p w14:paraId="69039CBE" w14:textId="4123EC53" w:rsidR="00B80CEB" w:rsidRPr="006A78CC" w:rsidRDefault="00B80CEB" w:rsidP="00B80CEB">
            <w:pPr>
              <w:jc w:val="right"/>
              <w:rPr>
                <w:rFonts w:ascii="Arial" w:hAnsi="Arial" w:cs="Arial"/>
                <w:sz w:val="22"/>
                <w:szCs w:val="22"/>
              </w:rPr>
            </w:pPr>
            <w:r w:rsidRPr="006A78CC">
              <w:rPr>
                <w:rFonts w:ascii="Arial" w:hAnsi="Arial" w:cs="Arial"/>
                <w:sz w:val="22"/>
                <w:szCs w:val="22"/>
              </w:rPr>
              <w:t>811</w:t>
            </w:r>
          </w:p>
        </w:tc>
        <w:tc>
          <w:tcPr>
            <w:tcW w:w="946" w:type="dxa"/>
            <w:tcBorders>
              <w:top w:val="nil"/>
              <w:left w:val="nil"/>
              <w:bottom w:val="nil"/>
              <w:right w:val="nil"/>
            </w:tcBorders>
            <w:shd w:val="clear" w:color="000000" w:fill="FFFFFF"/>
            <w:noWrap/>
          </w:tcPr>
          <w:p w14:paraId="4AA11B1C" w14:textId="70F3C69A" w:rsidR="00B80CEB" w:rsidRPr="006A78CC" w:rsidRDefault="00B80CEB" w:rsidP="00B80CEB">
            <w:pPr>
              <w:jc w:val="right"/>
              <w:rPr>
                <w:rFonts w:ascii="Arial" w:hAnsi="Arial" w:cs="Arial"/>
                <w:sz w:val="22"/>
                <w:szCs w:val="22"/>
              </w:rPr>
            </w:pPr>
            <w:r w:rsidRPr="006A78CC">
              <w:rPr>
                <w:rFonts w:ascii="Arial" w:hAnsi="Arial" w:cs="Arial"/>
                <w:sz w:val="22"/>
                <w:szCs w:val="22"/>
              </w:rPr>
              <w:t>14</w:t>
            </w:r>
          </w:p>
        </w:tc>
        <w:tc>
          <w:tcPr>
            <w:tcW w:w="1098" w:type="dxa"/>
            <w:tcBorders>
              <w:top w:val="nil"/>
              <w:left w:val="nil"/>
              <w:bottom w:val="nil"/>
              <w:right w:val="nil"/>
            </w:tcBorders>
            <w:shd w:val="clear" w:color="000000" w:fill="FFFFFF"/>
            <w:noWrap/>
          </w:tcPr>
          <w:p w14:paraId="2199E534" w14:textId="30CC2AD1" w:rsidR="00B80CEB" w:rsidRPr="006A78CC" w:rsidRDefault="00B80CEB" w:rsidP="00B80CEB">
            <w:pPr>
              <w:jc w:val="right"/>
              <w:rPr>
                <w:rFonts w:ascii="Arial" w:hAnsi="Arial" w:cs="Arial"/>
                <w:sz w:val="22"/>
                <w:szCs w:val="22"/>
              </w:rPr>
            </w:pPr>
            <w:r w:rsidRPr="006A78CC">
              <w:rPr>
                <w:rFonts w:ascii="Arial" w:hAnsi="Arial" w:cs="Arial"/>
                <w:sz w:val="22"/>
                <w:szCs w:val="22"/>
              </w:rPr>
              <w:t>69</w:t>
            </w:r>
          </w:p>
        </w:tc>
        <w:tc>
          <w:tcPr>
            <w:tcW w:w="901" w:type="dxa"/>
            <w:gridSpan w:val="2"/>
            <w:tcBorders>
              <w:top w:val="nil"/>
              <w:left w:val="nil"/>
              <w:bottom w:val="single" w:sz="8" w:space="0" w:color="auto"/>
              <w:right w:val="nil"/>
            </w:tcBorders>
            <w:shd w:val="clear" w:color="000000" w:fill="FFFFFF"/>
            <w:noWrap/>
          </w:tcPr>
          <w:p w14:paraId="27FAC22D" w14:textId="6890B943" w:rsidR="00B80CEB" w:rsidRPr="006A78CC" w:rsidRDefault="00B80CEB" w:rsidP="00B80CEB">
            <w:pPr>
              <w:jc w:val="right"/>
              <w:rPr>
                <w:rFonts w:ascii="Arial" w:hAnsi="Arial" w:cs="Arial"/>
                <w:sz w:val="22"/>
                <w:szCs w:val="22"/>
              </w:rPr>
            </w:pPr>
            <w:r w:rsidRPr="006A78CC">
              <w:rPr>
                <w:rFonts w:ascii="Arial" w:hAnsi="Arial" w:cs="Arial"/>
                <w:sz w:val="22"/>
                <w:szCs w:val="22"/>
              </w:rPr>
              <w:t>895</w:t>
            </w:r>
          </w:p>
        </w:tc>
        <w:tc>
          <w:tcPr>
            <w:tcW w:w="243" w:type="dxa"/>
            <w:vMerge/>
            <w:tcBorders>
              <w:left w:val="nil"/>
              <w:right w:val="nil"/>
            </w:tcBorders>
            <w:shd w:val="clear" w:color="000000" w:fill="FFFFFF"/>
          </w:tcPr>
          <w:p w14:paraId="5ACBA831" w14:textId="77777777" w:rsidR="00B80CEB" w:rsidRPr="008A0A4E" w:rsidRDefault="00B80CEB" w:rsidP="00B80CEB">
            <w:pPr>
              <w:jc w:val="right"/>
              <w:rPr>
                <w:rFonts w:ascii="Arial" w:hAnsi="Arial" w:cs="Arial"/>
                <w:b/>
                <w:sz w:val="22"/>
                <w:szCs w:val="22"/>
              </w:rPr>
            </w:pPr>
          </w:p>
        </w:tc>
        <w:tc>
          <w:tcPr>
            <w:tcW w:w="1073" w:type="dxa"/>
            <w:tcBorders>
              <w:top w:val="nil"/>
              <w:left w:val="nil"/>
              <w:bottom w:val="nil"/>
              <w:right w:val="nil"/>
            </w:tcBorders>
            <w:shd w:val="clear" w:color="000000" w:fill="FFFFFF"/>
            <w:noWrap/>
            <w:vAlign w:val="center"/>
          </w:tcPr>
          <w:p w14:paraId="59F7FA5C" w14:textId="619BDFFB"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732</w:t>
            </w:r>
          </w:p>
        </w:tc>
        <w:tc>
          <w:tcPr>
            <w:tcW w:w="1180" w:type="dxa"/>
            <w:tcBorders>
              <w:top w:val="nil"/>
              <w:left w:val="nil"/>
              <w:bottom w:val="nil"/>
              <w:right w:val="nil"/>
            </w:tcBorders>
            <w:shd w:val="clear" w:color="000000" w:fill="FFFFFF"/>
            <w:noWrap/>
            <w:vAlign w:val="center"/>
          </w:tcPr>
          <w:p w14:paraId="194C763D" w14:textId="6B238E2C" w:rsidR="00B80CEB" w:rsidRPr="007C32F2" w:rsidRDefault="00B80CEB" w:rsidP="00B80CEB">
            <w:pPr>
              <w:jc w:val="right"/>
              <w:rPr>
                <w:rFonts w:ascii="Arial" w:hAnsi="Arial" w:cs="Arial"/>
                <w:b/>
                <w:bCs/>
                <w:sz w:val="22"/>
                <w:szCs w:val="22"/>
              </w:rPr>
            </w:pPr>
            <w:r>
              <w:rPr>
                <w:rFonts w:ascii="Arial" w:hAnsi="Arial" w:cs="Arial"/>
                <w:b/>
                <w:bCs/>
                <w:sz w:val="22"/>
                <w:szCs w:val="22"/>
              </w:rPr>
              <w:t>-</w:t>
            </w:r>
          </w:p>
        </w:tc>
        <w:tc>
          <w:tcPr>
            <w:tcW w:w="1210" w:type="dxa"/>
            <w:tcBorders>
              <w:top w:val="nil"/>
              <w:left w:val="nil"/>
              <w:bottom w:val="nil"/>
              <w:right w:val="nil"/>
            </w:tcBorders>
            <w:shd w:val="clear" w:color="000000" w:fill="FFFFFF"/>
            <w:noWrap/>
            <w:vAlign w:val="center"/>
          </w:tcPr>
          <w:p w14:paraId="2560BB55" w14:textId="13CCB5F0"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256</w:t>
            </w:r>
          </w:p>
        </w:tc>
        <w:tc>
          <w:tcPr>
            <w:tcW w:w="1129" w:type="dxa"/>
            <w:tcBorders>
              <w:top w:val="nil"/>
              <w:left w:val="nil"/>
              <w:bottom w:val="nil"/>
              <w:right w:val="nil"/>
            </w:tcBorders>
            <w:shd w:val="clear" w:color="000000" w:fill="FFFFFF"/>
            <w:noWrap/>
            <w:vAlign w:val="center"/>
          </w:tcPr>
          <w:p w14:paraId="0AFF7610" w14:textId="2F6C7CC0"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988</w:t>
            </w:r>
          </w:p>
        </w:tc>
      </w:tr>
      <w:tr w:rsidR="00B80CEB" w:rsidRPr="00B64150" w14:paraId="5916588F" w14:textId="77777777" w:rsidTr="00B53577">
        <w:trPr>
          <w:trHeight w:val="62"/>
          <w:jc w:val="center"/>
        </w:trPr>
        <w:tc>
          <w:tcPr>
            <w:tcW w:w="1546" w:type="dxa"/>
            <w:tcBorders>
              <w:top w:val="nil"/>
              <w:left w:val="nil"/>
              <w:bottom w:val="nil"/>
              <w:right w:val="nil"/>
            </w:tcBorders>
            <w:noWrap/>
            <w:vAlign w:val="bottom"/>
          </w:tcPr>
          <w:p w14:paraId="72F8EF31" w14:textId="77777777" w:rsidR="00B80CEB" w:rsidRPr="008A0A4E" w:rsidRDefault="00B80CEB" w:rsidP="00B80CEB">
            <w:pPr>
              <w:rPr>
                <w:rFonts w:ascii="Arial" w:hAnsi="Arial" w:cs="Arial"/>
                <w:b/>
                <w:bCs/>
                <w:color w:val="000000"/>
                <w:sz w:val="22"/>
                <w:szCs w:val="22"/>
              </w:rPr>
            </w:pPr>
          </w:p>
        </w:tc>
        <w:tc>
          <w:tcPr>
            <w:tcW w:w="992" w:type="dxa"/>
            <w:tcBorders>
              <w:top w:val="single" w:sz="8" w:space="0" w:color="auto"/>
              <w:left w:val="nil"/>
              <w:bottom w:val="single" w:sz="8" w:space="0" w:color="auto"/>
              <w:right w:val="nil"/>
            </w:tcBorders>
            <w:shd w:val="clear" w:color="000000" w:fill="FFFFFF"/>
            <w:noWrap/>
          </w:tcPr>
          <w:p w14:paraId="52FD1DD1" w14:textId="55E2384C" w:rsidR="00B80CEB" w:rsidRPr="006A78CC" w:rsidRDefault="00B80CEB" w:rsidP="00B80CEB">
            <w:pPr>
              <w:jc w:val="right"/>
              <w:rPr>
                <w:rFonts w:ascii="Arial" w:hAnsi="Arial" w:cs="Arial"/>
                <w:color w:val="000000"/>
                <w:sz w:val="22"/>
                <w:szCs w:val="22"/>
              </w:rPr>
            </w:pPr>
            <w:r w:rsidRPr="006A78CC">
              <w:rPr>
                <w:rFonts w:ascii="Arial" w:hAnsi="Arial" w:cs="Arial"/>
                <w:sz w:val="22"/>
                <w:szCs w:val="22"/>
              </w:rPr>
              <w:t>39,833</w:t>
            </w:r>
          </w:p>
        </w:tc>
        <w:tc>
          <w:tcPr>
            <w:tcW w:w="946" w:type="dxa"/>
            <w:tcBorders>
              <w:top w:val="single" w:sz="8" w:space="0" w:color="auto"/>
              <w:left w:val="nil"/>
              <w:bottom w:val="single" w:sz="8" w:space="0" w:color="auto"/>
              <w:right w:val="nil"/>
            </w:tcBorders>
            <w:shd w:val="clear" w:color="000000" w:fill="FFFFFF"/>
            <w:noWrap/>
          </w:tcPr>
          <w:p w14:paraId="536DADDF" w14:textId="49236997" w:rsidR="00B80CEB" w:rsidRPr="006A78CC" w:rsidRDefault="00B80CEB" w:rsidP="00B80CEB">
            <w:pPr>
              <w:jc w:val="right"/>
              <w:rPr>
                <w:rFonts w:ascii="Arial" w:hAnsi="Arial" w:cs="Arial"/>
                <w:color w:val="000000"/>
                <w:sz w:val="22"/>
                <w:szCs w:val="22"/>
              </w:rPr>
            </w:pPr>
            <w:r w:rsidRPr="006A78CC">
              <w:rPr>
                <w:rFonts w:ascii="Arial" w:hAnsi="Arial" w:cs="Arial"/>
                <w:sz w:val="22"/>
                <w:szCs w:val="22"/>
              </w:rPr>
              <w:t>749</w:t>
            </w:r>
          </w:p>
        </w:tc>
        <w:tc>
          <w:tcPr>
            <w:tcW w:w="1098" w:type="dxa"/>
            <w:tcBorders>
              <w:top w:val="single" w:sz="8" w:space="0" w:color="auto"/>
              <w:left w:val="nil"/>
              <w:bottom w:val="single" w:sz="8" w:space="0" w:color="auto"/>
              <w:right w:val="nil"/>
            </w:tcBorders>
            <w:shd w:val="clear" w:color="000000" w:fill="FFFFFF"/>
            <w:noWrap/>
          </w:tcPr>
          <w:p w14:paraId="31B420C6" w14:textId="259E48A3" w:rsidR="00B80CEB" w:rsidRPr="006A78CC" w:rsidRDefault="00B80CEB" w:rsidP="00B80CEB">
            <w:pPr>
              <w:jc w:val="right"/>
              <w:rPr>
                <w:rFonts w:ascii="Arial" w:hAnsi="Arial" w:cs="Arial"/>
                <w:color w:val="000000"/>
                <w:sz w:val="22"/>
                <w:szCs w:val="22"/>
              </w:rPr>
            </w:pPr>
            <w:r w:rsidRPr="006A78CC">
              <w:rPr>
                <w:rFonts w:ascii="Arial" w:hAnsi="Arial" w:cs="Arial"/>
                <w:sz w:val="22"/>
                <w:szCs w:val="22"/>
              </w:rPr>
              <w:t>9,180</w:t>
            </w:r>
          </w:p>
        </w:tc>
        <w:tc>
          <w:tcPr>
            <w:tcW w:w="901" w:type="dxa"/>
            <w:gridSpan w:val="2"/>
            <w:tcBorders>
              <w:top w:val="single" w:sz="8" w:space="0" w:color="auto"/>
              <w:left w:val="nil"/>
              <w:bottom w:val="single" w:sz="8" w:space="0" w:color="auto"/>
              <w:right w:val="nil"/>
            </w:tcBorders>
            <w:shd w:val="clear" w:color="000000" w:fill="FFFFFF"/>
            <w:noWrap/>
          </w:tcPr>
          <w:p w14:paraId="665A20D2" w14:textId="198A20AE" w:rsidR="00B80CEB" w:rsidRPr="006A78CC" w:rsidRDefault="00B80CEB" w:rsidP="00B80CEB">
            <w:pPr>
              <w:jc w:val="right"/>
              <w:rPr>
                <w:rFonts w:ascii="Arial" w:hAnsi="Arial" w:cs="Arial"/>
                <w:color w:val="000000"/>
                <w:sz w:val="22"/>
                <w:szCs w:val="22"/>
              </w:rPr>
            </w:pPr>
            <w:r w:rsidRPr="006A78CC">
              <w:rPr>
                <w:rFonts w:ascii="Arial" w:hAnsi="Arial" w:cs="Arial"/>
                <w:sz w:val="22"/>
                <w:szCs w:val="22"/>
              </w:rPr>
              <w:t>49,762</w:t>
            </w:r>
          </w:p>
        </w:tc>
        <w:tc>
          <w:tcPr>
            <w:tcW w:w="243" w:type="dxa"/>
            <w:vMerge/>
            <w:tcBorders>
              <w:left w:val="nil"/>
              <w:right w:val="nil"/>
            </w:tcBorders>
            <w:shd w:val="clear" w:color="000000" w:fill="FFFFFF"/>
          </w:tcPr>
          <w:p w14:paraId="206AA88C" w14:textId="77777777" w:rsidR="00B80CEB" w:rsidRPr="008A0A4E" w:rsidRDefault="00B80CEB" w:rsidP="00B80CEB">
            <w:pPr>
              <w:jc w:val="right"/>
              <w:rPr>
                <w:rFonts w:ascii="Arial" w:hAnsi="Arial" w:cs="Arial"/>
                <w:b/>
                <w:sz w:val="22"/>
                <w:szCs w:val="22"/>
              </w:rPr>
            </w:pPr>
          </w:p>
        </w:tc>
        <w:tc>
          <w:tcPr>
            <w:tcW w:w="1073" w:type="dxa"/>
            <w:tcBorders>
              <w:top w:val="single" w:sz="8" w:space="0" w:color="auto"/>
              <w:left w:val="nil"/>
              <w:bottom w:val="single" w:sz="8" w:space="0" w:color="auto"/>
              <w:right w:val="nil"/>
            </w:tcBorders>
            <w:shd w:val="clear" w:color="000000" w:fill="FFFFFF"/>
            <w:noWrap/>
            <w:vAlign w:val="center"/>
          </w:tcPr>
          <w:p w14:paraId="2AAA10C6" w14:textId="6E267D01"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47,127</w:t>
            </w:r>
          </w:p>
        </w:tc>
        <w:tc>
          <w:tcPr>
            <w:tcW w:w="1180" w:type="dxa"/>
            <w:tcBorders>
              <w:top w:val="single" w:sz="8" w:space="0" w:color="auto"/>
              <w:left w:val="nil"/>
              <w:bottom w:val="single" w:sz="8" w:space="0" w:color="auto"/>
              <w:right w:val="nil"/>
            </w:tcBorders>
            <w:shd w:val="clear" w:color="000000" w:fill="FFFFFF"/>
            <w:noWrap/>
            <w:vAlign w:val="center"/>
          </w:tcPr>
          <w:p w14:paraId="595258C4" w14:textId="55968526"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1,333</w:t>
            </w:r>
          </w:p>
        </w:tc>
        <w:tc>
          <w:tcPr>
            <w:tcW w:w="1210" w:type="dxa"/>
            <w:tcBorders>
              <w:top w:val="single" w:sz="8" w:space="0" w:color="auto"/>
              <w:left w:val="nil"/>
              <w:bottom w:val="single" w:sz="8" w:space="0" w:color="auto"/>
              <w:right w:val="nil"/>
            </w:tcBorders>
            <w:shd w:val="clear" w:color="000000" w:fill="FFFFFF"/>
            <w:noWrap/>
            <w:vAlign w:val="center"/>
          </w:tcPr>
          <w:p w14:paraId="47243311" w14:textId="0A7EF154"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9,146</w:t>
            </w:r>
          </w:p>
        </w:tc>
        <w:tc>
          <w:tcPr>
            <w:tcW w:w="1129" w:type="dxa"/>
            <w:tcBorders>
              <w:top w:val="single" w:sz="8" w:space="0" w:color="auto"/>
              <w:left w:val="nil"/>
              <w:bottom w:val="single" w:sz="8" w:space="0" w:color="auto"/>
              <w:right w:val="nil"/>
            </w:tcBorders>
            <w:shd w:val="clear" w:color="000000" w:fill="FFFFFF"/>
            <w:noWrap/>
            <w:vAlign w:val="center"/>
          </w:tcPr>
          <w:p w14:paraId="52C7E12D" w14:textId="42FCD3EB" w:rsidR="00B80CEB" w:rsidRPr="007C32F2" w:rsidRDefault="00B80CEB" w:rsidP="00B80CEB">
            <w:pPr>
              <w:jc w:val="right"/>
              <w:rPr>
                <w:rFonts w:ascii="Arial" w:hAnsi="Arial" w:cs="Arial"/>
                <w:b/>
                <w:bCs/>
                <w:sz w:val="22"/>
                <w:szCs w:val="22"/>
              </w:rPr>
            </w:pPr>
            <w:r>
              <w:rPr>
                <w:rFonts w:ascii="Arial" w:hAnsi="Arial" w:cs="Arial"/>
                <w:b/>
                <w:bCs/>
                <w:color w:val="000000"/>
                <w:sz w:val="22"/>
                <w:szCs w:val="22"/>
              </w:rPr>
              <w:t>57,606</w:t>
            </w:r>
          </w:p>
        </w:tc>
      </w:tr>
    </w:tbl>
    <w:p w14:paraId="49503E4A" w14:textId="77777777" w:rsidR="003C45DA" w:rsidRPr="008A0A4E" w:rsidRDefault="003C45DA" w:rsidP="003C45DA">
      <w:pPr>
        <w:pStyle w:val="ListParagraph"/>
        <w:tabs>
          <w:tab w:val="left" w:pos="709"/>
          <w:tab w:val="left" w:pos="1134"/>
        </w:tabs>
        <w:spacing w:after="0" w:line="240" w:lineRule="auto"/>
        <w:ind w:left="360"/>
        <w:jc w:val="both"/>
        <w:rPr>
          <w:rFonts w:ascii="Arial" w:hAnsi="Arial" w:cs="Arial"/>
        </w:rPr>
      </w:pPr>
    </w:p>
    <w:p w14:paraId="26727CA5" w14:textId="46C6994A" w:rsidR="003C45DA" w:rsidRPr="008A0A4E" w:rsidRDefault="003C45DA" w:rsidP="00C671BF">
      <w:pPr>
        <w:pStyle w:val="ListParagraph"/>
        <w:numPr>
          <w:ilvl w:val="0"/>
          <w:numId w:val="24"/>
        </w:numPr>
        <w:tabs>
          <w:tab w:val="left" w:pos="709"/>
          <w:tab w:val="left" w:pos="1134"/>
        </w:tabs>
        <w:spacing w:after="0"/>
        <w:jc w:val="both"/>
        <w:rPr>
          <w:rFonts w:ascii="Arial" w:hAnsi="Arial" w:cs="Arial"/>
        </w:rPr>
      </w:pPr>
      <w:r w:rsidRPr="008A0A4E">
        <w:rPr>
          <w:rFonts w:ascii="Arial" w:hAnsi="Arial" w:cs="Arial"/>
          <w:b/>
          <w:bCs/>
          <w:color w:val="000000"/>
        </w:rPr>
        <w:t>Payments to and on account of leavers</w:t>
      </w:r>
    </w:p>
    <w:tbl>
      <w:tblPr>
        <w:tblW w:w="10266" w:type="dxa"/>
        <w:jc w:val="center"/>
        <w:tblLayout w:type="fixed"/>
        <w:tblLook w:val="00A0" w:firstRow="1" w:lastRow="0" w:firstColumn="1" w:lastColumn="0" w:noHBand="0" w:noVBand="0"/>
      </w:tblPr>
      <w:tblGrid>
        <w:gridCol w:w="6709"/>
        <w:gridCol w:w="6"/>
        <w:gridCol w:w="1635"/>
        <w:gridCol w:w="601"/>
        <w:gridCol w:w="1315"/>
      </w:tblGrid>
      <w:tr w:rsidR="002F7EBE" w:rsidRPr="00B64150" w14:paraId="06D05FE3" w14:textId="77777777" w:rsidTr="00D22773">
        <w:trPr>
          <w:trHeight w:val="88"/>
          <w:jc w:val="center"/>
        </w:trPr>
        <w:tc>
          <w:tcPr>
            <w:tcW w:w="6715" w:type="dxa"/>
            <w:gridSpan w:val="2"/>
            <w:tcBorders>
              <w:top w:val="nil"/>
              <w:left w:val="nil"/>
              <w:bottom w:val="nil"/>
              <w:right w:val="nil"/>
            </w:tcBorders>
            <w:shd w:val="clear" w:color="000000" w:fill="FFFFFF"/>
            <w:noWrap/>
            <w:vAlign w:val="bottom"/>
          </w:tcPr>
          <w:p w14:paraId="11247EAA" w14:textId="77777777" w:rsidR="002F7EBE" w:rsidRPr="008A0A4E" w:rsidRDefault="002F7EBE" w:rsidP="002F7EBE">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center"/>
          </w:tcPr>
          <w:p w14:paraId="401C067E" w14:textId="251518F5" w:rsidR="002F7EBE" w:rsidRPr="002D1995" w:rsidRDefault="002F7EBE" w:rsidP="00692913">
            <w:pPr>
              <w:jc w:val="center"/>
              <w:rPr>
                <w:rFonts w:ascii="Arial" w:hAnsi="Arial" w:cs="Arial"/>
                <w:b/>
                <w:bCs/>
                <w:color w:val="000000"/>
                <w:sz w:val="22"/>
                <w:szCs w:val="22"/>
              </w:rPr>
            </w:pPr>
            <w:r w:rsidRPr="002D1995">
              <w:rPr>
                <w:rFonts w:ascii="Arial" w:hAnsi="Arial" w:cs="Arial"/>
                <w:b/>
                <w:bCs/>
                <w:color w:val="000000"/>
                <w:sz w:val="22"/>
                <w:szCs w:val="22"/>
              </w:rPr>
              <w:t>202</w:t>
            </w:r>
            <w:r w:rsidR="00B80CEB" w:rsidRPr="002D1995">
              <w:rPr>
                <w:rFonts w:ascii="Arial" w:hAnsi="Arial" w:cs="Arial"/>
                <w:b/>
                <w:bCs/>
                <w:color w:val="000000"/>
                <w:sz w:val="22"/>
                <w:szCs w:val="22"/>
              </w:rPr>
              <w:t>3</w:t>
            </w:r>
            <w:r w:rsidR="00421DB6" w:rsidRPr="002D1995">
              <w:rPr>
                <w:rFonts w:ascii="Arial" w:hAnsi="Arial" w:cs="Arial"/>
                <w:b/>
                <w:bCs/>
                <w:color w:val="000000"/>
                <w:sz w:val="22"/>
                <w:szCs w:val="22"/>
              </w:rPr>
              <w:t>/2</w:t>
            </w:r>
            <w:r w:rsidR="00B80CEB" w:rsidRPr="002D1995">
              <w:rPr>
                <w:rFonts w:ascii="Arial" w:hAnsi="Arial" w:cs="Arial"/>
                <w:b/>
                <w:bCs/>
                <w:color w:val="000000"/>
                <w:sz w:val="22"/>
                <w:szCs w:val="22"/>
              </w:rPr>
              <w:t>4</w:t>
            </w:r>
          </w:p>
        </w:tc>
        <w:tc>
          <w:tcPr>
            <w:tcW w:w="601" w:type="dxa"/>
            <w:tcBorders>
              <w:top w:val="nil"/>
              <w:left w:val="nil"/>
              <w:bottom w:val="nil"/>
              <w:right w:val="nil"/>
            </w:tcBorders>
            <w:shd w:val="clear" w:color="000000" w:fill="FFFFFF"/>
            <w:noWrap/>
            <w:vAlign w:val="center"/>
          </w:tcPr>
          <w:p w14:paraId="0E31D53C" w14:textId="0A4BA281" w:rsidR="002F7EBE" w:rsidRPr="008A0A4E" w:rsidRDefault="002F7EBE" w:rsidP="00692913">
            <w:pPr>
              <w:jc w:val="center"/>
              <w:rPr>
                <w:rFonts w:ascii="Arial" w:hAnsi="Arial" w:cs="Arial"/>
                <w:color w:val="000000"/>
                <w:sz w:val="22"/>
                <w:szCs w:val="22"/>
              </w:rPr>
            </w:pPr>
          </w:p>
        </w:tc>
        <w:tc>
          <w:tcPr>
            <w:tcW w:w="1315" w:type="dxa"/>
            <w:tcBorders>
              <w:top w:val="nil"/>
              <w:left w:val="nil"/>
              <w:bottom w:val="nil"/>
              <w:right w:val="nil"/>
            </w:tcBorders>
            <w:shd w:val="clear" w:color="000000" w:fill="FFFFFF"/>
            <w:vAlign w:val="center"/>
          </w:tcPr>
          <w:p w14:paraId="28CE20E3" w14:textId="0F7134AB" w:rsidR="002F7EBE" w:rsidRPr="008A0A4E" w:rsidRDefault="002F7EBE" w:rsidP="00692913">
            <w:pPr>
              <w:jc w:val="center"/>
              <w:rPr>
                <w:rFonts w:ascii="Arial" w:hAnsi="Arial" w:cs="Arial"/>
                <w:b/>
                <w:bCs/>
                <w:color w:val="000000"/>
                <w:sz w:val="22"/>
                <w:szCs w:val="22"/>
              </w:rPr>
            </w:pPr>
            <w:r>
              <w:rPr>
                <w:rFonts w:ascii="Arial" w:hAnsi="Arial" w:cs="Arial"/>
                <w:b/>
                <w:bCs/>
                <w:color w:val="000000"/>
                <w:sz w:val="22"/>
                <w:szCs w:val="22"/>
              </w:rPr>
              <w:t>202</w:t>
            </w:r>
            <w:r w:rsidR="00B80CEB">
              <w:rPr>
                <w:rFonts w:ascii="Arial" w:hAnsi="Arial" w:cs="Arial"/>
                <w:b/>
                <w:bCs/>
                <w:color w:val="000000"/>
                <w:sz w:val="22"/>
                <w:szCs w:val="22"/>
              </w:rPr>
              <w:t>4</w:t>
            </w:r>
            <w:r w:rsidR="00421DB6">
              <w:rPr>
                <w:rFonts w:ascii="Arial" w:hAnsi="Arial" w:cs="Arial"/>
                <w:b/>
                <w:bCs/>
                <w:color w:val="000000"/>
                <w:sz w:val="22"/>
                <w:szCs w:val="22"/>
              </w:rPr>
              <w:t>/2</w:t>
            </w:r>
            <w:r w:rsidR="00B80CEB">
              <w:rPr>
                <w:rFonts w:ascii="Arial" w:hAnsi="Arial" w:cs="Arial"/>
                <w:b/>
                <w:bCs/>
                <w:color w:val="000000"/>
                <w:sz w:val="22"/>
                <w:szCs w:val="22"/>
              </w:rPr>
              <w:t>5</w:t>
            </w:r>
          </w:p>
        </w:tc>
      </w:tr>
      <w:tr w:rsidR="003C45DA" w:rsidRPr="00B64150" w14:paraId="216D675F"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02FB3C85" w14:textId="77777777" w:rsidR="003C45DA" w:rsidRPr="008A0A4E" w:rsidRDefault="003C45DA" w:rsidP="00C671BF">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bottom"/>
          </w:tcPr>
          <w:p w14:paraId="7B4D5E81" w14:textId="77777777" w:rsidR="003C45DA" w:rsidRPr="002D1995" w:rsidRDefault="003C45DA" w:rsidP="00692913">
            <w:pPr>
              <w:tabs>
                <w:tab w:val="left" w:pos="709"/>
              </w:tabs>
              <w:ind w:left="426" w:hanging="426"/>
              <w:jc w:val="center"/>
              <w:rPr>
                <w:rFonts w:ascii="Arial" w:hAnsi="Arial" w:cs="Arial"/>
                <w:b/>
                <w:bCs/>
                <w:color w:val="000000"/>
                <w:sz w:val="22"/>
                <w:szCs w:val="22"/>
              </w:rPr>
            </w:pPr>
            <w:r w:rsidRPr="002D1995">
              <w:rPr>
                <w:rFonts w:ascii="Arial" w:hAnsi="Arial" w:cs="Arial"/>
                <w:b/>
                <w:bCs/>
                <w:color w:val="000000"/>
                <w:sz w:val="22"/>
                <w:szCs w:val="22"/>
              </w:rPr>
              <w:t>£000</w:t>
            </w:r>
          </w:p>
        </w:tc>
        <w:tc>
          <w:tcPr>
            <w:tcW w:w="601" w:type="dxa"/>
            <w:tcBorders>
              <w:top w:val="nil"/>
              <w:left w:val="nil"/>
              <w:bottom w:val="nil"/>
              <w:right w:val="nil"/>
            </w:tcBorders>
            <w:shd w:val="clear" w:color="000000" w:fill="FFFFFF"/>
            <w:noWrap/>
            <w:vAlign w:val="bottom"/>
          </w:tcPr>
          <w:p w14:paraId="622F70CD" w14:textId="12A5D874" w:rsidR="003C45DA" w:rsidRPr="008A0A4E" w:rsidRDefault="003C45DA" w:rsidP="00692913">
            <w:pPr>
              <w:tabs>
                <w:tab w:val="left" w:pos="709"/>
              </w:tabs>
              <w:ind w:left="426" w:hanging="426"/>
              <w:jc w:val="center"/>
              <w:rPr>
                <w:rFonts w:ascii="Arial" w:hAnsi="Arial" w:cs="Arial"/>
                <w:color w:val="000000"/>
                <w:sz w:val="22"/>
                <w:szCs w:val="22"/>
              </w:rPr>
            </w:pPr>
          </w:p>
        </w:tc>
        <w:tc>
          <w:tcPr>
            <w:tcW w:w="1315" w:type="dxa"/>
            <w:tcBorders>
              <w:top w:val="nil"/>
              <w:left w:val="nil"/>
              <w:bottom w:val="nil"/>
              <w:right w:val="nil"/>
            </w:tcBorders>
            <w:shd w:val="clear" w:color="000000" w:fill="FFFFFF"/>
            <w:noWrap/>
            <w:vAlign w:val="bottom"/>
          </w:tcPr>
          <w:p w14:paraId="510755A4" w14:textId="77777777" w:rsidR="003C45DA" w:rsidRPr="008A0A4E" w:rsidRDefault="003C45DA" w:rsidP="00692913">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B80CEB" w:rsidRPr="00B64150" w14:paraId="166FFDB1" w14:textId="77777777" w:rsidTr="002029E5">
        <w:trPr>
          <w:trHeight w:val="72"/>
          <w:jc w:val="center"/>
        </w:trPr>
        <w:tc>
          <w:tcPr>
            <w:tcW w:w="6715" w:type="dxa"/>
            <w:gridSpan w:val="2"/>
            <w:tcBorders>
              <w:top w:val="nil"/>
              <w:left w:val="nil"/>
              <w:bottom w:val="nil"/>
              <w:right w:val="nil"/>
            </w:tcBorders>
            <w:shd w:val="clear" w:color="000000" w:fill="FFFFFF"/>
            <w:noWrap/>
            <w:vAlign w:val="bottom"/>
          </w:tcPr>
          <w:p w14:paraId="7D236579" w14:textId="77777777" w:rsidR="00B80CEB" w:rsidRPr="008A0A4E" w:rsidRDefault="00B80CEB" w:rsidP="00B80CEB">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Individual Transfers</w:t>
            </w:r>
          </w:p>
        </w:tc>
        <w:tc>
          <w:tcPr>
            <w:tcW w:w="1635" w:type="dxa"/>
            <w:tcBorders>
              <w:top w:val="nil"/>
              <w:left w:val="nil"/>
              <w:bottom w:val="nil"/>
              <w:right w:val="nil"/>
            </w:tcBorders>
            <w:shd w:val="clear" w:color="000000" w:fill="FFFFFF"/>
            <w:vAlign w:val="center"/>
          </w:tcPr>
          <w:p w14:paraId="51F8DB7A" w14:textId="15431DD5" w:rsidR="00B80CEB" w:rsidRPr="00B80CEB" w:rsidRDefault="00B80CEB" w:rsidP="00B80CEB">
            <w:pPr>
              <w:jc w:val="right"/>
              <w:rPr>
                <w:rFonts w:ascii="Arial" w:hAnsi="Arial" w:cs="Arial"/>
                <w:color w:val="000000"/>
                <w:sz w:val="22"/>
                <w:szCs w:val="22"/>
              </w:rPr>
            </w:pPr>
            <w:r w:rsidRPr="00B80CEB">
              <w:rPr>
                <w:rFonts w:ascii="Arial" w:hAnsi="Arial" w:cs="Arial"/>
                <w:color w:val="000000"/>
                <w:sz w:val="22"/>
                <w:szCs w:val="22"/>
              </w:rPr>
              <w:t>5,739</w:t>
            </w:r>
          </w:p>
        </w:tc>
        <w:tc>
          <w:tcPr>
            <w:tcW w:w="601" w:type="dxa"/>
            <w:tcBorders>
              <w:top w:val="nil"/>
              <w:left w:val="nil"/>
              <w:bottom w:val="nil"/>
              <w:right w:val="nil"/>
            </w:tcBorders>
            <w:shd w:val="clear" w:color="000000" w:fill="FFFFFF"/>
            <w:noWrap/>
          </w:tcPr>
          <w:p w14:paraId="5308AF5C" w14:textId="32A3BBA6" w:rsidR="00B80CEB" w:rsidRPr="00F36C50" w:rsidRDefault="00B80CEB" w:rsidP="00B80CEB">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shd w:val="clear" w:color="000000" w:fill="FFFFFF"/>
            <w:noWrap/>
            <w:vAlign w:val="center"/>
          </w:tcPr>
          <w:p w14:paraId="0F3C46AC" w14:textId="19AD1002" w:rsidR="00B80CEB" w:rsidRPr="00BB770A" w:rsidRDefault="005A193B" w:rsidP="00B80CEB">
            <w:pPr>
              <w:jc w:val="right"/>
              <w:rPr>
                <w:rFonts w:ascii="Arial" w:hAnsi="Arial" w:cs="Arial"/>
                <w:b/>
                <w:bCs/>
                <w:color w:val="000000"/>
                <w:sz w:val="22"/>
                <w:szCs w:val="22"/>
              </w:rPr>
            </w:pPr>
            <w:r>
              <w:rPr>
                <w:rFonts w:ascii="Arial" w:hAnsi="Arial" w:cs="Arial"/>
                <w:b/>
                <w:bCs/>
                <w:color w:val="000000"/>
                <w:sz w:val="22"/>
                <w:szCs w:val="22"/>
              </w:rPr>
              <w:t>7,936</w:t>
            </w:r>
          </w:p>
        </w:tc>
      </w:tr>
      <w:tr w:rsidR="00B80CEB" w:rsidRPr="00B64150" w14:paraId="745A269D" w14:textId="77777777" w:rsidTr="00B53577">
        <w:trPr>
          <w:trHeight w:val="135"/>
          <w:jc w:val="center"/>
        </w:trPr>
        <w:tc>
          <w:tcPr>
            <w:tcW w:w="6715" w:type="dxa"/>
            <w:gridSpan w:val="2"/>
            <w:tcBorders>
              <w:top w:val="nil"/>
              <w:left w:val="nil"/>
              <w:bottom w:val="nil"/>
              <w:right w:val="nil"/>
            </w:tcBorders>
            <w:shd w:val="clear" w:color="000000" w:fill="FFFFFF"/>
            <w:noWrap/>
            <w:vAlign w:val="bottom"/>
          </w:tcPr>
          <w:p w14:paraId="61643488" w14:textId="77777777" w:rsidR="00B80CEB" w:rsidRPr="008A0A4E" w:rsidRDefault="00B80CEB" w:rsidP="00B80CEB">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Refunds</w:t>
            </w:r>
          </w:p>
        </w:tc>
        <w:tc>
          <w:tcPr>
            <w:tcW w:w="1635" w:type="dxa"/>
            <w:tcBorders>
              <w:top w:val="nil"/>
              <w:left w:val="nil"/>
              <w:bottom w:val="single" w:sz="8" w:space="0" w:color="auto"/>
              <w:right w:val="nil"/>
            </w:tcBorders>
            <w:shd w:val="clear" w:color="000000" w:fill="FFFFFF"/>
            <w:vAlign w:val="center"/>
          </w:tcPr>
          <w:p w14:paraId="5C403F50" w14:textId="7D7E50DF" w:rsidR="00B80CEB" w:rsidRPr="00B80CEB" w:rsidRDefault="00B80CEB" w:rsidP="00B80CEB">
            <w:pPr>
              <w:jc w:val="right"/>
              <w:rPr>
                <w:rFonts w:ascii="Arial" w:hAnsi="Arial" w:cs="Arial"/>
                <w:color w:val="000000"/>
                <w:sz w:val="22"/>
                <w:szCs w:val="22"/>
              </w:rPr>
            </w:pPr>
            <w:r w:rsidRPr="00B80CEB">
              <w:rPr>
                <w:rFonts w:ascii="Arial" w:hAnsi="Arial" w:cs="Arial"/>
                <w:color w:val="000000"/>
                <w:sz w:val="22"/>
                <w:szCs w:val="22"/>
              </w:rPr>
              <w:t>259</w:t>
            </w:r>
          </w:p>
        </w:tc>
        <w:tc>
          <w:tcPr>
            <w:tcW w:w="601" w:type="dxa"/>
            <w:tcBorders>
              <w:top w:val="nil"/>
              <w:left w:val="nil"/>
              <w:bottom w:val="nil"/>
              <w:right w:val="nil"/>
            </w:tcBorders>
            <w:shd w:val="clear" w:color="000000" w:fill="FFFFFF"/>
            <w:noWrap/>
          </w:tcPr>
          <w:p w14:paraId="27C9CE35" w14:textId="77777777" w:rsidR="00B80CEB" w:rsidRPr="00F36C50" w:rsidRDefault="00B80CEB" w:rsidP="00B80CEB">
            <w:pPr>
              <w:tabs>
                <w:tab w:val="left" w:pos="709"/>
              </w:tabs>
              <w:ind w:left="426" w:hanging="426"/>
              <w:jc w:val="right"/>
              <w:rPr>
                <w:rFonts w:ascii="Arial" w:hAnsi="Arial" w:cs="Arial"/>
                <w:color w:val="000000"/>
                <w:sz w:val="22"/>
                <w:szCs w:val="22"/>
              </w:rPr>
            </w:pPr>
          </w:p>
        </w:tc>
        <w:tc>
          <w:tcPr>
            <w:tcW w:w="1315" w:type="dxa"/>
            <w:tcBorders>
              <w:top w:val="nil"/>
              <w:left w:val="nil"/>
              <w:bottom w:val="single" w:sz="8" w:space="0" w:color="auto"/>
              <w:right w:val="nil"/>
            </w:tcBorders>
            <w:shd w:val="clear" w:color="000000" w:fill="FFFFFF"/>
            <w:noWrap/>
            <w:vAlign w:val="center"/>
          </w:tcPr>
          <w:p w14:paraId="03F8A18C" w14:textId="7AE9F7AB" w:rsidR="00B80CEB" w:rsidRPr="00BB770A" w:rsidRDefault="005A193B" w:rsidP="00B80CEB">
            <w:pPr>
              <w:jc w:val="right"/>
              <w:rPr>
                <w:rFonts w:ascii="Arial" w:hAnsi="Arial" w:cs="Arial"/>
                <w:b/>
                <w:bCs/>
                <w:color w:val="000000"/>
                <w:sz w:val="22"/>
                <w:szCs w:val="22"/>
              </w:rPr>
            </w:pPr>
            <w:r>
              <w:rPr>
                <w:rFonts w:ascii="Arial" w:hAnsi="Arial" w:cs="Arial"/>
                <w:b/>
                <w:bCs/>
                <w:color w:val="000000"/>
                <w:sz w:val="22"/>
                <w:szCs w:val="22"/>
              </w:rPr>
              <w:t>259</w:t>
            </w:r>
          </w:p>
        </w:tc>
      </w:tr>
      <w:tr w:rsidR="00B80CEB" w:rsidRPr="00B64150" w14:paraId="493F14CB" w14:textId="77777777" w:rsidTr="00B53577">
        <w:trPr>
          <w:trHeight w:val="67"/>
          <w:jc w:val="center"/>
        </w:trPr>
        <w:tc>
          <w:tcPr>
            <w:tcW w:w="6715" w:type="dxa"/>
            <w:gridSpan w:val="2"/>
            <w:tcBorders>
              <w:top w:val="nil"/>
              <w:left w:val="nil"/>
              <w:bottom w:val="nil"/>
              <w:right w:val="nil"/>
            </w:tcBorders>
            <w:shd w:val="clear" w:color="000000" w:fill="FFFFFF"/>
            <w:noWrap/>
            <w:vAlign w:val="bottom"/>
          </w:tcPr>
          <w:p w14:paraId="41883C10" w14:textId="77777777" w:rsidR="00B80CEB" w:rsidRPr="008A0A4E" w:rsidRDefault="00B80CEB" w:rsidP="00B80CEB">
            <w:pPr>
              <w:tabs>
                <w:tab w:val="left" w:pos="709"/>
              </w:tabs>
              <w:ind w:left="751"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single" w:sz="8" w:space="0" w:color="auto"/>
              <w:right w:val="nil"/>
            </w:tcBorders>
            <w:shd w:val="clear" w:color="000000" w:fill="FFFFFF"/>
            <w:vAlign w:val="center"/>
          </w:tcPr>
          <w:p w14:paraId="2275025D" w14:textId="55C938E8" w:rsidR="00B80CEB" w:rsidRPr="00B80CEB" w:rsidRDefault="00B80CEB" w:rsidP="00B80CEB">
            <w:pPr>
              <w:jc w:val="right"/>
              <w:rPr>
                <w:rFonts w:ascii="Arial" w:hAnsi="Arial" w:cs="Arial"/>
                <w:color w:val="000000"/>
                <w:sz w:val="22"/>
                <w:szCs w:val="22"/>
              </w:rPr>
            </w:pPr>
            <w:r w:rsidRPr="00B80CEB">
              <w:rPr>
                <w:rFonts w:ascii="Arial" w:hAnsi="Arial" w:cs="Arial"/>
                <w:color w:val="000000"/>
                <w:sz w:val="22"/>
                <w:szCs w:val="22"/>
              </w:rPr>
              <w:t>5,998</w:t>
            </w:r>
          </w:p>
        </w:tc>
        <w:tc>
          <w:tcPr>
            <w:tcW w:w="601" w:type="dxa"/>
            <w:tcBorders>
              <w:top w:val="nil"/>
              <w:left w:val="nil"/>
              <w:bottom w:val="nil"/>
              <w:right w:val="nil"/>
            </w:tcBorders>
            <w:shd w:val="clear" w:color="000000" w:fill="FFFFFF"/>
            <w:noWrap/>
          </w:tcPr>
          <w:p w14:paraId="7DE8675F" w14:textId="36F63C85" w:rsidR="00B80CEB" w:rsidRPr="00F36C50" w:rsidRDefault="00B80CEB" w:rsidP="00B80CEB">
            <w:pPr>
              <w:tabs>
                <w:tab w:val="left" w:pos="709"/>
              </w:tabs>
              <w:ind w:left="426" w:hanging="426"/>
              <w:rPr>
                <w:rFonts w:ascii="Arial" w:hAnsi="Arial" w:cs="Arial"/>
                <w:color w:val="000000"/>
                <w:sz w:val="22"/>
                <w:szCs w:val="22"/>
              </w:rPr>
            </w:pPr>
          </w:p>
        </w:tc>
        <w:tc>
          <w:tcPr>
            <w:tcW w:w="1315" w:type="dxa"/>
            <w:tcBorders>
              <w:top w:val="single" w:sz="8" w:space="0" w:color="auto"/>
              <w:left w:val="nil"/>
              <w:bottom w:val="single" w:sz="8" w:space="0" w:color="auto"/>
              <w:right w:val="nil"/>
            </w:tcBorders>
            <w:shd w:val="clear" w:color="000000" w:fill="FFFFFF"/>
            <w:noWrap/>
            <w:vAlign w:val="center"/>
          </w:tcPr>
          <w:p w14:paraId="57D2B38D" w14:textId="6C2D2F59" w:rsidR="00B80CEB" w:rsidRPr="00BB770A" w:rsidRDefault="005A193B" w:rsidP="00B80CEB">
            <w:pPr>
              <w:jc w:val="right"/>
              <w:rPr>
                <w:rFonts w:ascii="Arial" w:hAnsi="Arial" w:cs="Arial"/>
                <w:b/>
                <w:bCs/>
                <w:color w:val="000000"/>
                <w:sz w:val="22"/>
                <w:szCs w:val="22"/>
              </w:rPr>
            </w:pPr>
            <w:r>
              <w:rPr>
                <w:rFonts w:ascii="Arial" w:hAnsi="Arial" w:cs="Arial"/>
                <w:b/>
                <w:bCs/>
                <w:color w:val="000000"/>
                <w:sz w:val="22"/>
                <w:szCs w:val="22"/>
              </w:rPr>
              <w:t>8,195</w:t>
            </w:r>
          </w:p>
        </w:tc>
      </w:tr>
      <w:tr w:rsidR="0068717A" w:rsidRPr="00B64150" w14:paraId="1CF1F46E" w14:textId="77777777" w:rsidTr="00B53577">
        <w:trPr>
          <w:trHeight w:val="191"/>
          <w:jc w:val="center"/>
        </w:trPr>
        <w:tc>
          <w:tcPr>
            <w:tcW w:w="6715" w:type="dxa"/>
            <w:gridSpan w:val="2"/>
            <w:tcBorders>
              <w:top w:val="nil"/>
              <w:left w:val="nil"/>
              <w:bottom w:val="nil"/>
              <w:right w:val="nil"/>
            </w:tcBorders>
            <w:noWrap/>
            <w:vAlign w:val="bottom"/>
          </w:tcPr>
          <w:p w14:paraId="09E8B4F5" w14:textId="77777777" w:rsidR="0068717A" w:rsidRDefault="0068717A" w:rsidP="0068717A">
            <w:pPr>
              <w:tabs>
                <w:tab w:val="left" w:pos="709"/>
              </w:tabs>
              <w:jc w:val="both"/>
              <w:rPr>
                <w:rFonts w:ascii="Arial" w:hAnsi="Arial" w:cs="Arial"/>
                <w:color w:val="000000"/>
                <w:sz w:val="22"/>
                <w:szCs w:val="22"/>
              </w:rPr>
            </w:pPr>
          </w:p>
          <w:p w14:paraId="32AD1341" w14:textId="77777777" w:rsidR="0014310A" w:rsidRDefault="0014310A" w:rsidP="0068717A">
            <w:pPr>
              <w:tabs>
                <w:tab w:val="left" w:pos="709"/>
              </w:tabs>
              <w:jc w:val="both"/>
              <w:rPr>
                <w:rFonts w:ascii="Arial" w:hAnsi="Arial" w:cs="Arial"/>
                <w:color w:val="000000"/>
                <w:sz w:val="22"/>
                <w:szCs w:val="22"/>
              </w:rPr>
            </w:pPr>
          </w:p>
          <w:p w14:paraId="0743E0DF" w14:textId="77777777" w:rsidR="0014310A" w:rsidRDefault="0014310A" w:rsidP="0068717A">
            <w:pPr>
              <w:tabs>
                <w:tab w:val="left" w:pos="709"/>
              </w:tabs>
              <w:jc w:val="both"/>
              <w:rPr>
                <w:rFonts w:ascii="Arial" w:hAnsi="Arial" w:cs="Arial"/>
                <w:color w:val="000000"/>
                <w:sz w:val="22"/>
                <w:szCs w:val="22"/>
              </w:rPr>
            </w:pPr>
          </w:p>
          <w:p w14:paraId="7106AEDD" w14:textId="77777777" w:rsidR="005650E5" w:rsidRDefault="005650E5" w:rsidP="0068717A">
            <w:pPr>
              <w:tabs>
                <w:tab w:val="left" w:pos="709"/>
              </w:tabs>
              <w:jc w:val="both"/>
              <w:rPr>
                <w:rFonts w:ascii="Arial" w:hAnsi="Arial" w:cs="Arial"/>
                <w:color w:val="000000"/>
                <w:sz w:val="22"/>
                <w:szCs w:val="22"/>
              </w:rPr>
            </w:pPr>
          </w:p>
          <w:p w14:paraId="4F0C738F" w14:textId="77777777" w:rsidR="005650E5" w:rsidRDefault="005650E5" w:rsidP="0068717A">
            <w:pPr>
              <w:tabs>
                <w:tab w:val="left" w:pos="709"/>
              </w:tabs>
              <w:jc w:val="both"/>
              <w:rPr>
                <w:rFonts w:ascii="Arial" w:hAnsi="Arial" w:cs="Arial"/>
                <w:color w:val="000000"/>
                <w:sz w:val="22"/>
                <w:szCs w:val="22"/>
              </w:rPr>
            </w:pPr>
          </w:p>
          <w:p w14:paraId="0D0FC990" w14:textId="77777777" w:rsidR="00B53577" w:rsidRDefault="00B53577" w:rsidP="0068717A">
            <w:pPr>
              <w:tabs>
                <w:tab w:val="left" w:pos="709"/>
              </w:tabs>
              <w:jc w:val="both"/>
              <w:rPr>
                <w:rFonts w:ascii="Arial" w:hAnsi="Arial" w:cs="Arial"/>
                <w:color w:val="000000"/>
                <w:sz w:val="22"/>
                <w:szCs w:val="22"/>
              </w:rPr>
            </w:pPr>
          </w:p>
          <w:p w14:paraId="140D9128" w14:textId="5AC75A8F" w:rsidR="0014310A" w:rsidRPr="003D3229" w:rsidRDefault="0014310A" w:rsidP="0068717A">
            <w:pPr>
              <w:tabs>
                <w:tab w:val="left" w:pos="709"/>
              </w:tabs>
              <w:jc w:val="both"/>
              <w:rPr>
                <w:rFonts w:ascii="Arial" w:hAnsi="Arial" w:cs="Arial"/>
                <w:color w:val="000000"/>
                <w:sz w:val="22"/>
                <w:szCs w:val="22"/>
              </w:rPr>
            </w:pPr>
          </w:p>
        </w:tc>
        <w:tc>
          <w:tcPr>
            <w:tcW w:w="1635" w:type="dxa"/>
            <w:tcBorders>
              <w:top w:val="single" w:sz="8" w:space="0" w:color="auto"/>
              <w:left w:val="nil"/>
              <w:bottom w:val="nil"/>
              <w:right w:val="nil"/>
            </w:tcBorders>
            <w:vAlign w:val="bottom"/>
          </w:tcPr>
          <w:p w14:paraId="6786641A" w14:textId="77777777" w:rsidR="0068717A" w:rsidRPr="008A0A4E" w:rsidRDefault="0068717A" w:rsidP="0068717A">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29BB189B" w14:textId="77777777" w:rsidR="0068717A" w:rsidRPr="008A0A4E" w:rsidRDefault="0068717A" w:rsidP="0068717A">
            <w:pPr>
              <w:tabs>
                <w:tab w:val="left" w:pos="709"/>
              </w:tabs>
              <w:ind w:left="426" w:hanging="426"/>
              <w:rPr>
                <w:rFonts w:ascii="Arial" w:hAnsi="Arial" w:cs="Arial"/>
                <w:color w:val="000000"/>
                <w:sz w:val="22"/>
                <w:szCs w:val="22"/>
              </w:rPr>
            </w:pPr>
          </w:p>
        </w:tc>
        <w:tc>
          <w:tcPr>
            <w:tcW w:w="1315" w:type="dxa"/>
            <w:tcBorders>
              <w:top w:val="single" w:sz="8" w:space="0" w:color="auto"/>
              <w:left w:val="nil"/>
              <w:bottom w:val="nil"/>
              <w:right w:val="nil"/>
            </w:tcBorders>
            <w:noWrap/>
            <w:vAlign w:val="bottom"/>
          </w:tcPr>
          <w:p w14:paraId="09ABC003" w14:textId="77777777" w:rsidR="0068717A" w:rsidRPr="008A0A4E" w:rsidRDefault="0068717A" w:rsidP="0068717A">
            <w:pPr>
              <w:tabs>
                <w:tab w:val="left" w:pos="709"/>
              </w:tabs>
              <w:ind w:left="426" w:right="34" w:hanging="426"/>
              <w:rPr>
                <w:rFonts w:ascii="Arial" w:hAnsi="Arial" w:cs="Arial"/>
                <w:b/>
                <w:color w:val="000000"/>
                <w:sz w:val="22"/>
                <w:szCs w:val="22"/>
              </w:rPr>
            </w:pPr>
          </w:p>
        </w:tc>
      </w:tr>
      <w:tr w:rsidR="0068717A" w:rsidRPr="00B64150" w14:paraId="28153EF0" w14:textId="77777777" w:rsidTr="00D22773">
        <w:trPr>
          <w:trHeight w:val="143"/>
          <w:jc w:val="center"/>
        </w:trPr>
        <w:tc>
          <w:tcPr>
            <w:tcW w:w="6715" w:type="dxa"/>
            <w:gridSpan w:val="2"/>
            <w:tcBorders>
              <w:top w:val="nil"/>
              <w:left w:val="nil"/>
              <w:bottom w:val="nil"/>
              <w:right w:val="nil"/>
            </w:tcBorders>
            <w:noWrap/>
            <w:vAlign w:val="bottom"/>
          </w:tcPr>
          <w:p w14:paraId="093AE26D" w14:textId="2E9BD247" w:rsidR="0068717A" w:rsidRPr="009B60BC" w:rsidRDefault="0068717A" w:rsidP="0068717A">
            <w:pPr>
              <w:pStyle w:val="ListParagraph"/>
              <w:numPr>
                <w:ilvl w:val="0"/>
                <w:numId w:val="24"/>
              </w:numPr>
              <w:tabs>
                <w:tab w:val="left" w:pos="893"/>
                <w:tab w:val="left" w:pos="2400"/>
              </w:tabs>
              <w:spacing w:after="0" w:line="240" w:lineRule="auto"/>
              <w:ind w:left="326" w:firstLine="141"/>
              <w:jc w:val="both"/>
              <w:rPr>
                <w:rFonts w:ascii="Arial" w:hAnsi="Arial" w:cs="Arial"/>
                <w:color w:val="000000"/>
              </w:rPr>
            </w:pPr>
            <w:r w:rsidRPr="008A0A4E">
              <w:rPr>
                <w:rFonts w:ascii="Arial" w:hAnsi="Arial" w:cs="Arial"/>
                <w:b/>
                <w:bCs/>
                <w:color w:val="000000"/>
              </w:rPr>
              <w:t>Management Expenses</w:t>
            </w:r>
          </w:p>
        </w:tc>
        <w:tc>
          <w:tcPr>
            <w:tcW w:w="1635" w:type="dxa"/>
            <w:tcBorders>
              <w:top w:val="nil"/>
              <w:left w:val="nil"/>
              <w:bottom w:val="nil"/>
              <w:right w:val="nil"/>
            </w:tcBorders>
            <w:vAlign w:val="bottom"/>
          </w:tcPr>
          <w:p w14:paraId="330D277F" w14:textId="77777777" w:rsidR="0068717A" w:rsidRPr="008A0A4E" w:rsidRDefault="0068717A" w:rsidP="0068717A">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1AB0F9F2" w14:textId="77777777" w:rsidR="0068717A" w:rsidRPr="008A0A4E" w:rsidRDefault="0068717A" w:rsidP="0068717A">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12718558" w14:textId="77777777" w:rsidR="0068717A" w:rsidRPr="008A0A4E" w:rsidRDefault="0068717A" w:rsidP="0068717A">
            <w:pPr>
              <w:tabs>
                <w:tab w:val="left" w:pos="709"/>
              </w:tabs>
              <w:ind w:left="426" w:right="34" w:hanging="426"/>
              <w:rPr>
                <w:rFonts w:ascii="Arial" w:hAnsi="Arial" w:cs="Arial"/>
                <w:b/>
                <w:color w:val="000000"/>
                <w:sz w:val="22"/>
                <w:szCs w:val="22"/>
              </w:rPr>
            </w:pPr>
          </w:p>
        </w:tc>
      </w:tr>
      <w:tr w:rsidR="0068717A" w:rsidRPr="00B64150" w14:paraId="3AE9D172" w14:textId="77777777" w:rsidTr="00D22773">
        <w:trPr>
          <w:trHeight w:val="129"/>
          <w:jc w:val="center"/>
        </w:trPr>
        <w:tc>
          <w:tcPr>
            <w:tcW w:w="6715" w:type="dxa"/>
            <w:gridSpan w:val="2"/>
            <w:tcBorders>
              <w:top w:val="nil"/>
              <w:left w:val="nil"/>
              <w:bottom w:val="nil"/>
              <w:right w:val="nil"/>
            </w:tcBorders>
          </w:tcPr>
          <w:p w14:paraId="521C38FB" w14:textId="77777777" w:rsidR="0068717A" w:rsidRPr="008A0A4E" w:rsidRDefault="0068717A" w:rsidP="0068717A">
            <w:pPr>
              <w:ind w:left="318"/>
              <w:jc w:val="right"/>
              <w:rPr>
                <w:rFonts w:ascii="Arial" w:hAnsi="Arial" w:cs="Arial"/>
                <w:color w:val="000000"/>
                <w:sz w:val="22"/>
                <w:szCs w:val="22"/>
              </w:rPr>
            </w:pPr>
          </w:p>
        </w:tc>
        <w:tc>
          <w:tcPr>
            <w:tcW w:w="1635" w:type="dxa"/>
            <w:tcBorders>
              <w:top w:val="nil"/>
              <w:left w:val="nil"/>
              <w:bottom w:val="nil"/>
              <w:right w:val="nil"/>
            </w:tcBorders>
            <w:vAlign w:val="center"/>
          </w:tcPr>
          <w:p w14:paraId="1FC2CD14" w14:textId="487766FC" w:rsidR="0068717A" w:rsidRPr="002D1995" w:rsidRDefault="0068717A" w:rsidP="0068717A">
            <w:pPr>
              <w:jc w:val="center"/>
              <w:rPr>
                <w:rFonts w:ascii="Arial" w:hAnsi="Arial" w:cs="Arial"/>
                <w:b/>
                <w:bCs/>
                <w:color w:val="000000"/>
                <w:sz w:val="22"/>
                <w:szCs w:val="22"/>
              </w:rPr>
            </w:pPr>
            <w:r w:rsidRPr="002D1995">
              <w:rPr>
                <w:rFonts w:ascii="Arial" w:hAnsi="Arial" w:cs="Arial"/>
                <w:b/>
                <w:bCs/>
                <w:color w:val="000000"/>
                <w:sz w:val="22"/>
                <w:szCs w:val="22"/>
              </w:rPr>
              <w:t>202</w:t>
            </w:r>
            <w:r w:rsidR="003C3E61" w:rsidRPr="002D1995">
              <w:rPr>
                <w:rFonts w:ascii="Arial" w:hAnsi="Arial" w:cs="Arial"/>
                <w:b/>
                <w:bCs/>
                <w:color w:val="000000"/>
                <w:sz w:val="22"/>
                <w:szCs w:val="22"/>
              </w:rPr>
              <w:t>3</w:t>
            </w:r>
            <w:r w:rsidRPr="002D1995">
              <w:rPr>
                <w:rFonts w:ascii="Arial" w:hAnsi="Arial" w:cs="Arial"/>
                <w:b/>
                <w:bCs/>
                <w:color w:val="000000"/>
                <w:sz w:val="22"/>
                <w:szCs w:val="22"/>
              </w:rPr>
              <w:t>/2</w:t>
            </w:r>
            <w:r w:rsidR="003C3E61" w:rsidRPr="002D1995">
              <w:rPr>
                <w:rFonts w:ascii="Arial" w:hAnsi="Arial" w:cs="Arial"/>
                <w:b/>
                <w:bCs/>
                <w:color w:val="000000"/>
                <w:sz w:val="22"/>
                <w:szCs w:val="22"/>
              </w:rPr>
              <w:t>4</w:t>
            </w:r>
          </w:p>
        </w:tc>
        <w:tc>
          <w:tcPr>
            <w:tcW w:w="601" w:type="dxa"/>
            <w:tcBorders>
              <w:top w:val="nil"/>
              <w:left w:val="nil"/>
              <w:bottom w:val="nil"/>
              <w:right w:val="nil"/>
            </w:tcBorders>
            <w:noWrap/>
            <w:vAlign w:val="center"/>
          </w:tcPr>
          <w:p w14:paraId="0F422E38" w14:textId="3730E81C" w:rsidR="0068717A" w:rsidRPr="008A0A4E" w:rsidRDefault="0068717A" w:rsidP="0068717A">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vAlign w:val="center"/>
          </w:tcPr>
          <w:p w14:paraId="78F3C56D" w14:textId="3A085D1B" w:rsidR="0068717A" w:rsidRPr="008A0A4E" w:rsidRDefault="0068717A" w:rsidP="0068717A">
            <w:pPr>
              <w:jc w:val="center"/>
              <w:rPr>
                <w:rFonts w:ascii="Arial" w:hAnsi="Arial" w:cs="Arial"/>
                <w:b/>
                <w:bCs/>
                <w:color w:val="000000"/>
                <w:sz w:val="22"/>
                <w:szCs w:val="22"/>
              </w:rPr>
            </w:pPr>
            <w:r>
              <w:rPr>
                <w:rFonts w:ascii="Arial" w:hAnsi="Arial" w:cs="Arial"/>
                <w:b/>
                <w:bCs/>
                <w:color w:val="000000"/>
                <w:sz w:val="22"/>
                <w:szCs w:val="22"/>
              </w:rPr>
              <w:t>202</w:t>
            </w:r>
            <w:r w:rsidR="003C3E61">
              <w:rPr>
                <w:rFonts w:ascii="Arial" w:hAnsi="Arial" w:cs="Arial"/>
                <w:b/>
                <w:bCs/>
                <w:color w:val="000000"/>
                <w:sz w:val="22"/>
                <w:szCs w:val="22"/>
              </w:rPr>
              <w:t>4</w:t>
            </w:r>
            <w:r>
              <w:rPr>
                <w:rFonts w:ascii="Arial" w:hAnsi="Arial" w:cs="Arial"/>
                <w:b/>
                <w:bCs/>
                <w:color w:val="000000"/>
                <w:sz w:val="22"/>
                <w:szCs w:val="22"/>
              </w:rPr>
              <w:t>/2</w:t>
            </w:r>
            <w:r w:rsidR="003C3E61">
              <w:rPr>
                <w:rFonts w:ascii="Arial" w:hAnsi="Arial" w:cs="Arial"/>
                <w:b/>
                <w:bCs/>
                <w:color w:val="000000"/>
                <w:sz w:val="22"/>
                <w:szCs w:val="22"/>
              </w:rPr>
              <w:t>5</w:t>
            </w:r>
          </w:p>
        </w:tc>
      </w:tr>
      <w:tr w:rsidR="0068717A" w:rsidRPr="00B64150" w14:paraId="0D245F32" w14:textId="77777777" w:rsidTr="00D22773">
        <w:trPr>
          <w:trHeight w:val="129"/>
          <w:jc w:val="center"/>
        </w:trPr>
        <w:tc>
          <w:tcPr>
            <w:tcW w:w="6715" w:type="dxa"/>
            <w:gridSpan w:val="2"/>
            <w:tcBorders>
              <w:top w:val="nil"/>
              <w:left w:val="nil"/>
              <w:bottom w:val="nil"/>
              <w:right w:val="nil"/>
            </w:tcBorders>
          </w:tcPr>
          <w:p w14:paraId="3714DD27" w14:textId="77777777" w:rsidR="0068717A" w:rsidRPr="008A0A4E" w:rsidRDefault="0068717A" w:rsidP="0068717A">
            <w:pPr>
              <w:ind w:left="318"/>
              <w:jc w:val="right"/>
              <w:rPr>
                <w:rFonts w:ascii="Arial" w:hAnsi="Arial" w:cs="Arial"/>
                <w:color w:val="000000"/>
                <w:sz w:val="22"/>
                <w:szCs w:val="22"/>
              </w:rPr>
            </w:pPr>
          </w:p>
        </w:tc>
        <w:tc>
          <w:tcPr>
            <w:tcW w:w="1635" w:type="dxa"/>
            <w:tcBorders>
              <w:top w:val="nil"/>
              <w:left w:val="nil"/>
              <w:bottom w:val="nil"/>
              <w:right w:val="nil"/>
            </w:tcBorders>
            <w:vAlign w:val="bottom"/>
          </w:tcPr>
          <w:p w14:paraId="3674F9BC" w14:textId="77777777" w:rsidR="0068717A" w:rsidRPr="002D1995" w:rsidRDefault="0068717A" w:rsidP="0068717A">
            <w:pPr>
              <w:tabs>
                <w:tab w:val="left" w:pos="709"/>
              </w:tabs>
              <w:ind w:left="426" w:hanging="426"/>
              <w:jc w:val="center"/>
              <w:rPr>
                <w:rFonts w:ascii="Arial" w:hAnsi="Arial" w:cs="Arial"/>
                <w:b/>
                <w:bCs/>
                <w:color w:val="000000"/>
                <w:sz w:val="22"/>
                <w:szCs w:val="22"/>
              </w:rPr>
            </w:pPr>
            <w:r w:rsidRPr="002D1995">
              <w:rPr>
                <w:rFonts w:ascii="Arial" w:hAnsi="Arial" w:cs="Arial"/>
                <w:b/>
                <w:bCs/>
                <w:color w:val="000000"/>
                <w:sz w:val="22"/>
                <w:szCs w:val="22"/>
              </w:rPr>
              <w:t>£000</w:t>
            </w:r>
          </w:p>
        </w:tc>
        <w:tc>
          <w:tcPr>
            <w:tcW w:w="601" w:type="dxa"/>
            <w:tcBorders>
              <w:top w:val="nil"/>
              <w:left w:val="nil"/>
              <w:bottom w:val="nil"/>
              <w:right w:val="nil"/>
            </w:tcBorders>
            <w:noWrap/>
            <w:vAlign w:val="bottom"/>
          </w:tcPr>
          <w:p w14:paraId="409D6F99" w14:textId="77777777" w:rsidR="0068717A" w:rsidRPr="008A0A4E" w:rsidRDefault="0068717A" w:rsidP="0068717A">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vAlign w:val="bottom"/>
          </w:tcPr>
          <w:p w14:paraId="72CF134D" w14:textId="77777777" w:rsidR="0068717A" w:rsidRPr="008A0A4E" w:rsidRDefault="0068717A" w:rsidP="0068717A">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3C3E61" w:rsidRPr="00B64150" w14:paraId="4B90C55C" w14:textId="77777777" w:rsidTr="00167FBD">
        <w:trPr>
          <w:trHeight w:val="105"/>
          <w:jc w:val="center"/>
        </w:trPr>
        <w:tc>
          <w:tcPr>
            <w:tcW w:w="6715" w:type="dxa"/>
            <w:gridSpan w:val="2"/>
            <w:tcBorders>
              <w:top w:val="nil"/>
              <w:left w:val="nil"/>
              <w:bottom w:val="nil"/>
              <w:right w:val="nil"/>
            </w:tcBorders>
            <w:vAlign w:val="bottom"/>
          </w:tcPr>
          <w:p w14:paraId="4764BC22" w14:textId="0C76986D" w:rsidR="003C3E61" w:rsidRPr="008A0A4E" w:rsidRDefault="003C3E61" w:rsidP="003C3E61">
            <w:pPr>
              <w:ind w:firstLine="609"/>
              <w:rPr>
                <w:rFonts w:ascii="Arial" w:hAnsi="Arial" w:cs="Arial"/>
                <w:color w:val="000000"/>
                <w:sz w:val="22"/>
                <w:szCs w:val="22"/>
              </w:rPr>
            </w:pPr>
            <w:r w:rsidRPr="008A0A4E">
              <w:rPr>
                <w:rFonts w:ascii="Arial" w:hAnsi="Arial" w:cs="Arial"/>
                <w:color w:val="000000"/>
                <w:sz w:val="22"/>
                <w:szCs w:val="22"/>
              </w:rPr>
              <w:t xml:space="preserve">Administration </w:t>
            </w:r>
            <w:r>
              <w:rPr>
                <w:rFonts w:ascii="Arial" w:hAnsi="Arial" w:cs="Arial"/>
                <w:color w:val="000000"/>
                <w:sz w:val="22"/>
                <w:szCs w:val="22"/>
              </w:rPr>
              <w:t>Costs</w:t>
            </w:r>
          </w:p>
        </w:tc>
        <w:tc>
          <w:tcPr>
            <w:tcW w:w="1635" w:type="dxa"/>
            <w:tcBorders>
              <w:top w:val="nil"/>
              <w:left w:val="nil"/>
              <w:bottom w:val="nil"/>
              <w:right w:val="nil"/>
            </w:tcBorders>
            <w:shd w:val="clear" w:color="auto" w:fill="auto"/>
            <w:vAlign w:val="center"/>
          </w:tcPr>
          <w:p w14:paraId="7E923C50" w14:textId="50A51151" w:rsidR="003C3E61" w:rsidRPr="003C3E61" w:rsidRDefault="003C3E61" w:rsidP="003C3E61">
            <w:pPr>
              <w:jc w:val="right"/>
              <w:rPr>
                <w:rFonts w:ascii="Arial" w:hAnsi="Arial" w:cs="Arial"/>
                <w:color w:val="000000"/>
                <w:sz w:val="22"/>
                <w:szCs w:val="22"/>
              </w:rPr>
            </w:pPr>
            <w:r w:rsidRPr="003C3E61">
              <w:rPr>
                <w:rFonts w:ascii="Arial" w:hAnsi="Arial" w:cs="Arial"/>
                <w:color w:val="000000"/>
                <w:sz w:val="22"/>
                <w:szCs w:val="22"/>
              </w:rPr>
              <w:t>7</w:t>
            </w:r>
            <w:r w:rsidR="00C879F5">
              <w:rPr>
                <w:rFonts w:ascii="Arial" w:hAnsi="Arial" w:cs="Arial"/>
                <w:color w:val="000000"/>
                <w:sz w:val="22"/>
                <w:szCs w:val="22"/>
              </w:rPr>
              <w:t>19</w:t>
            </w:r>
          </w:p>
        </w:tc>
        <w:tc>
          <w:tcPr>
            <w:tcW w:w="601" w:type="dxa"/>
            <w:tcBorders>
              <w:top w:val="nil"/>
              <w:left w:val="nil"/>
              <w:bottom w:val="nil"/>
              <w:right w:val="nil"/>
            </w:tcBorders>
            <w:noWrap/>
          </w:tcPr>
          <w:p w14:paraId="4B20D2B5" w14:textId="6F16E2A9" w:rsidR="003C3E61" w:rsidRPr="00B60EBE" w:rsidRDefault="003C3E61" w:rsidP="003C3E61">
            <w:pPr>
              <w:ind w:left="318"/>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45403728" w14:textId="222463D0" w:rsidR="003C3E61" w:rsidRPr="00794AB1" w:rsidRDefault="009F71F7" w:rsidP="003C3E61">
            <w:pPr>
              <w:jc w:val="right"/>
              <w:rPr>
                <w:rFonts w:ascii="Arial" w:hAnsi="Arial" w:cs="Arial"/>
                <w:b/>
                <w:bCs/>
                <w:color w:val="000000"/>
                <w:sz w:val="22"/>
                <w:szCs w:val="22"/>
              </w:rPr>
            </w:pPr>
            <w:r>
              <w:rPr>
                <w:rFonts w:ascii="Arial" w:hAnsi="Arial" w:cs="Arial"/>
                <w:b/>
                <w:bCs/>
                <w:color w:val="000000"/>
                <w:sz w:val="22"/>
                <w:szCs w:val="22"/>
              </w:rPr>
              <w:t>762</w:t>
            </w:r>
          </w:p>
        </w:tc>
      </w:tr>
      <w:tr w:rsidR="003C3E61" w:rsidRPr="00B64150" w14:paraId="14888874" w14:textId="77777777" w:rsidTr="00167FBD">
        <w:trPr>
          <w:trHeight w:val="159"/>
          <w:jc w:val="center"/>
        </w:trPr>
        <w:tc>
          <w:tcPr>
            <w:tcW w:w="6715" w:type="dxa"/>
            <w:gridSpan w:val="2"/>
            <w:tcBorders>
              <w:top w:val="nil"/>
              <w:left w:val="nil"/>
              <w:bottom w:val="nil"/>
              <w:right w:val="nil"/>
            </w:tcBorders>
            <w:vAlign w:val="center"/>
          </w:tcPr>
          <w:p w14:paraId="0BF02D5F" w14:textId="400D2642" w:rsidR="003C3E61" w:rsidRPr="008A0A4E" w:rsidRDefault="00A3403C" w:rsidP="003C3E61">
            <w:pPr>
              <w:ind w:firstLine="609"/>
              <w:rPr>
                <w:rFonts w:ascii="Arial" w:hAnsi="Arial" w:cs="Arial"/>
                <w:color w:val="000000"/>
                <w:sz w:val="22"/>
                <w:szCs w:val="22"/>
              </w:rPr>
            </w:pPr>
            <w:r>
              <w:rPr>
                <w:rFonts w:ascii="Arial" w:hAnsi="Arial" w:cs="Arial"/>
                <w:color w:val="000000"/>
                <w:sz w:val="22"/>
                <w:szCs w:val="22"/>
              </w:rPr>
              <w:t xml:space="preserve">Fund </w:t>
            </w:r>
            <w:r w:rsidR="003C3E61" w:rsidRPr="008A0A4E">
              <w:rPr>
                <w:rFonts w:ascii="Arial" w:hAnsi="Arial" w:cs="Arial"/>
                <w:color w:val="000000"/>
                <w:sz w:val="22"/>
                <w:szCs w:val="22"/>
              </w:rPr>
              <w:t>Management Fees</w:t>
            </w:r>
          </w:p>
        </w:tc>
        <w:tc>
          <w:tcPr>
            <w:tcW w:w="1635" w:type="dxa"/>
            <w:tcBorders>
              <w:top w:val="nil"/>
              <w:left w:val="nil"/>
              <w:bottom w:val="nil"/>
              <w:right w:val="nil"/>
            </w:tcBorders>
            <w:shd w:val="clear" w:color="auto" w:fill="auto"/>
            <w:vAlign w:val="center"/>
          </w:tcPr>
          <w:p w14:paraId="18094BEA" w14:textId="681DDFB6" w:rsidR="003C3E61" w:rsidRPr="003C3E61" w:rsidRDefault="003C3E61" w:rsidP="003C3E61">
            <w:pPr>
              <w:ind w:left="167"/>
              <w:jc w:val="right"/>
              <w:rPr>
                <w:rFonts w:ascii="Arial" w:hAnsi="Arial" w:cs="Arial"/>
                <w:color w:val="000000"/>
                <w:sz w:val="22"/>
                <w:szCs w:val="22"/>
              </w:rPr>
            </w:pPr>
            <w:r w:rsidRPr="003C3E61">
              <w:rPr>
                <w:rFonts w:ascii="Arial" w:hAnsi="Arial" w:cs="Arial"/>
                <w:color w:val="000000"/>
                <w:sz w:val="22"/>
                <w:szCs w:val="22"/>
              </w:rPr>
              <w:t>4,769</w:t>
            </w:r>
          </w:p>
        </w:tc>
        <w:tc>
          <w:tcPr>
            <w:tcW w:w="601" w:type="dxa"/>
            <w:tcBorders>
              <w:top w:val="nil"/>
              <w:left w:val="nil"/>
              <w:bottom w:val="nil"/>
              <w:right w:val="nil"/>
            </w:tcBorders>
            <w:noWrap/>
          </w:tcPr>
          <w:p w14:paraId="37B1FE8A" w14:textId="77777777" w:rsidR="003C3E61" w:rsidRPr="00B60EBE" w:rsidRDefault="003C3E61" w:rsidP="003C3E61">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427EC641" w14:textId="03DFED4E" w:rsidR="003C3E61" w:rsidRPr="00794AB1" w:rsidRDefault="00CB5574" w:rsidP="003C3E61">
            <w:pPr>
              <w:ind w:left="167"/>
              <w:jc w:val="right"/>
              <w:rPr>
                <w:rFonts w:ascii="Arial" w:hAnsi="Arial" w:cs="Arial"/>
                <w:b/>
                <w:bCs/>
                <w:color w:val="000000"/>
                <w:sz w:val="22"/>
                <w:szCs w:val="22"/>
              </w:rPr>
            </w:pPr>
            <w:r>
              <w:rPr>
                <w:rFonts w:ascii="Arial" w:hAnsi="Arial" w:cs="Arial"/>
                <w:b/>
                <w:bCs/>
                <w:color w:val="000000"/>
                <w:sz w:val="22"/>
                <w:szCs w:val="22"/>
              </w:rPr>
              <w:t>4,975</w:t>
            </w:r>
          </w:p>
        </w:tc>
      </w:tr>
      <w:tr w:rsidR="00817FE3" w:rsidRPr="00B64150" w14:paraId="4B6054FA" w14:textId="77777777" w:rsidTr="00167FBD">
        <w:trPr>
          <w:trHeight w:val="159"/>
          <w:jc w:val="center"/>
        </w:trPr>
        <w:tc>
          <w:tcPr>
            <w:tcW w:w="6715" w:type="dxa"/>
            <w:gridSpan w:val="2"/>
            <w:tcBorders>
              <w:top w:val="nil"/>
              <w:left w:val="nil"/>
              <w:bottom w:val="nil"/>
              <w:right w:val="nil"/>
            </w:tcBorders>
            <w:vAlign w:val="center"/>
          </w:tcPr>
          <w:p w14:paraId="4D13A9B8" w14:textId="25A5D532" w:rsidR="00817FE3" w:rsidRDefault="00817FE3" w:rsidP="003C3E61">
            <w:pPr>
              <w:ind w:firstLine="609"/>
              <w:rPr>
                <w:rFonts w:ascii="Arial" w:hAnsi="Arial" w:cs="Arial"/>
                <w:color w:val="000000"/>
                <w:sz w:val="22"/>
                <w:szCs w:val="22"/>
              </w:rPr>
            </w:pPr>
            <w:r>
              <w:rPr>
                <w:rFonts w:ascii="Arial" w:hAnsi="Arial" w:cs="Arial"/>
                <w:color w:val="000000"/>
                <w:sz w:val="22"/>
                <w:szCs w:val="22"/>
              </w:rPr>
              <w:t>Custodian fees</w:t>
            </w:r>
          </w:p>
        </w:tc>
        <w:tc>
          <w:tcPr>
            <w:tcW w:w="1635" w:type="dxa"/>
            <w:tcBorders>
              <w:top w:val="nil"/>
              <w:left w:val="nil"/>
              <w:bottom w:val="nil"/>
              <w:right w:val="nil"/>
            </w:tcBorders>
            <w:shd w:val="clear" w:color="auto" w:fill="auto"/>
            <w:vAlign w:val="center"/>
          </w:tcPr>
          <w:p w14:paraId="0662E0D2" w14:textId="678DE787" w:rsidR="00817FE3" w:rsidRPr="003C3E61" w:rsidRDefault="009329DB" w:rsidP="003C3E61">
            <w:pPr>
              <w:ind w:left="167"/>
              <w:jc w:val="right"/>
              <w:rPr>
                <w:rFonts w:ascii="Arial" w:hAnsi="Arial" w:cs="Arial"/>
                <w:color w:val="000000"/>
                <w:sz w:val="22"/>
                <w:szCs w:val="22"/>
              </w:rPr>
            </w:pPr>
            <w:r>
              <w:rPr>
                <w:rFonts w:ascii="Arial" w:hAnsi="Arial" w:cs="Arial"/>
                <w:color w:val="000000"/>
                <w:sz w:val="22"/>
                <w:szCs w:val="22"/>
              </w:rPr>
              <w:t>33</w:t>
            </w:r>
          </w:p>
        </w:tc>
        <w:tc>
          <w:tcPr>
            <w:tcW w:w="601" w:type="dxa"/>
            <w:tcBorders>
              <w:top w:val="nil"/>
              <w:left w:val="nil"/>
              <w:bottom w:val="nil"/>
              <w:right w:val="nil"/>
            </w:tcBorders>
            <w:noWrap/>
          </w:tcPr>
          <w:p w14:paraId="1A579E20" w14:textId="77777777" w:rsidR="00817FE3" w:rsidRPr="00B60EBE" w:rsidRDefault="00817FE3" w:rsidP="003C3E61">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2E59F031" w14:textId="08E4DD83" w:rsidR="00817FE3" w:rsidRDefault="00D33644" w:rsidP="003C3E61">
            <w:pPr>
              <w:ind w:left="167"/>
              <w:jc w:val="right"/>
              <w:rPr>
                <w:rFonts w:ascii="Arial" w:hAnsi="Arial" w:cs="Arial"/>
                <w:b/>
                <w:bCs/>
                <w:color w:val="000000"/>
                <w:sz w:val="22"/>
                <w:szCs w:val="22"/>
              </w:rPr>
            </w:pPr>
            <w:r>
              <w:rPr>
                <w:rFonts w:ascii="Arial" w:hAnsi="Arial" w:cs="Arial"/>
                <w:b/>
                <w:bCs/>
                <w:color w:val="000000"/>
                <w:sz w:val="22"/>
                <w:szCs w:val="22"/>
              </w:rPr>
              <w:t>33</w:t>
            </w:r>
          </w:p>
        </w:tc>
      </w:tr>
      <w:tr w:rsidR="003C3E61" w:rsidRPr="00B64150" w14:paraId="1A9325A8" w14:textId="77777777" w:rsidTr="00167FBD">
        <w:trPr>
          <w:trHeight w:val="159"/>
          <w:jc w:val="center"/>
        </w:trPr>
        <w:tc>
          <w:tcPr>
            <w:tcW w:w="6715" w:type="dxa"/>
            <w:gridSpan w:val="2"/>
            <w:tcBorders>
              <w:top w:val="nil"/>
              <w:left w:val="nil"/>
              <w:bottom w:val="nil"/>
              <w:right w:val="nil"/>
            </w:tcBorders>
            <w:vAlign w:val="center"/>
          </w:tcPr>
          <w:p w14:paraId="54E77FA3" w14:textId="026983AD" w:rsidR="003C3E61" w:rsidRPr="008A0A4E" w:rsidRDefault="003C3E61" w:rsidP="003C3E61">
            <w:pPr>
              <w:ind w:firstLine="609"/>
              <w:rPr>
                <w:rFonts w:ascii="Arial" w:hAnsi="Arial" w:cs="Arial"/>
                <w:color w:val="000000"/>
                <w:sz w:val="22"/>
                <w:szCs w:val="22"/>
              </w:rPr>
            </w:pPr>
            <w:r>
              <w:rPr>
                <w:rFonts w:ascii="Arial" w:hAnsi="Arial" w:cs="Arial"/>
                <w:color w:val="000000"/>
                <w:sz w:val="22"/>
                <w:szCs w:val="22"/>
              </w:rPr>
              <w:t>Audit Fees</w:t>
            </w:r>
          </w:p>
        </w:tc>
        <w:tc>
          <w:tcPr>
            <w:tcW w:w="1635" w:type="dxa"/>
            <w:tcBorders>
              <w:top w:val="nil"/>
              <w:left w:val="nil"/>
              <w:bottom w:val="nil"/>
              <w:right w:val="nil"/>
            </w:tcBorders>
            <w:shd w:val="clear" w:color="auto" w:fill="auto"/>
            <w:vAlign w:val="center"/>
          </w:tcPr>
          <w:p w14:paraId="50188494" w14:textId="36FBA116" w:rsidR="003C3E61" w:rsidRPr="003C3E61" w:rsidRDefault="00C879F5" w:rsidP="003C3E61">
            <w:pPr>
              <w:ind w:left="167"/>
              <w:jc w:val="right"/>
              <w:rPr>
                <w:rFonts w:ascii="Arial" w:hAnsi="Arial" w:cs="Arial"/>
                <w:color w:val="000000"/>
                <w:sz w:val="22"/>
                <w:szCs w:val="22"/>
              </w:rPr>
            </w:pPr>
            <w:r>
              <w:rPr>
                <w:rFonts w:ascii="Arial" w:hAnsi="Arial" w:cs="Arial"/>
                <w:color w:val="000000"/>
                <w:sz w:val="22"/>
                <w:szCs w:val="22"/>
              </w:rPr>
              <w:t>75</w:t>
            </w:r>
          </w:p>
        </w:tc>
        <w:tc>
          <w:tcPr>
            <w:tcW w:w="601" w:type="dxa"/>
            <w:tcBorders>
              <w:top w:val="nil"/>
              <w:left w:val="nil"/>
              <w:bottom w:val="nil"/>
              <w:right w:val="nil"/>
            </w:tcBorders>
            <w:noWrap/>
          </w:tcPr>
          <w:p w14:paraId="57A2FEFA" w14:textId="77777777" w:rsidR="003C3E61" w:rsidRPr="00B60EBE" w:rsidRDefault="003C3E61" w:rsidP="003C3E61">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231C952A" w14:textId="61A145B0" w:rsidR="003C3E61" w:rsidRPr="00794AB1" w:rsidRDefault="00A3403C" w:rsidP="003C3E61">
            <w:pPr>
              <w:ind w:left="167"/>
              <w:jc w:val="right"/>
              <w:rPr>
                <w:rFonts w:ascii="Arial" w:hAnsi="Arial" w:cs="Arial"/>
                <w:b/>
                <w:bCs/>
                <w:color w:val="000000"/>
                <w:sz w:val="22"/>
                <w:szCs w:val="22"/>
              </w:rPr>
            </w:pPr>
            <w:r>
              <w:rPr>
                <w:rFonts w:ascii="Arial" w:hAnsi="Arial" w:cs="Arial"/>
                <w:b/>
                <w:bCs/>
                <w:color w:val="000000"/>
                <w:sz w:val="22"/>
                <w:szCs w:val="22"/>
              </w:rPr>
              <w:t>86</w:t>
            </w:r>
          </w:p>
        </w:tc>
      </w:tr>
      <w:tr w:rsidR="003C3E61" w:rsidRPr="00B64150" w14:paraId="28350BA9" w14:textId="77777777" w:rsidTr="00167FBD">
        <w:trPr>
          <w:trHeight w:val="132"/>
          <w:jc w:val="center"/>
        </w:trPr>
        <w:tc>
          <w:tcPr>
            <w:tcW w:w="6709" w:type="dxa"/>
            <w:tcBorders>
              <w:top w:val="nil"/>
              <w:left w:val="nil"/>
              <w:bottom w:val="nil"/>
              <w:right w:val="nil"/>
            </w:tcBorders>
            <w:shd w:val="clear" w:color="000000" w:fill="FFFFFF"/>
            <w:noWrap/>
            <w:vAlign w:val="center"/>
          </w:tcPr>
          <w:p w14:paraId="1A1856C1" w14:textId="5F8324CF" w:rsidR="003C3E61" w:rsidRPr="008A0A4E" w:rsidRDefault="003C3E61" w:rsidP="003C3E61">
            <w:pPr>
              <w:ind w:firstLine="609"/>
              <w:rPr>
                <w:rFonts w:ascii="Arial" w:hAnsi="Arial" w:cs="Arial"/>
                <w:color w:val="000000"/>
                <w:sz w:val="22"/>
                <w:szCs w:val="22"/>
              </w:rPr>
            </w:pPr>
            <w:r w:rsidRPr="008A0A4E">
              <w:rPr>
                <w:rFonts w:ascii="Arial" w:hAnsi="Arial" w:cs="Arial"/>
                <w:color w:val="000000"/>
                <w:sz w:val="22"/>
                <w:szCs w:val="22"/>
              </w:rPr>
              <w:t xml:space="preserve">Oversight and Governance </w:t>
            </w:r>
            <w:r>
              <w:rPr>
                <w:rFonts w:ascii="Arial" w:hAnsi="Arial" w:cs="Arial"/>
                <w:color w:val="000000"/>
                <w:sz w:val="22"/>
                <w:szCs w:val="22"/>
              </w:rPr>
              <w:t>Costs</w:t>
            </w:r>
          </w:p>
        </w:tc>
        <w:tc>
          <w:tcPr>
            <w:tcW w:w="1641" w:type="dxa"/>
            <w:gridSpan w:val="2"/>
            <w:tcBorders>
              <w:top w:val="nil"/>
              <w:left w:val="nil"/>
              <w:bottom w:val="nil"/>
              <w:right w:val="nil"/>
            </w:tcBorders>
            <w:shd w:val="clear" w:color="auto" w:fill="auto"/>
            <w:vAlign w:val="center"/>
          </w:tcPr>
          <w:p w14:paraId="32C4F0D9" w14:textId="68347950" w:rsidR="003C3E61" w:rsidRPr="003C3E61" w:rsidRDefault="003C3E61" w:rsidP="003C3E61">
            <w:pPr>
              <w:ind w:firstLine="609"/>
              <w:jc w:val="right"/>
              <w:rPr>
                <w:rFonts w:ascii="Arial" w:hAnsi="Arial" w:cs="Arial"/>
                <w:color w:val="000000"/>
                <w:sz w:val="22"/>
                <w:szCs w:val="22"/>
              </w:rPr>
            </w:pPr>
            <w:r w:rsidRPr="003C3E61">
              <w:rPr>
                <w:rFonts w:ascii="Arial" w:hAnsi="Arial" w:cs="Arial"/>
                <w:color w:val="000000"/>
                <w:sz w:val="22"/>
                <w:szCs w:val="22"/>
              </w:rPr>
              <w:t>190</w:t>
            </w:r>
          </w:p>
        </w:tc>
        <w:tc>
          <w:tcPr>
            <w:tcW w:w="601" w:type="dxa"/>
            <w:tcBorders>
              <w:top w:val="nil"/>
              <w:left w:val="nil"/>
              <w:right w:val="nil"/>
            </w:tcBorders>
            <w:shd w:val="clear" w:color="000000" w:fill="FFFFFF"/>
            <w:noWrap/>
          </w:tcPr>
          <w:p w14:paraId="48587A4A" w14:textId="77777777" w:rsidR="003C3E61" w:rsidRPr="00B60EBE" w:rsidRDefault="003C3E61" w:rsidP="003C3E61">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noWrap/>
            <w:vAlign w:val="center"/>
          </w:tcPr>
          <w:p w14:paraId="05585156" w14:textId="30FA4F6E" w:rsidR="003C3E61" w:rsidRPr="00794AB1" w:rsidRDefault="00CB5574" w:rsidP="003C3E61">
            <w:pPr>
              <w:ind w:left="167"/>
              <w:jc w:val="right"/>
              <w:rPr>
                <w:rFonts w:ascii="Arial" w:hAnsi="Arial" w:cs="Arial"/>
                <w:b/>
                <w:bCs/>
                <w:color w:val="000000"/>
                <w:sz w:val="22"/>
                <w:szCs w:val="22"/>
              </w:rPr>
            </w:pPr>
            <w:r>
              <w:rPr>
                <w:rFonts w:ascii="Arial" w:hAnsi="Arial" w:cs="Arial"/>
                <w:b/>
                <w:bCs/>
                <w:color w:val="000000"/>
                <w:sz w:val="22"/>
                <w:szCs w:val="22"/>
              </w:rPr>
              <w:t>715</w:t>
            </w:r>
          </w:p>
        </w:tc>
      </w:tr>
      <w:tr w:rsidR="003C3E61" w:rsidRPr="00B64150" w14:paraId="3E933A6E" w14:textId="77777777" w:rsidTr="00B53577">
        <w:trPr>
          <w:trHeight w:val="159"/>
          <w:jc w:val="center"/>
        </w:trPr>
        <w:tc>
          <w:tcPr>
            <w:tcW w:w="6715" w:type="dxa"/>
            <w:gridSpan w:val="2"/>
            <w:tcBorders>
              <w:top w:val="nil"/>
              <w:left w:val="nil"/>
              <w:bottom w:val="nil"/>
              <w:right w:val="nil"/>
            </w:tcBorders>
            <w:vAlign w:val="bottom"/>
          </w:tcPr>
          <w:p w14:paraId="160D2DCF" w14:textId="1C037D70" w:rsidR="003C3E61" w:rsidRPr="008A0A4E" w:rsidRDefault="00817FE3" w:rsidP="003C3E61">
            <w:pPr>
              <w:ind w:firstLine="609"/>
              <w:rPr>
                <w:rFonts w:ascii="Arial" w:hAnsi="Arial" w:cs="Arial"/>
                <w:color w:val="000000"/>
                <w:sz w:val="22"/>
                <w:szCs w:val="22"/>
              </w:rPr>
            </w:pPr>
            <w:r>
              <w:rPr>
                <w:rFonts w:ascii="Arial" w:hAnsi="Arial" w:cs="Arial"/>
                <w:color w:val="000000"/>
                <w:sz w:val="22"/>
                <w:szCs w:val="22"/>
              </w:rPr>
              <w:t>Other costs</w:t>
            </w:r>
          </w:p>
        </w:tc>
        <w:tc>
          <w:tcPr>
            <w:tcW w:w="1635" w:type="dxa"/>
            <w:tcBorders>
              <w:top w:val="nil"/>
              <w:left w:val="nil"/>
              <w:bottom w:val="single" w:sz="8" w:space="0" w:color="auto"/>
              <w:right w:val="nil"/>
            </w:tcBorders>
            <w:shd w:val="clear" w:color="auto" w:fill="auto"/>
            <w:vAlign w:val="center"/>
          </w:tcPr>
          <w:p w14:paraId="12A328C2" w14:textId="7E4C6BDB" w:rsidR="003C3E61" w:rsidRPr="003C3E61" w:rsidRDefault="003C3E61" w:rsidP="003C3E61">
            <w:pPr>
              <w:jc w:val="right"/>
              <w:rPr>
                <w:rFonts w:ascii="Arial" w:hAnsi="Arial" w:cs="Arial"/>
                <w:color w:val="000000"/>
                <w:sz w:val="22"/>
                <w:szCs w:val="22"/>
              </w:rPr>
            </w:pPr>
            <w:r w:rsidRPr="003C3E61">
              <w:rPr>
                <w:rFonts w:ascii="Arial" w:hAnsi="Arial" w:cs="Arial"/>
                <w:color w:val="000000"/>
                <w:sz w:val="22"/>
                <w:szCs w:val="22"/>
              </w:rPr>
              <w:t>42</w:t>
            </w:r>
          </w:p>
        </w:tc>
        <w:tc>
          <w:tcPr>
            <w:tcW w:w="601" w:type="dxa"/>
            <w:tcBorders>
              <w:top w:val="nil"/>
              <w:left w:val="nil"/>
              <w:bottom w:val="nil"/>
              <w:right w:val="nil"/>
            </w:tcBorders>
            <w:noWrap/>
          </w:tcPr>
          <w:p w14:paraId="185F43B1" w14:textId="77777777" w:rsidR="003C3E61" w:rsidRPr="00B60EBE" w:rsidRDefault="003C3E61" w:rsidP="003C3E61">
            <w:pPr>
              <w:ind w:left="318"/>
              <w:rPr>
                <w:rFonts w:ascii="Arial" w:hAnsi="Arial" w:cs="Arial"/>
                <w:color w:val="000000"/>
                <w:sz w:val="22"/>
                <w:szCs w:val="22"/>
                <w:highlight w:val="yellow"/>
              </w:rPr>
            </w:pPr>
          </w:p>
        </w:tc>
        <w:tc>
          <w:tcPr>
            <w:tcW w:w="1315" w:type="dxa"/>
            <w:tcBorders>
              <w:top w:val="nil"/>
              <w:left w:val="nil"/>
              <w:bottom w:val="single" w:sz="8" w:space="0" w:color="auto"/>
              <w:right w:val="nil"/>
            </w:tcBorders>
            <w:shd w:val="clear" w:color="auto" w:fill="auto"/>
            <w:vAlign w:val="center"/>
          </w:tcPr>
          <w:p w14:paraId="19B48D08" w14:textId="4B669DC1" w:rsidR="003C3E61" w:rsidRPr="00794AB1" w:rsidRDefault="007A1C39" w:rsidP="003C3E61">
            <w:pPr>
              <w:jc w:val="right"/>
              <w:rPr>
                <w:rFonts w:ascii="Arial" w:hAnsi="Arial" w:cs="Arial"/>
                <w:b/>
                <w:bCs/>
                <w:color w:val="000000"/>
                <w:sz w:val="22"/>
                <w:szCs w:val="22"/>
              </w:rPr>
            </w:pPr>
            <w:r>
              <w:rPr>
                <w:rFonts w:ascii="Arial" w:hAnsi="Arial" w:cs="Arial"/>
                <w:b/>
                <w:bCs/>
                <w:color w:val="000000"/>
                <w:sz w:val="22"/>
                <w:szCs w:val="22"/>
              </w:rPr>
              <w:t>66</w:t>
            </w:r>
          </w:p>
        </w:tc>
      </w:tr>
      <w:tr w:rsidR="003C3E61" w:rsidRPr="000F46F5" w14:paraId="256F33D4" w14:textId="77777777" w:rsidTr="00B53577">
        <w:trPr>
          <w:trHeight w:val="78"/>
          <w:jc w:val="center"/>
        </w:trPr>
        <w:tc>
          <w:tcPr>
            <w:tcW w:w="6715" w:type="dxa"/>
            <w:gridSpan w:val="2"/>
            <w:tcBorders>
              <w:top w:val="nil"/>
              <w:left w:val="nil"/>
              <w:bottom w:val="nil"/>
              <w:right w:val="nil"/>
            </w:tcBorders>
            <w:shd w:val="clear" w:color="000000" w:fill="FFFFFF"/>
            <w:noWrap/>
            <w:vAlign w:val="bottom"/>
          </w:tcPr>
          <w:p w14:paraId="31357597" w14:textId="19AA22D5" w:rsidR="003C3E61" w:rsidRPr="008A0A4E" w:rsidRDefault="003C3E61" w:rsidP="003C3E61">
            <w:pPr>
              <w:ind w:left="318"/>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single" w:sz="8" w:space="0" w:color="auto"/>
              <w:right w:val="nil"/>
            </w:tcBorders>
            <w:shd w:val="clear" w:color="auto" w:fill="auto"/>
            <w:vAlign w:val="center"/>
          </w:tcPr>
          <w:p w14:paraId="6AECDD59" w14:textId="2F4A57D1" w:rsidR="003C3E61" w:rsidRPr="003C3E61" w:rsidRDefault="003C3E61" w:rsidP="003C3E61">
            <w:pPr>
              <w:jc w:val="right"/>
              <w:rPr>
                <w:rFonts w:ascii="Arial" w:hAnsi="Arial" w:cs="Arial"/>
                <w:color w:val="000000"/>
                <w:sz w:val="22"/>
                <w:szCs w:val="22"/>
              </w:rPr>
            </w:pPr>
            <w:r w:rsidRPr="003C3E61">
              <w:rPr>
                <w:rFonts w:ascii="Arial" w:hAnsi="Arial" w:cs="Arial"/>
                <w:color w:val="000000"/>
                <w:sz w:val="22"/>
                <w:szCs w:val="22"/>
              </w:rPr>
              <w:t>5,828</w:t>
            </w:r>
          </w:p>
        </w:tc>
        <w:tc>
          <w:tcPr>
            <w:tcW w:w="601" w:type="dxa"/>
            <w:tcBorders>
              <w:top w:val="nil"/>
              <w:left w:val="nil"/>
              <w:bottom w:val="nil"/>
              <w:right w:val="nil"/>
            </w:tcBorders>
            <w:shd w:val="clear" w:color="000000" w:fill="FFFFFF"/>
            <w:noWrap/>
          </w:tcPr>
          <w:p w14:paraId="1BF481B7" w14:textId="69D08CCF" w:rsidR="003C3E61" w:rsidRPr="00B60EBE" w:rsidRDefault="003C3E61" w:rsidP="003C3E61">
            <w:pPr>
              <w:ind w:left="318"/>
              <w:rPr>
                <w:rFonts w:ascii="Arial" w:hAnsi="Arial" w:cs="Arial"/>
                <w:color w:val="000000"/>
                <w:sz w:val="22"/>
                <w:szCs w:val="22"/>
                <w:highlight w:val="yellow"/>
              </w:rPr>
            </w:pPr>
          </w:p>
        </w:tc>
        <w:tc>
          <w:tcPr>
            <w:tcW w:w="1315" w:type="dxa"/>
            <w:tcBorders>
              <w:top w:val="single" w:sz="8" w:space="0" w:color="auto"/>
              <w:left w:val="nil"/>
              <w:bottom w:val="single" w:sz="8" w:space="0" w:color="auto"/>
              <w:right w:val="nil"/>
            </w:tcBorders>
            <w:shd w:val="clear" w:color="auto" w:fill="auto"/>
            <w:noWrap/>
            <w:vAlign w:val="center"/>
          </w:tcPr>
          <w:p w14:paraId="0E210FFE" w14:textId="3C154784" w:rsidR="003C3E61" w:rsidRPr="00794AB1" w:rsidRDefault="007A1C39" w:rsidP="003C3E61">
            <w:pPr>
              <w:jc w:val="right"/>
              <w:rPr>
                <w:rFonts w:ascii="Arial" w:hAnsi="Arial" w:cs="Arial"/>
                <w:b/>
                <w:bCs/>
                <w:color w:val="000000"/>
                <w:sz w:val="22"/>
                <w:szCs w:val="22"/>
              </w:rPr>
            </w:pPr>
            <w:r>
              <w:rPr>
                <w:rFonts w:ascii="Arial" w:hAnsi="Arial" w:cs="Arial"/>
                <w:b/>
                <w:bCs/>
                <w:color w:val="000000"/>
                <w:sz w:val="22"/>
                <w:szCs w:val="22"/>
              </w:rPr>
              <w:t>6,637</w:t>
            </w:r>
          </w:p>
        </w:tc>
      </w:tr>
      <w:tr w:rsidR="0068717A" w:rsidRPr="00B64150" w14:paraId="0C53375E" w14:textId="77777777" w:rsidTr="00B53577">
        <w:trPr>
          <w:trHeight w:val="39"/>
          <w:jc w:val="center"/>
        </w:trPr>
        <w:tc>
          <w:tcPr>
            <w:tcW w:w="6715" w:type="dxa"/>
            <w:gridSpan w:val="2"/>
            <w:tcBorders>
              <w:top w:val="nil"/>
              <w:left w:val="nil"/>
              <w:bottom w:val="nil"/>
              <w:right w:val="nil"/>
            </w:tcBorders>
            <w:shd w:val="clear" w:color="000000" w:fill="FFFFFF"/>
            <w:noWrap/>
            <w:vAlign w:val="bottom"/>
          </w:tcPr>
          <w:p w14:paraId="17A0CC6A" w14:textId="77777777" w:rsidR="006071B1" w:rsidRDefault="006071B1" w:rsidP="006071B1">
            <w:pPr>
              <w:pStyle w:val="ListParagraph"/>
              <w:tabs>
                <w:tab w:val="left" w:pos="1034"/>
                <w:tab w:val="left" w:pos="1318"/>
                <w:tab w:val="left" w:pos="1591"/>
              </w:tabs>
              <w:ind w:left="454"/>
              <w:jc w:val="both"/>
              <w:rPr>
                <w:rFonts w:ascii="Arial" w:hAnsi="Arial" w:cs="Arial"/>
                <w:b/>
                <w:color w:val="000000"/>
              </w:rPr>
            </w:pPr>
          </w:p>
          <w:p w14:paraId="1F8ED73A" w14:textId="266A1DF3" w:rsidR="0068717A" w:rsidRPr="00B8060E" w:rsidRDefault="0068717A" w:rsidP="0068717A">
            <w:pPr>
              <w:pStyle w:val="ListParagraph"/>
              <w:numPr>
                <w:ilvl w:val="0"/>
                <w:numId w:val="24"/>
              </w:numPr>
              <w:tabs>
                <w:tab w:val="left" w:pos="1034"/>
                <w:tab w:val="left" w:pos="1318"/>
                <w:tab w:val="left" w:pos="1591"/>
              </w:tabs>
              <w:ind w:firstLine="94"/>
              <w:jc w:val="both"/>
              <w:rPr>
                <w:rFonts w:ascii="Arial" w:hAnsi="Arial" w:cs="Arial"/>
                <w:b/>
                <w:color w:val="000000"/>
              </w:rPr>
            </w:pPr>
            <w:r>
              <w:rPr>
                <w:rFonts w:ascii="Arial" w:hAnsi="Arial" w:cs="Arial"/>
                <w:b/>
                <w:color w:val="000000"/>
              </w:rPr>
              <w:t>Investment Income</w:t>
            </w:r>
          </w:p>
        </w:tc>
        <w:tc>
          <w:tcPr>
            <w:tcW w:w="1635" w:type="dxa"/>
            <w:tcBorders>
              <w:top w:val="single" w:sz="8" w:space="0" w:color="auto"/>
              <w:left w:val="nil"/>
              <w:bottom w:val="nil"/>
              <w:right w:val="nil"/>
            </w:tcBorders>
            <w:shd w:val="clear" w:color="000000" w:fill="FFFFFF"/>
            <w:vAlign w:val="center"/>
          </w:tcPr>
          <w:p w14:paraId="45E3908E" w14:textId="73FACEC0" w:rsidR="0068717A" w:rsidRPr="004A3AC2" w:rsidRDefault="0068717A" w:rsidP="00DF166D">
            <w:pPr>
              <w:ind w:right="34"/>
              <w:jc w:val="center"/>
              <w:rPr>
                <w:rFonts w:ascii="Arial" w:hAnsi="Arial" w:cs="Arial"/>
                <w:b/>
                <w:color w:val="000000"/>
                <w:sz w:val="22"/>
                <w:szCs w:val="22"/>
                <w:highlight w:val="yellow"/>
              </w:rPr>
            </w:pPr>
          </w:p>
        </w:tc>
        <w:tc>
          <w:tcPr>
            <w:tcW w:w="601" w:type="dxa"/>
            <w:tcBorders>
              <w:top w:val="nil"/>
              <w:left w:val="nil"/>
              <w:bottom w:val="nil"/>
              <w:right w:val="nil"/>
            </w:tcBorders>
            <w:shd w:val="clear" w:color="000000" w:fill="FFFFFF"/>
            <w:noWrap/>
            <w:vAlign w:val="center"/>
          </w:tcPr>
          <w:p w14:paraId="462D722D" w14:textId="4A2871D8" w:rsidR="0068717A" w:rsidRPr="0090139C" w:rsidRDefault="0068717A" w:rsidP="0068717A">
            <w:pPr>
              <w:jc w:val="center"/>
              <w:rPr>
                <w:rFonts w:ascii="Arial" w:hAnsi="Arial" w:cs="Arial"/>
                <w:color w:val="000000"/>
                <w:sz w:val="22"/>
                <w:szCs w:val="22"/>
                <w:highlight w:val="yellow"/>
              </w:rPr>
            </w:pPr>
          </w:p>
        </w:tc>
        <w:tc>
          <w:tcPr>
            <w:tcW w:w="1315" w:type="dxa"/>
            <w:tcBorders>
              <w:top w:val="single" w:sz="8" w:space="0" w:color="auto"/>
              <w:left w:val="nil"/>
              <w:bottom w:val="nil"/>
              <w:right w:val="nil"/>
            </w:tcBorders>
            <w:shd w:val="clear" w:color="000000" w:fill="FFFFFF"/>
            <w:noWrap/>
            <w:vAlign w:val="center"/>
          </w:tcPr>
          <w:p w14:paraId="5881F2FA" w14:textId="12414651" w:rsidR="0068717A" w:rsidRPr="0090139C" w:rsidRDefault="0068717A" w:rsidP="00DF166D">
            <w:pPr>
              <w:ind w:right="34"/>
              <w:rPr>
                <w:rFonts w:ascii="Arial" w:hAnsi="Arial" w:cs="Arial"/>
                <w:b/>
                <w:color w:val="000000"/>
                <w:sz w:val="22"/>
                <w:szCs w:val="22"/>
                <w:highlight w:val="yellow"/>
              </w:rPr>
            </w:pPr>
          </w:p>
        </w:tc>
      </w:tr>
      <w:tr w:rsidR="0068717A" w:rsidRPr="00B64150" w14:paraId="2A0E4978" w14:textId="77777777" w:rsidTr="00D22773">
        <w:trPr>
          <w:trHeight w:val="155"/>
          <w:jc w:val="center"/>
        </w:trPr>
        <w:tc>
          <w:tcPr>
            <w:tcW w:w="6715" w:type="dxa"/>
            <w:gridSpan w:val="2"/>
            <w:tcBorders>
              <w:top w:val="nil"/>
              <w:left w:val="nil"/>
              <w:bottom w:val="nil"/>
              <w:right w:val="nil"/>
            </w:tcBorders>
            <w:shd w:val="clear" w:color="000000" w:fill="FFFFFF"/>
            <w:noWrap/>
            <w:vAlign w:val="bottom"/>
          </w:tcPr>
          <w:p w14:paraId="6F7FBCC1" w14:textId="77777777" w:rsidR="0068717A" w:rsidRPr="00F928FC" w:rsidRDefault="0068717A" w:rsidP="0068717A">
            <w:pPr>
              <w:ind w:left="318"/>
              <w:rPr>
                <w:rFonts w:ascii="Arial" w:hAnsi="Arial" w:cs="Arial"/>
                <w:color w:val="000000"/>
                <w:sz w:val="22"/>
                <w:szCs w:val="22"/>
              </w:rPr>
            </w:pPr>
            <w:r w:rsidRPr="00F928FC">
              <w:rPr>
                <w:rFonts w:ascii="Arial" w:hAnsi="Arial" w:cs="Arial"/>
                <w:color w:val="000000"/>
                <w:sz w:val="22"/>
                <w:szCs w:val="22"/>
              </w:rPr>
              <w:t> </w:t>
            </w:r>
          </w:p>
        </w:tc>
        <w:tc>
          <w:tcPr>
            <w:tcW w:w="1635" w:type="dxa"/>
            <w:tcBorders>
              <w:top w:val="nil"/>
              <w:left w:val="nil"/>
              <w:bottom w:val="nil"/>
              <w:right w:val="nil"/>
            </w:tcBorders>
            <w:shd w:val="clear" w:color="000000" w:fill="FFFFFF"/>
            <w:vAlign w:val="bottom"/>
          </w:tcPr>
          <w:p w14:paraId="12792D61" w14:textId="1CA6AF7B" w:rsidR="0068717A" w:rsidRPr="004A3AC2" w:rsidRDefault="00561968" w:rsidP="00DF166D">
            <w:pPr>
              <w:ind w:left="318" w:right="34"/>
              <w:jc w:val="center"/>
              <w:rPr>
                <w:rFonts w:ascii="Arial" w:hAnsi="Arial" w:cs="Arial"/>
                <w:b/>
                <w:color w:val="000000"/>
                <w:sz w:val="22"/>
                <w:szCs w:val="22"/>
              </w:rPr>
            </w:pPr>
            <w:r w:rsidRPr="002D1995">
              <w:rPr>
                <w:rFonts w:ascii="Arial" w:hAnsi="Arial" w:cs="Arial"/>
                <w:b/>
                <w:bCs/>
                <w:color w:val="000000"/>
                <w:sz w:val="22"/>
                <w:szCs w:val="22"/>
              </w:rPr>
              <w:t>2023/24</w:t>
            </w:r>
          </w:p>
        </w:tc>
        <w:tc>
          <w:tcPr>
            <w:tcW w:w="601" w:type="dxa"/>
            <w:tcBorders>
              <w:top w:val="nil"/>
              <w:left w:val="nil"/>
              <w:bottom w:val="nil"/>
              <w:right w:val="nil"/>
            </w:tcBorders>
            <w:shd w:val="clear" w:color="000000" w:fill="FFFFFF"/>
            <w:noWrap/>
            <w:vAlign w:val="bottom"/>
          </w:tcPr>
          <w:p w14:paraId="4DCEA00E" w14:textId="77777777" w:rsidR="0068717A" w:rsidRPr="00F928FC" w:rsidRDefault="0068717A" w:rsidP="0068717A">
            <w:pPr>
              <w:ind w:left="318"/>
              <w:jc w:val="center"/>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0ADF0D4F" w14:textId="6CEB1187" w:rsidR="0068717A" w:rsidRPr="00F928FC" w:rsidRDefault="00561968" w:rsidP="00561968">
            <w:pPr>
              <w:ind w:right="34"/>
              <w:jc w:val="center"/>
              <w:rPr>
                <w:rFonts w:ascii="Arial" w:hAnsi="Arial" w:cs="Arial"/>
                <w:b/>
                <w:color w:val="000000"/>
                <w:sz w:val="22"/>
                <w:szCs w:val="22"/>
              </w:rPr>
            </w:pPr>
            <w:r>
              <w:rPr>
                <w:rFonts w:ascii="Arial" w:hAnsi="Arial" w:cs="Arial"/>
                <w:b/>
                <w:bCs/>
                <w:color w:val="000000"/>
                <w:sz w:val="22"/>
                <w:szCs w:val="22"/>
              </w:rPr>
              <w:t>2024/25</w:t>
            </w:r>
          </w:p>
        </w:tc>
      </w:tr>
      <w:tr w:rsidR="00211AC3" w:rsidRPr="00B64150" w14:paraId="32DC1E08"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686D2C91" w14:textId="77777777" w:rsidR="00211AC3" w:rsidRPr="008A0A4E" w:rsidRDefault="00211AC3" w:rsidP="009F3830">
            <w:pPr>
              <w:ind w:left="318" w:firstLine="278"/>
              <w:rPr>
                <w:rFonts w:ascii="Arial" w:hAnsi="Arial" w:cs="Arial"/>
                <w:color w:val="000000"/>
                <w:sz w:val="22"/>
                <w:szCs w:val="22"/>
              </w:rPr>
            </w:pPr>
          </w:p>
        </w:tc>
        <w:tc>
          <w:tcPr>
            <w:tcW w:w="1635" w:type="dxa"/>
            <w:tcBorders>
              <w:top w:val="nil"/>
              <w:left w:val="nil"/>
              <w:bottom w:val="nil"/>
              <w:right w:val="nil"/>
            </w:tcBorders>
            <w:shd w:val="clear" w:color="000000" w:fill="FFFFFF"/>
          </w:tcPr>
          <w:p w14:paraId="3F53A233" w14:textId="07AA45E5" w:rsidR="00211AC3" w:rsidRPr="009F3830" w:rsidRDefault="00561968" w:rsidP="00561968">
            <w:pPr>
              <w:rPr>
                <w:rFonts w:ascii="Arial" w:hAnsi="Arial" w:cs="Arial"/>
                <w:sz w:val="22"/>
                <w:szCs w:val="22"/>
              </w:rPr>
            </w:pPr>
            <w:r>
              <w:rPr>
                <w:rFonts w:ascii="Arial" w:hAnsi="Arial" w:cs="Arial"/>
                <w:b/>
                <w:color w:val="000000"/>
                <w:sz w:val="22"/>
                <w:szCs w:val="22"/>
              </w:rPr>
              <w:t xml:space="preserve">          </w:t>
            </w:r>
            <w:r w:rsidR="00211AC3" w:rsidRPr="004A3AC2">
              <w:rPr>
                <w:rFonts w:ascii="Arial" w:hAnsi="Arial" w:cs="Arial"/>
                <w:b/>
                <w:color w:val="000000"/>
                <w:sz w:val="22"/>
                <w:szCs w:val="22"/>
              </w:rPr>
              <w:t>£000</w:t>
            </w:r>
          </w:p>
        </w:tc>
        <w:tc>
          <w:tcPr>
            <w:tcW w:w="601" w:type="dxa"/>
            <w:tcBorders>
              <w:top w:val="nil"/>
              <w:left w:val="nil"/>
              <w:bottom w:val="nil"/>
              <w:right w:val="nil"/>
            </w:tcBorders>
            <w:shd w:val="clear" w:color="000000" w:fill="FFFFFF"/>
            <w:noWrap/>
          </w:tcPr>
          <w:p w14:paraId="06824B1C" w14:textId="77777777" w:rsidR="00211AC3" w:rsidRPr="00C20D0B" w:rsidRDefault="00211AC3"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4F8816B6" w14:textId="4306C567" w:rsidR="00211AC3" w:rsidRDefault="00211AC3" w:rsidP="00211AC3">
            <w:pPr>
              <w:jc w:val="center"/>
              <w:rPr>
                <w:rFonts w:ascii="Arial" w:hAnsi="Arial" w:cs="Arial"/>
                <w:b/>
                <w:bCs/>
                <w:sz w:val="22"/>
                <w:szCs w:val="22"/>
              </w:rPr>
            </w:pPr>
            <w:r w:rsidRPr="008A0A4E">
              <w:rPr>
                <w:rFonts w:ascii="Arial" w:hAnsi="Arial" w:cs="Arial"/>
                <w:b/>
                <w:bCs/>
                <w:color w:val="000000"/>
                <w:sz w:val="22"/>
                <w:szCs w:val="22"/>
              </w:rPr>
              <w:t>£000</w:t>
            </w:r>
          </w:p>
        </w:tc>
      </w:tr>
      <w:tr w:rsidR="009F3830" w:rsidRPr="00B64150" w14:paraId="1EC261FE"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01255C29"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Fixed Interest Securities</w:t>
            </w:r>
          </w:p>
        </w:tc>
        <w:tc>
          <w:tcPr>
            <w:tcW w:w="1635" w:type="dxa"/>
            <w:tcBorders>
              <w:top w:val="nil"/>
              <w:left w:val="nil"/>
              <w:bottom w:val="nil"/>
              <w:right w:val="nil"/>
            </w:tcBorders>
            <w:shd w:val="clear" w:color="000000" w:fill="FFFFFF"/>
          </w:tcPr>
          <w:p w14:paraId="114D4306" w14:textId="0A50D66C"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453</w:t>
            </w:r>
          </w:p>
        </w:tc>
        <w:tc>
          <w:tcPr>
            <w:tcW w:w="601" w:type="dxa"/>
            <w:tcBorders>
              <w:top w:val="nil"/>
              <w:left w:val="nil"/>
              <w:bottom w:val="nil"/>
              <w:right w:val="nil"/>
            </w:tcBorders>
            <w:shd w:val="clear" w:color="000000" w:fill="FFFFFF"/>
            <w:noWrap/>
          </w:tcPr>
          <w:p w14:paraId="5C110483" w14:textId="450E2510"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13E6F7F0" w14:textId="05ED9942" w:rsidR="009F3830" w:rsidRPr="007771B5" w:rsidRDefault="00401AC2" w:rsidP="009F3830">
            <w:pPr>
              <w:jc w:val="right"/>
              <w:rPr>
                <w:rFonts w:ascii="Arial" w:hAnsi="Arial" w:cs="Arial"/>
                <w:b/>
                <w:bCs/>
                <w:sz w:val="22"/>
                <w:szCs w:val="22"/>
              </w:rPr>
            </w:pPr>
            <w:r>
              <w:rPr>
                <w:rFonts w:ascii="Arial" w:hAnsi="Arial" w:cs="Arial"/>
                <w:b/>
                <w:bCs/>
                <w:sz w:val="22"/>
                <w:szCs w:val="22"/>
              </w:rPr>
              <w:t>511</w:t>
            </w:r>
          </w:p>
        </w:tc>
      </w:tr>
      <w:tr w:rsidR="009F3830" w:rsidRPr="00B64150" w14:paraId="01F61D20"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223622C5"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Equity Dividends</w:t>
            </w:r>
          </w:p>
        </w:tc>
        <w:tc>
          <w:tcPr>
            <w:tcW w:w="1635" w:type="dxa"/>
            <w:tcBorders>
              <w:top w:val="nil"/>
              <w:left w:val="nil"/>
              <w:bottom w:val="nil"/>
              <w:right w:val="nil"/>
            </w:tcBorders>
            <w:shd w:val="clear" w:color="000000" w:fill="FFFFFF"/>
          </w:tcPr>
          <w:p w14:paraId="11E09CB6" w14:textId="31BBFFDD"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27,179</w:t>
            </w:r>
          </w:p>
        </w:tc>
        <w:tc>
          <w:tcPr>
            <w:tcW w:w="601" w:type="dxa"/>
            <w:tcBorders>
              <w:top w:val="nil"/>
              <w:left w:val="nil"/>
              <w:bottom w:val="nil"/>
              <w:right w:val="nil"/>
            </w:tcBorders>
            <w:shd w:val="clear" w:color="000000" w:fill="FFFFFF"/>
            <w:noWrap/>
          </w:tcPr>
          <w:p w14:paraId="70E8ADFB" w14:textId="0114906E"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29677B68" w14:textId="1CD5FD87" w:rsidR="009F3830" w:rsidRPr="007771B5" w:rsidRDefault="002A12E1" w:rsidP="009F3830">
            <w:pPr>
              <w:jc w:val="right"/>
              <w:rPr>
                <w:rFonts w:ascii="Arial" w:hAnsi="Arial" w:cs="Arial"/>
                <w:b/>
                <w:bCs/>
                <w:sz w:val="22"/>
                <w:szCs w:val="22"/>
              </w:rPr>
            </w:pPr>
            <w:r>
              <w:rPr>
                <w:rFonts w:ascii="Arial" w:hAnsi="Arial" w:cs="Arial"/>
                <w:b/>
                <w:bCs/>
                <w:sz w:val="22"/>
                <w:szCs w:val="22"/>
              </w:rPr>
              <w:t>23,314</w:t>
            </w:r>
          </w:p>
        </w:tc>
      </w:tr>
      <w:tr w:rsidR="009F3830" w:rsidRPr="00B64150" w14:paraId="323BB461"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59C80E05"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Pooled Property Income</w:t>
            </w:r>
          </w:p>
        </w:tc>
        <w:tc>
          <w:tcPr>
            <w:tcW w:w="1635" w:type="dxa"/>
            <w:tcBorders>
              <w:top w:val="nil"/>
              <w:left w:val="nil"/>
              <w:bottom w:val="nil"/>
              <w:right w:val="nil"/>
            </w:tcBorders>
            <w:shd w:val="clear" w:color="000000" w:fill="FFFFFF"/>
          </w:tcPr>
          <w:p w14:paraId="6ACEB4E7" w14:textId="671C84AA"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2,337</w:t>
            </w:r>
          </w:p>
        </w:tc>
        <w:tc>
          <w:tcPr>
            <w:tcW w:w="601" w:type="dxa"/>
            <w:tcBorders>
              <w:top w:val="nil"/>
              <w:left w:val="nil"/>
              <w:bottom w:val="nil"/>
              <w:right w:val="nil"/>
            </w:tcBorders>
            <w:shd w:val="clear" w:color="000000" w:fill="FFFFFF"/>
            <w:noWrap/>
          </w:tcPr>
          <w:p w14:paraId="16FEDFA8" w14:textId="77777777"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4AD6EC80" w14:textId="00CAC588" w:rsidR="009F3830" w:rsidRPr="007771B5" w:rsidRDefault="002A12E1" w:rsidP="009F3830">
            <w:pPr>
              <w:jc w:val="right"/>
              <w:rPr>
                <w:rFonts w:ascii="Arial" w:hAnsi="Arial" w:cs="Arial"/>
                <w:b/>
                <w:bCs/>
                <w:sz w:val="22"/>
                <w:szCs w:val="22"/>
              </w:rPr>
            </w:pPr>
            <w:r>
              <w:rPr>
                <w:rFonts w:ascii="Arial" w:hAnsi="Arial" w:cs="Arial"/>
                <w:b/>
                <w:bCs/>
                <w:sz w:val="22"/>
                <w:szCs w:val="22"/>
              </w:rPr>
              <w:t>5,875</w:t>
            </w:r>
          </w:p>
        </w:tc>
      </w:tr>
      <w:tr w:rsidR="009F3830" w:rsidRPr="00B64150" w14:paraId="0FECF27B"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3783CAD3"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Interest - Manager's Cash</w:t>
            </w:r>
          </w:p>
        </w:tc>
        <w:tc>
          <w:tcPr>
            <w:tcW w:w="1635" w:type="dxa"/>
            <w:tcBorders>
              <w:top w:val="nil"/>
              <w:left w:val="nil"/>
              <w:bottom w:val="nil"/>
              <w:right w:val="nil"/>
            </w:tcBorders>
            <w:shd w:val="clear" w:color="000000" w:fill="FFFFFF"/>
          </w:tcPr>
          <w:p w14:paraId="5608D578" w14:textId="2AF6BF31"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1,313</w:t>
            </w:r>
          </w:p>
        </w:tc>
        <w:tc>
          <w:tcPr>
            <w:tcW w:w="601" w:type="dxa"/>
            <w:tcBorders>
              <w:top w:val="nil"/>
              <w:left w:val="nil"/>
              <w:bottom w:val="nil"/>
              <w:right w:val="nil"/>
            </w:tcBorders>
            <w:shd w:val="clear" w:color="000000" w:fill="FFFFFF"/>
            <w:noWrap/>
          </w:tcPr>
          <w:p w14:paraId="2BF24E1D" w14:textId="7FFBD470"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09AB6922" w14:textId="1CE93C78" w:rsidR="009F3830" w:rsidRPr="007771B5" w:rsidRDefault="002A12E1" w:rsidP="009F3830">
            <w:pPr>
              <w:jc w:val="right"/>
              <w:rPr>
                <w:rFonts w:ascii="Arial" w:hAnsi="Arial" w:cs="Arial"/>
                <w:b/>
                <w:bCs/>
                <w:sz w:val="22"/>
                <w:szCs w:val="22"/>
              </w:rPr>
            </w:pPr>
            <w:r>
              <w:rPr>
                <w:rFonts w:ascii="Arial" w:hAnsi="Arial" w:cs="Arial"/>
                <w:b/>
                <w:bCs/>
                <w:sz w:val="22"/>
                <w:szCs w:val="22"/>
              </w:rPr>
              <w:t>2,324</w:t>
            </w:r>
          </w:p>
        </w:tc>
      </w:tr>
      <w:tr w:rsidR="009F3830" w:rsidRPr="00B64150" w14:paraId="59745949"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101F03D8"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Interest - LBBD balance</w:t>
            </w:r>
          </w:p>
        </w:tc>
        <w:tc>
          <w:tcPr>
            <w:tcW w:w="1635" w:type="dxa"/>
            <w:tcBorders>
              <w:top w:val="nil"/>
              <w:left w:val="nil"/>
              <w:bottom w:val="nil"/>
              <w:right w:val="nil"/>
            </w:tcBorders>
            <w:shd w:val="clear" w:color="000000" w:fill="FFFFFF"/>
          </w:tcPr>
          <w:p w14:paraId="10E340ED" w14:textId="53FF7D1C"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396</w:t>
            </w:r>
          </w:p>
        </w:tc>
        <w:tc>
          <w:tcPr>
            <w:tcW w:w="601" w:type="dxa"/>
            <w:tcBorders>
              <w:top w:val="nil"/>
              <w:left w:val="nil"/>
              <w:bottom w:val="nil"/>
              <w:right w:val="nil"/>
            </w:tcBorders>
            <w:shd w:val="clear" w:color="000000" w:fill="FFFFFF"/>
            <w:noWrap/>
          </w:tcPr>
          <w:p w14:paraId="793E7433" w14:textId="2BA1FAC3"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BFCB9E4" w14:textId="1DB5C3D5" w:rsidR="009F3830" w:rsidRPr="007771B5" w:rsidRDefault="00CA5D30" w:rsidP="009F3830">
            <w:pPr>
              <w:jc w:val="right"/>
              <w:rPr>
                <w:rFonts w:ascii="Arial" w:hAnsi="Arial" w:cs="Arial"/>
                <w:b/>
                <w:bCs/>
                <w:sz w:val="22"/>
                <w:szCs w:val="22"/>
              </w:rPr>
            </w:pPr>
            <w:r>
              <w:rPr>
                <w:rFonts w:ascii="Arial" w:hAnsi="Arial" w:cs="Arial"/>
                <w:b/>
                <w:bCs/>
                <w:sz w:val="22"/>
                <w:szCs w:val="22"/>
              </w:rPr>
              <w:t>614</w:t>
            </w:r>
          </w:p>
        </w:tc>
      </w:tr>
      <w:tr w:rsidR="009F3830" w:rsidRPr="00B64150" w14:paraId="04BC0E34" w14:textId="77777777" w:rsidTr="00B53577">
        <w:trPr>
          <w:trHeight w:val="129"/>
          <w:jc w:val="center"/>
        </w:trPr>
        <w:tc>
          <w:tcPr>
            <w:tcW w:w="6715" w:type="dxa"/>
            <w:gridSpan w:val="2"/>
            <w:tcBorders>
              <w:top w:val="nil"/>
              <w:left w:val="nil"/>
              <w:bottom w:val="nil"/>
              <w:right w:val="nil"/>
            </w:tcBorders>
            <w:shd w:val="clear" w:color="000000" w:fill="FFFFFF"/>
            <w:noWrap/>
            <w:vAlign w:val="bottom"/>
          </w:tcPr>
          <w:p w14:paraId="5F92304A" w14:textId="77777777" w:rsidR="009F3830" w:rsidRPr="008A0A4E" w:rsidRDefault="009F3830" w:rsidP="009F3830">
            <w:pPr>
              <w:ind w:left="318" w:firstLine="278"/>
              <w:rPr>
                <w:rFonts w:ascii="Arial" w:hAnsi="Arial" w:cs="Arial"/>
                <w:color w:val="000000"/>
                <w:sz w:val="22"/>
                <w:szCs w:val="22"/>
              </w:rPr>
            </w:pPr>
            <w:r w:rsidRPr="008A0A4E">
              <w:rPr>
                <w:rFonts w:ascii="Arial" w:hAnsi="Arial" w:cs="Arial"/>
                <w:color w:val="000000"/>
                <w:sz w:val="22"/>
                <w:szCs w:val="22"/>
              </w:rPr>
              <w:t>Other Income</w:t>
            </w:r>
          </w:p>
        </w:tc>
        <w:tc>
          <w:tcPr>
            <w:tcW w:w="1635" w:type="dxa"/>
            <w:tcBorders>
              <w:top w:val="nil"/>
              <w:left w:val="nil"/>
              <w:bottom w:val="single" w:sz="8" w:space="0" w:color="auto"/>
              <w:right w:val="nil"/>
            </w:tcBorders>
            <w:shd w:val="clear" w:color="000000" w:fill="FFFFFF"/>
          </w:tcPr>
          <w:p w14:paraId="065380DF" w14:textId="4E47A17E"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5</w:t>
            </w:r>
          </w:p>
        </w:tc>
        <w:tc>
          <w:tcPr>
            <w:tcW w:w="601" w:type="dxa"/>
            <w:tcBorders>
              <w:top w:val="nil"/>
              <w:left w:val="nil"/>
              <w:bottom w:val="nil"/>
              <w:right w:val="nil"/>
            </w:tcBorders>
            <w:shd w:val="clear" w:color="000000" w:fill="FFFFFF"/>
            <w:noWrap/>
          </w:tcPr>
          <w:p w14:paraId="4C839366" w14:textId="4FAA8DF8" w:rsidR="009F3830" w:rsidRPr="00C20D0B" w:rsidRDefault="009F3830" w:rsidP="009F3830">
            <w:pPr>
              <w:ind w:left="318"/>
              <w:jc w:val="right"/>
              <w:rPr>
                <w:rFonts w:ascii="Arial" w:hAnsi="Arial" w:cs="Arial"/>
                <w:color w:val="000000"/>
                <w:sz w:val="22"/>
                <w:szCs w:val="22"/>
              </w:rPr>
            </w:pPr>
          </w:p>
        </w:tc>
        <w:tc>
          <w:tcPr>
            <w:tcW w:w="1315" w:type="dxa"/>
            <w:tcBorders>
              <w:top w:val="nil"/>
              <w:left w:val="nil"/>
              <w:bottom w:val="single" w:sz="8" w:space="0" w:color="auto"/>
              <w:right w:val="nil"/>
            </w:tcBorders>
            <w:shd w:val="clear" w:color="000000" w:fill="FFFFFF"/>
            <w:noWrap/>
          </w:tcPr>
          <w:p w14:paraId="6EBA8638" w14:textId="202FEE6F" w:rsidR="009F3830" w:rsidRPr="007771B5" w:rsidRDefault="00CA5D30" w:rsidP="009F3830">
            <w:pPr>
              <w:jc w:val="right"/>
              <w:rPr>
                <w:rFonts w:ascii="Arial" w:hAnsi="Arial" w:cs="Arial"/>
                <w:b/>
                <w:bCs/>
                <w:sz w:val="22"/>
                <w:szCs w:val="22"/>
              </w:rPr>
            </w:pPr>
            <w:r>
              <w:rPr>
                <w:rFonts w:ascii="Arial" w:hAnsi="Arial" w:cs="Arial"/>
                <w:b/>
                <w:bCs/>
                <w:sz w:val="22"/>
                <w:szCs w:val="22"/>
              </w:rPr>
              <w:t>30</w:t>
            </w:r>
          </w:p>
        </w:tc>
      </w:tr>
      <w:tr w:rsidR="009F3830" w:rsidRPr="00B64150" w14:paraId="23B87F48" w14:textId="77777777" w:rsidTr="00B53577">
        <w:trPr>
          <w:trHeight w:val="85"/>
          <w:jc w:val="center"/>
        </w:trPr>
        <w:tc>
          <w:tcPr>
            <w:tcW w:w="6715" w:type="dxa"/>
            <w:gridSpan w:val="2"/>
            <w:tcBorders>
              <w:top w:val="nil"/>
              <w:left w:val="nil"/>
              <w:bottom w:val="nil"/>
              <w:right w:val="nil"/>
            </w:tcBorders>
            <w:shd w:val="clear" w:color="000000" w:fill="FFFFFF"/>
            <w:noWrap/>
            <w:vAlign w:val="bottom"/>
          </w:tcPr>
          <w:p w14:paraId="3D799E1C" w14:textId="77777777" w:rsidR="009F3830" w:rsidRPr="008A0A4E" w:rsidRDefault="009F3830" w:rsidP="009F3830">
            <w:pPr>
              <w:rPr>
                <w:rFonts w:ascii="Arial" w:hAnsi="Arial" w:cs="Arial"/>
                <w:color w:val="000000"/>
                <w:sz w:val="22"/>
                <w:szCs w:val="22"/>
              </w:rPr>
            </w:pPr>
          </w:p>
        </w:tc>
        <w:tc>
          <w:tcPr>
            <w:tcW w:w="1635" w:type="dxa"/>
            <w:tcBorders>
              <w:top w:val="single" w:sz="8" w:space="0" w:color="auto"/>
              <w:left w:val="nil"/>
              <w:bottom w:val="single" w:sz="8" w:space="0" w:color="auto"/>
              <w:right w:val="nil"/>
            </w:tcBorders>
            <w:shd w:val="clear" w:color="000000" w:fill="FFFFFF"/>
          </w:tcPr>
          <w:p w14:paraId="7DB35B01" w14:textId="2514335A" w:rsidR="009F3830" w:rsidRPr="009F3830" w:rsidRDefault="009F3830" w:rsidP="009F3830">
            <w:pPr>
              <w:jc w:val="right"/>
              <w:rPr>
                <w:rFonts w:ascii="Arial" w:hAnsi="Arial" w:cs="Arial"/>
                <w:color w:val="000000"/>
                <w:sz w:val="22"/>
                <w:szCs w:val="22"/>
              </w:rPr>
            </w:pPr>
            <w:r w:rsidRPr="009F3830">
              <w:rPr>
                <w:rFonts w:ascii="Arial" w:hAnsi="Arial" w:cs="Arial"/>
                <w:sz w:val="22"/>
                <w:szCs w:val="22"/>
              </w:rPr>
              <w:t>31,683</w:t>
            </w:r>
          </w:p>
        </w:tc>
        <w:tc>
          <w:tcPr>
            <w:tcW w:w="601" w:type="dxa"/>
            <w:tcBorders>
              <w:top w:val="nil"/>
              <w:left w:val="nil"/>
              <w:bottom w:val="nil"/>
              <w:right w:val="nil"/>
            </w:tcBorders>
            <w:shd w:val="clear" w:color="000000" w:fill="FFFFFF"/>
            <w:noWrap/>
          </w:tcPr>
          <w:p w14:paraId="64B73676" w14:textId="30401254" w:rsidR="009F3830" w:rsidRPr="00C20D0B" w:rsidRDefault="009F3830" w:rsidP="009F3830">
            <w:pPr>
              <w:ind w:left="318"/>
              <w:rPr>
                <w:rFonts w:ascii="Arial" w:hAnsi="Arial" w:cs="Arial"/>
                <w:color w:val="000000"/>
                <w:sz w:val="22"/>
                <w:szCs w:val="22"/>
              </w:rPr>
            </w:pPr>
          </w:p>
        </w:tc>
        <w:tc>
          <w:tcPr>
            <w:tcW w:w="1315" w:type="dxa"/>
            <w:tcBorders>
              <w:top w:val="single" w:sz="8" w:space="0" w:color="auto"/>
              <w:left w:val="nil"/>
              <w:bottom w:val="single" w:sz="8" w:space="0" w:color="auto"/>
              <w:right w:val="nil"/>
            </w:tcBorders>
            <w:shd w:val="clear" w:color="000000" w:fill="FFFFFF"/>
            <w:noWrap/>
          </w:tcPr>
          <w:p w14:paraId="63B14BDE" w14:textId="2A6F6D62" w:rsidR="009F3830" w:rsidRPr="007771B5" w:rsidRDefault="00CA5D30" w:rsidP="009F3830">
            <w:pPr>
              <w:jc w:val="right"/>
              <w:rPr>
                <w:rFonts w:ascii="Arial" w:hAnsi="Arial" w:cs="Arial"/>
                <w:b/>
                <w:bCs/>
                <w:sz w:val="22"/>
                <w:szCs w:val="22"/>
              </w:rPr>
            </w:pPr>
            <w:r>
              <w:rPr>
                <w:rFonts w:ascii="Arial" w:hAnsi="Arial" w:cs="Arial"/>
                <w:b/>
                <w:bCs/>
                <w:sz w:val="22"/>
                <w:szCs w:val="22"/>
              </w:rPr>
              <w:t>32,872</w:t>
            </w:r>
          </w:p>
        </w:tc>
      </w:tr>
    </w:tbl>
    <w:p w14:paraId="36E3BCB1" w14:textId="77777777" w:rsidR="00116BFB" w:rsidRDefault="00116BFB" w:rsidP="00072EAC">
      <w:pPr>
        <w:jc w:val="both"/>
        <w:rPr>
          <w:rFonts w:ascii="Arial" w:hAnsi="Arial" w:cs="Arial"/>
        </w:rPr>
      </w:pPr>
    </w:p>
    <w:p w14:paraId="02FEBE4A" w14:textId="3161843A" w:rsidR="00730189" w:rsidRPr="00B90AA9" w:rsidRDefault="003C45DA" w:rsidP="00B90AA9">
      <w:pPr>
        <w:pStyle w:val="ListParagraph"/>
        <w:numPr>
          <w:ilvl w:val="0"/>
          <w:numId w:val="24"/>
        </w:numPr>
        <w:spacing w:after="0" w:line="240" w:lineRule="auto"/>
        <w:jc w:val="both"/>
        <w:rPr>
          <w:rFonts w:ascii="Arial" w:hAnsi="Arial" w:cs="Arial"/>
        </w:rPr>
      </w:pPr>
      <w:r w:rsidRPr="007B6CEB">
        <w:rPr>
          <w:rFonts w:ascii="Arial" w:hAnsi="Arial" w:cs="Arial"/>
          <w:b/>
          <w:color w:val="000000"/>
        </w:rPr>
        <w:t>Investments</w:t>
      </w:r>
      <w:r w:rsidR="002F56EF" w:rsidRPr="002F56EF">
        <w:rPr>
          <w:rFonts w:ascii="Arial" w:hAnsi="Arial" w:cs="Arial"/>
          <w:b/>
          <w:color w:val="000000"/>
        </w:rPr>
        <w:t xml:space="preserve">: </w:t>
      </w:r>
      <w:r w:rsidRPr="00E31FC5">
        <w:rPr>
          <w:rFonts w:ascii="Arial" w:hAnsi="Arial" w:cs="Arial"/>
        </w:rPr>
        <w:t>The movement in the opening and closing</w:t>
      </w:r>
      <w:r w:rsidR="004C7743">
        <w:rPr>
          <w:rFonts w:ascii="Arial" w:hAnsi="Arial" w:cs="Arial"/>
        </w:rPr>
        <w:t xml:space="preserve"> marke</w:t>
      </w:r>
      <w:r w:rsidR="003F7B5E">
        <w:rPr>
          <w:rFonts w:ascii="Arial" w:hAnsi="Arial" w:cs="Arial"/>
        </w:rPr>
        <w:t>t</w:t>
      </w:r>
      <w:r w:rsidRPr="00E31FC5">
        <w:rPr>
          <w:rFonts w:ascii="Arial" w:hAnsi="Arial" w:cs="Arial"/>
        </w:rPr>
        <w:t xml:space="preserve"> value of investm</w:t>
      </w:r>
      <w:r w:rsidRPr="008A0A4E">
        <w:rPr>
          <w:rFonts w:ascii="Arial" w:hAnsi="Arial" w:cs="Arial"/>
        </w:rPr>
        <w:t>ents during the year</w:t>
      </w:r>
      <w:r w:rsidR="004D360E">
        <w:rPr>
          <w:rFonts w:ascii="Arial" w:hAnsi="Arial" w:cs="Arial"/>
        </w:rPr>
        <w:t xml:space="preserve"> </w:t>
      </w:r>
      <w:r w:rsidRPr="008A0A4E">
        <w:rPr>
          <w:rFonts w:ascii="Arial" w:hAnsi="Arial" w:cs="Arial"/>
        </w:rPr>
        <w:t>were as follows:</w:t>
      </w:r>
    </w:p>
    <w:p w14:paraId="2343DE8C" w14:textId="051A831C" w:rsidR="00411E05" w:rsidRDefault="00411E05" w:rsidP="00517F4D">
      <w:pPr>
        <w:tabs>
          <w:tab w:val="left" w:pos="284"/>
        </w:tabs>
        <w:jc w:val="both"/>
        <w:rPr>
          <w:rFonts w:ascii="Arial" w:hAnsi="Arial" w:cs="Arial"/>
          <w:sz w:val="20"/>
          <w:szCs w:val="20"/>
        </w:rPr>
      </w:pPr>
    </w:p>
    <w:tbl>
      <w:tblPr>
        <w:tblpPr w:leftFromText="180" w:rightFromText="180" w:vertAnchor="text" w:tblpY="1"/>
        <w:tblOverlap w:val="never"/>
        <w:tblW w:w="9781" w:type="dxa"/>
        <w:tblLook w:val="04A0" w:firstRow="1" w:lastRow="0" w:firstColumn="1" w:lastColumn="0" w:noHBand="0" w:noVBand="1"/>
      </w:tblPr>
      <w:tblGrid>
        <w:gridCol w:w="2667"/>
        <w:gridCol w:w="820"/>
        <w:gridCol w:w="820"/>
        <w:gridCol w:w="1363"/>
        <w:gridCol w:w="1985"/>
        <w:gridCol w:w="2126"/>
      </w:tblGrid>
      <w:tr w:rsidR="0085783A" w14:paraId="2C4C4277" w14:textId="77777777" w:rsidTr="0015444A">
        <w:trPr>
          <w:trHeight w:val="849"/>
        </w:trPr>
        <w:tc>
          <w:tcPr>
            <w:tcW w:w="2667" w:type="dxa"/>
            <w:tcBorders>
              <w:top w:val="nil"/>
              <w:left w:val="nil"/>
              <w:bottom w:val="nil"/>
              <w:right w:val="nil"/>
            </w:tcBorders>
            <w:shd w:val="clear" w:color="000000" w:fill="FFFFFF"/>
            <w:vAlign w:val="center"/>
            <w:hideMark/>
          </w:tcPr>
          <w:p w14:paraId="5F9BA046" w14:textId="70CDD83E" w:rsidR="0085783A" w:rsidRDefault="0085783A" w:rsidP="007E5A7B">
            <w:pPr>
              <w:rPr>
                <w:rFonts w:ascii="Arial" w:hAnsi="Arial" w:cs="Arial"/>
                <w:b/>
                <w:bCs/>
                <w:color w:val="000000"/>
                <w:sz w:val="22"/>
                <w:szCs w:val="22"/>
              </w:rPr>
            </w:pPr>
            <w:r>
              <w:rPr>
                <w:rFonts w:ascii="Arial" w:hAnsi="Arial" w:cs="Arial"/>
                <w:b/>
                <w:bCs/>
                <w:color w:val="000000"/>
                <w:sz w:val="22"/>
                <w:szCs w:val="22"/>
              </w:rPr>
              <w:t xml:space="preserve">Investment Assets                                                 </w:t>
            </w:r>
          </w:p>
        </w:tc>
        <w:tc>
          <w:tcPr>
            <w:tcW w:w="820" w:type="dxa"/>
            <w:tcBorders>
              <w:top w:val="nil"/>
              <w:left w:val="nil"/>
              <w:bottom w:val="nil"/>
              <w:right w:val="nil"/>
            </w:tcBorders>
            <w:shd w:val="clear" w:color="000000" w:fill="FFFFFF"/>
          </w:tcPr>
          <w:p w14:paraId="42E699B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D9909A7" w14:textId="7DFF36CF"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4622DF84"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70608F05" w14:textId="5FEBD7E5" w:rsidR="0085783A" w:rsidRPr="004A3AC2" w:rsidRDefault="0085783A" w:rsidP="007E5A7B">
            <w:pPr>
              <w:jc w:val="right"/>
              <w:rPr>
                <w:rFonts w:ascii="Arial" w:hAnsi="Arial" w:cs="Arial"/>
                <w:b/>
                <w:bCs/>
                <w:color w:val="000000"/>
                <w:sz w:val="22"/>
                <w:szCs w:val="22"/>
              </w:rPr>
            </w:pPr>
            <w:r w:rsidRPr="004A3AC2">
              <w:rPr>
                <w:rFonts w:ascii="Arial" w:hAnsi="Arial" w:cs="Arial"/>
                <w:b/>
                <w:bCs/>
                <w:color w:val="000000"/>
                <w:sz w:val="22"/>
                <w:szCs w:val="22"/>
              </w:rPr>
              <w:t xml:space="preserve"> Market Value as </w:t>
            </w:r>
            <w:proofErr w:type="gramStart"/>
            <w:r w:rsidRPr="004A3AC2">
              <w:rPr>
                <w:rFonts w:ascii="Arial" w:hAnsi="Arial" w:cs="Arial"/>
                <w:b/>
                <w:bCs/>
                <w:color w:val="000000"/>
                <w:sz w:val="22"/>
                <w:szCs w:val="22"/>
              </w:rPr>
              <w:t>at</w:t>
            </w:r>
            <w:proofErr w:type="gramEnd"/>
            <w:r w:rsidRPr="004A3AC2">
              <w:rPr>
                <w:rFonts w:ascii="Arial" w:hAnsi="Arial" w:cs="Arial"/>
                <w:b/>
                <w:bCs/>
                <w:color w:val="000000"/>
                <w:sz w:val="22"/>
                <w:szCs w:val="22"/>
              </w:rPr>
              <w:t xml:space="preserve"> 31 March 202</w:t>
            </w:r>
            <w:r w:rsidR="00BD1872" w:rsidRPr="004A3AC2">
              <w:rPr>
                <w:rFonts w:ascii="Arial" w:hAnsi="Arial" w:cs="Arial"/>
                <w:b/>
                <w:bCs/>
                <w:color w:val="000000"/>
                <w:sz w:val="22"/>
                <w:szCs w:val="22"/>
              </w:rPr>
              <w:t>4</w:t>
            </w:r>
          </w:p>
        </w:tc>
        <w:tc>
          <w:tcPr>
            <w:tcW w:w="2126" w:type="dxa"/>
            <w:tcBorders>
              <w:top w:val="nil"/>
              <w:left w:val="nil"/>
              <w:bottom w:val="nil"/>
              <w:right w:val="nil"/>
            </w:tcBorders>
            <w:shd w:val="clear" w:color="000000" w:fill="FFFFFF"/>
            <w:vAlign w:val="center"/>
            <w:hideMark/>
          </w:tcPr>
          <w:p w14:paraId="435B9ABE" w14:textId="559B6E7F"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xml:space="preserve">  Market Value as </w:t>
            </w:r>
            <w:proofErr w:type="gramStart"/>
            <w:r>
              <w:rPr>
                <w:rFonts w:ascii="Arial" w:hAnsi="Arial" w:cs="Arial"/>
                <w:b/>
                <w:bCs/>
                <w:color w:val="000000"/>
                <w:sz w:val="22"/>
                <w:szCs w:val="22"/>
              </w:rPr>
              <w:t>at</w:t>
            </w:r>
            <w:proofErr w:type="gramEnd"/>
            <w:r>
              <w:rPr>
                <w:rFonts w:ascii="Arial" w:hAnsi="Arial" w:cs="Arial"/>
                <w:b/>
                <w:bCs/>
                <w:color w:val="000000"/>
                <w:sz w:val="22"/>
                <w:szCs w:val="22"/>
              </w:rPr>
              <w:t xml:space="preserve"> 31 March 202</w:t>
            </w:r>
            <w:r w:rsidR="00BD1872">
              <w:rPr>
                <w:rFonts w:ascii="Arial" w:hAnsi="Arial" w:cs="Arial"/>
                <w:b/>
                <w:bCs/>
                <w:color w:val="000000"/>
                <w:sz w:val="22"/>
                <w:szCs w:val="22"/>
              </w:rPr>
              <w:t>5</w:t>
            </w:r>
          </w:p>
        </w:tc>
      </w:tr>
      <w:tr w:rsidR="0085783A" w14:paraId="68528650" w14:textId="77777777" w:rsidTr="0015444A">
        <w:trPr>
          <w:trHeight w:val="283"/>
        </w:trPr>
        <w:tc>
          <w:tcPr>
            <w:tcW w:w="2667" w:type="dxa"/>
            <w:tcBorders>
              <w:top w:val="nil"/>
              <w:left w:val="nil"/>
              <w:bottom w:val="nil"/>
              <w:right w:val="nil"/>
            </w:tcBorders>
            <w:shd w:val="clear" w:color="000000" w:fill="FFFFFF"/>
            <w:vAlign w:val="center"/>
            <w:hideMark/>
          </w:tcPr>
          <w:p w14:paraId="049EA819" w14:textId="77777777" w:rsidR="0085783A" w:rsidRDefault="0085783A" w:rsidP="007E5A7B">
            <w:pPr>
              <w:rPr>
                <w:rFonts w:ascii="Arial" w:hAnsi="Arial" w:cs="Arial"/>
                <w:b/>
                <w:bCs/>
                <w:color w:val="000000"/>
                <w:sz w:val="22"/>
                <w:szCs w:val="22"/>
              </w:rPr>
            </w:pPr>
            <w:r>
              <w:rPr>
                <w:rFonts w:ascii="Arial" w:hAnsi="Arial" w:cs="Arial"/>
                <w:b/>
                <w:bCs/>
                <w:color w:val="000000"/>
                <w:sz w:val="22"/>
                <w:szCs w:val="22"/>
              </w:rPr>
              <w:t> </w:t>
            </w:r>
          </w:p>
        </w:tc>
        <w:tc>
          <w:tcPr>
            <w:tcW w:w="820" w:type="dxa"/>
            <w:tcBorders>
              <w:top w:val="nil"/>
              <w:left w:val="nil"/>
              <w:bottom w:val="nil"/>
              <w:right w:val="nil"/>
            </w:tcBorders>
            <w:shd w:val="clear" w:color="000000" w:fill="FFFFFF"/>
          </w:tcPr>
          <w:p w14:paraId="024A40A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357FCCBA" w14:textId="09544E3D"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09007DCD"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55A38AE4" w14:textId="0E485C10" w:rsidR="0085783A" w:rsidRPr="004A3AC2" w:rsidRDefault="0085783A" w:rsidP="007E5A7B">
            <w:pPr>
              <w:jc w:val="right"/>
              <w:rPr>
                <w:rFonts w:ascii="Arial" w:hAnsi="Arial" w:cs="Arial"/>
                <w:b/>
                <w:bCs/>
                <w:color w:val="000000"/>
                <w:sz w:val="22"/>
                <w:szCs w:val="22"/>
              </w:rPr>
            </w:pPr>
            <w:r w:rsidRPr="004A3AC2">
              <w:rPr>
                <w:rFonts w:ascii="Arial" w:hAnsi="Arial" w:cs="Arial"/>
                <w:b/>
                <w:bCs/>
                <w:color w:val="000000"/>
                <w:sz w:val="22"/>
                <w:szCs w:val="22"/>
              </w:rPr>
              <w:t>£'000</w:t>
            </w:r>
          </w:p>
        </w:tc>
        <w:tc>
          <w:tcPr>
            <w:tcW w:w="2126" w:type="dxa"/>
            <w:tcBorders>
              <w:top w:val="nil"/>
              <w:left w:val="nil"/>
              <w:bottom w:val="nil"/>
              <w:right w:val="nil"/>
            </w:tcBorders>
            <w:shd w:val="clear" w:color="000000" w:fill="FFFFFF"/>
            <w:vAlign w:val="center"/>
            <w:hideMark/>
          </w:tcPr>
          <w:p w14:paraId="7E14356D" w14:textId="6A7B3B92"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£'000</w:t>
            </w:r>
          </w:p>
        </w:tc>
      </w:tr>
      <w:tr w:rsidR="0085783A" w14:paraId="4FA12229" w14:textId="77777777" w:rsidTr="00BD1872">
        <w:trPr>
          <w:trHeight w:val="155"/>
        </w:trPr>
        <w:tc>
          <w:tcPr>
            <w:tcW w:w="2667" w:type="dxa"/>
            <w:tcBorders>
              <w:top w:val="nil"/>
              <w:left w:val="nil"/>
              <w:bottom w:val="nil"/>
              <w:right w:val="nil"/>
            </w:tcBorders>
            <w:shd w:val="clear" w:color="000000" w:fill="FFFFFF"/>
            <w:vAlign w:val="center"/>
            <w:hideMark/>
          </w:tcPr>
          <w:p w14:paraId="40F7A4AC" w14:textId="77777777" w:rsidR="0085783A" w:rsidRDefault="0085783A" w:rsidP="007E5A7B">
            <w:pPr>
              <w:rPr>
                <w:rFonts w:ascii="Arial" w:hAnsi="Arial" w:cs="Arial"/>
                <w:b/>
                <w:bCs/>
                <w:color w:val="000000"/>
                <w:sz w:val="22"/>
                <w:szCs w:val="22"/>
              </w:rPr>
            </w:pPr>
            <w:r>
              <w:rPr>
                <w:rFonts w:ascii="Arial" w:hAnsi="Arial" w:cs="Arial"/>
                <w:b/>
                <w:bCs/>
                <w:color w:val="000000"/>
                <w:sz w:val="22"/>
                <w:szCs w:val="22"/>
              </w:rPr>
              <w:t> </w:t>
            </w:r>
          </w:p>
        </w:tc>
        <w:tc>
          <w:tcPr>
            <w:tcW w:w="820" w:type="dxa"/>
            <w:tcBorders>
              <w:top w:val="nil"/>
              <w:left w:val="nil"/>
              <w:bottom w:val="nil"/>
              <w:right w:val="nil"/>
            </w:tcBorders>
            <w:shd w:val="clear" w:color="000000" w:fill="FFFFFF"/>
          </w:tcPr>
          <w:p w14:paraId="3C284DCB"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7031780" w14:textId="5C58224A"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6D0A515"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77752CC1" w14:textId="758051D7" w:rsidR="0085783A" w:rsidRDefault="0085783A" w:rsidP="007E5A7B">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nil"/>
              <w:right w:val="nil"/>
            </w:tcBorders>
            <w:shd w:val="clear" w:color="000000" w:fill="FFFFFF"/>
            <w:vAlign w:val="center"/>
            <w:hideMark/>
          </w:tcPr>
          <w:p w14:paraId="6542D2E2" w14:textId="3A51881C"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w:t>
            </w:r>
          </w:p>
        </w:tc>
      </w:tr>
      <w:tr w:rsidR="00BB6F70" w14:paraId="5B5B7BFD" w14:textId="77777777" w:rsidTr="00BB6F70">
        <w:trPr>
          <w:trHeight w:val="283"/>
        </w:trPr>
        <w:tc>
          <w:tcPr>
            <w:tcW w:w="2667" w:type="dxa"/>
            <w:tcBorders>
              <w:top w:val="nil"/>
              <w:left w:val="nil"/>
              <w:bottom w:val="nil"/>
              <w:right w:val="nil"/>
            </w:tcBorders>
            <w:shd w:val="clear" w:color="000000" w:fill="FFFFFF"/>
            <w:vAlign w:val="center"/>
            <w:hideMark/>
          </w:tcPr>
          <w:p w14:paraId="73A8549C" w14:textId="77777777" w:rsidR="00BB6F70" w:rsidRDefault="00BB6F70" w:rsidP="00BB6F70">
            <w:pPr>
              <w:rPr>
                <w:rFonts w:ascii="Arial" w:hAnsi="Arial" w:cs="Arial"/>
                <w:color w:val="000000"/>
                <w:sz w:val="22"/>
                <w:szCs w:val="22"/>
              </w:rPr>
            </w:pPr>
            <w:r>
              <w:rPr>
                <w:rFonts w:ascii="Arial" w:hAnsi="Arial" w:cs="Arial"/>
                <w:color w:val="000000"/>
                <w:sz w:val="22"/>
                <w:szCs w:val="22"/>
              </w:rPr>
              <w:t>Bonds</w:t>
            </w:r>
          </w:p>
        </w:tc>
        <w:tc>
          <w:tcPr>
            <w:tcW w:w="820" w:type="dxa"/>
            <w:tcBorders>
              <w:top w:val="nil"/>
              <w:left w:val="nil"/>
              <w:bottom w:val="nil"/>
              <w:right w:val="nil"/>
            </w:tcBorders>
            <w:shd w:val="clear" w:color="000000" w:fill="FFFFFF"/>
          </w:tcPr>
          <w:p w14:paraId="0EB1FC9B"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50C3CD88" w14:textId="470B11AD"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18AB8717"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BC2DD16" w14:textId="1CADD317"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119,346</w:t>
            </w:r>
          </w:p>
        </w:tc>
        <w:tc>
          <w:tcPr>
            <w:tcW w:w="2126" w:type="dxa"/>
            <w:tcBorders>
              <w:top w:val="nil"/>
              <w:left w:val="nil"/>
              <w:bottom w:val="nil"/>
              <w:right w:val="nil"/>
            </w:tcBorders>
            <w:shd w:val="clear" w:color="000000" w:fill="FFFFFF"/>
            <w:vAlign w:val="center"/>
          </w:tcPr>
          <w:p w14:paraId="1DA84493" w14:textId="4BDF8776" w:rsidR="00BB6F70" w:rsidRDefault="000D6EC5" w:rsidP="00BB6F70">
            <w:pPr>
              <w:jc w:val="right"/>
              <w:rPr>
                <w:rFonts w:ascii="Arial" w:hAnsi="Arial" w:cs="Arial"/>
                <w:b/>
                <w:bCs/>
                <w:color w:val="000000"/>
                <w:sz w:val="22"/>
                <w:szCs w:val="22"/>
              </w:rPr>
            </w:pPr>
            <w:r>
              <w:rPr>
                <w:rFonts w:ascii="Arial" w:hAnsi="Arial" w:cs="Arial"/>
                <w:b/>
                <w:bCs/>
                <w:color w:val="000000"/>
                <w:sz w:val="22"/>
                <w:szCs w:val="22"/>
              </w:rPr>
              <w:t>124,645</w:t>
            </w:r>
          </w:p>
        </w:tc>
      </w:tr>
      <w:tr w:rsidR="00BB6F70" w14:paraId="6C2994F6" w14:textId="77777777" w:rsidTr="00BB6F70">
        <w:trPr>
          <w:trHeight w:val="283"/>
        </w:trPr>
        <w:tc>
          <w:tcPr>
            <w:tcW w:w="2667" w:type="dxa"/>
            <w:tcBorders>
              <w:top w:val="nil"/>
              <w:left w:val="nil"/>
              <w:bottom w:val="nil"/>
              <w:right w:val="nil"/>
            </w:tcBorders>
            <w:shd w:val="clear" w:color="000000" w:fill="FFFFFF"/>
            <w:vAlign w:val="center"/>
            <w:hideMark/>
          </w:tcPr>
          <w:p w14:paraId="5FB088C7" w14:textId="77777777" w:rsidR="00BB6F70" w:rsidRDefault="00BB6F70" w:rsidP="00BB6F70">
            <w:pPr>
              <w:rPr>
                <w:rFonts w:ascii="Arial" w:hAnsi="Arial" w:cs="Arial"/>
                <w:color w:val="000000"/>
                <w:sz w:val="22"/>
                <w:szCs w:val="22"/>
              </w:rPr>
            </w:pPr>
            <w:r>
              <w:rPr>
                <w:rFonts w:ascii="Arial" w:hAnsi="Arial" w:cs="Arial"/>
                <w:color w:val="000000"/>
                <w:sz w:val="22"/>
                <w:szCs w:val="22"/>
              </w:rPr>
              <w:t>Equities</w:t>
            </w:r>
          </w:p>
        </w:tc>
        <w:tc>
          <w:tcPr>
            <w:tcW w:w="820" w:type="dxa"/>
            <w:tcBorders>
              <w:top w:val="nil"/>
              <w:left w:val="nil"/>
              <w:bottom w:val="nil"/>
              <w:right w:val="nil"/>
            </w:tcBorders>
            <w:shd w:val="clear" w:color="000000" w:fill="FFFFFF"/>
          </w:tcPr>
          <w:p w14:paraId="1B6C2E4C"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45ADCD7C" w14:textId="4891C62B"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31DB1B7"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27C1B67" w14:textId="1D5F26D1"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552,057</w:t>
            </w:r>
          </w:p>
        </w:tc>
        <w:tc>
          <w:tcPr>
            <w:tcW w:w="2126" w:type="dxa"/>
            <w:tcBorders>
              <w:top w:val="nil"/>
              <w:left w:val="nil"/>
              <w:bottom w:val="nil"/>
              <w:right w:val="nil"/>
            </w:tcBorders>
            <w:shd w:val="clear" w:color="000000" w:fill="FFFFFF"/>
            <w:vAlign w:val="center"/>
          </w:tcPr>
          <w:p w14:paraId="3E34017B" w14:textId="6DDC2E2B" w:rsidR="00BB6F70" w:rsidRDefault="00577EA4" w:rsidP="00BB6F70">
            <w:pPr>
              <w:jc w:val="right"/>
              <w:rPr>
                <w:rFonts w:ascii="Arial" w:hAnsi="Arial" w:cs="Arial"/>
                <w:b/>
                <w:bCs/>
                <w:color w:val="000000"/>
                <w:sz w:val="22"/>
                <w:szCs w:val="22"/>
              </w:rPr>
            </w:pPr>
            <w:r>
              <w:rPr>
                <w:rFonts w:ascii="Arial" w:hAnsi="Arial" w:cs="Arial"/>
                <w:b/>
                <w:bCs/>
                <w:color w:val="000000"/>
                <w:sz w:val="22"/>
                <w:szCs w:val="22"/>
              </w:rPr>
              <w:t>583,738</w:t>
            </w:r>
          </w:p>
        </w:tc>
      </w:tr>
      <w:tr w:rsidR="00BB6F70" w14:paraId="6919D870" w14:textId="77777777" w:rsidTr="00BB6F70">
        <w:trPr>
          <w:trHeight w:val="283"/>
        </w:trPr>
        <w:tc>
          <w:tcPr>
            <w:tcW w:w="2667" w:type="dxa"/>
            <w:tcBorders>
              <w:top w:val="nil"/>
              <w:left w:val="nil"/>
              <w:bottom w:val="nil"/>
              <w:right w:val="nil"/>
            </w:tcBorders>
            <w:shd w:val="clear" w:color="000000" w:fill="FFFFFF"/>
            <w:vAlign w:val="center"/>
            <w:hideMark/>
          </w:tcPr>
          <w:p w14:paraId="124493F0" w14:textId="6545F46F" w:rsidR="00BB6F70" w:rsidRDefault="00BB6F70" w:rsidP="00BB6F70">
            <w:pPr>
              <w:rPr>
                <w:rFonts w:ascii="Arial" w:hAnsi="Arial" w:cs="Arial"/>
                <w:color w:val="000000"/>
                <w:sz w:val="22"/>
                <w:szCs w:val="22"/>
              </w:rPr>
            </w:pPr>
            <w:r>
              <w:rPr>
                <w:rFonts w:ascii="Arial" w:hAnsi="Arial" w:cs="Arial"/>
                <w:color w:val="000000"/>
                <w:sz w:val="22"/>
                <w:szCs w:val="22"/>
              </w:rPr>
              <w:t>Pooled Investments</w:t>
            </w:r>
            <w:r w:rsidR="00577EA4">
              <w:rPr>
                <w:rFonts w:ascii="Arial" w:hAnsi="Arial" w:cs="Arial"/>
                <w:color w:val="000000"/>
                <w:sz w:val="22"/>
                <w:szCs w:val="22"/>
              </w:rPr>
              <w:t>:</w:t>
            </w:r>
          </w:p>
        </w:tc>
        <w:tc>
          <w:tcPr>
            <w:tcW w:w="820" w:type="dxa"/>
            <w:tcBorders>
              <w:top w:val="nil"/>
              <w:left w:val="nil"/>
              <w:bottom w:val="nil"/>
              <w:right w:val="nil"/>
            </w:tcBorders>
            <w:shd w:val="clear" w:color="000000" w:fill="FFFFFF"/>
          </w:tcPr>
          <w:p w14:paraId="2CF0580E"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5631FA97" w14:textId="6505DCB1"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4A0E6009"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6BEC0752" w14:textId="3071D05A"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 </w:t>
            </w:r>
          </w:p>
        </w:tc>
        <w:tc>
          <w:tcPr>
            <w:tcW w:w="2126" w:type="dxa"/>
            <w:tcBorders>
              <w:top w:val="nil"/>
              <w:left w:val="nil"/>
              <w:bottom w:val="nil"/>
              <w:right w:val="nil"/>
            </w:tcBorders>
            <w:shd w:val="clear" w:color="000000" w:fill="FFFFFF"/>
            <w:vAlign w:val="center"/>
          </w:tcPr>
          <w:p w14:paraId="58E1CA47" w14:textId="530DA23E" w:rsidR="00BB6F70" w:rsidRDefault="00BB6F70" w:rsidP="00BB6F70">
            <w:pPr>
              <w:jc w:val="right"/>
              <w:rPr>
                <w:rFonts w:ascii="Arial" w:hAnsi="Arial" w:cs="Arial"/>
                <w:b/>
                <w:bCs/>
                <w:color w:val="000000"/>
                <w:sz w:val="22"/>
                <w:szCs w:val="22"/>
              </w:rPr>
            </w:pPr>
          </w:p>
        </w:tc>
      </w:tr>
      <w:tr w:rsidR="00BB6F70" w14:paraId="505D4C88" w14:textId="77777777" w:rsidTr="00BB6F70">
        <w:trPr>
          <w:trHeight w:val="283"/>
        </w:trPr>
        <w:tc>
          <w:tcPr>
            <w:tcW w:w="2667" w:type="dxa"/>
            <w:tcBorders>
              <w:top w:val="nil"/>
              <w:left w:val="nil"/>
              <w:bottom w:val="nil"/>
              <w:right w:val="nil"/>
            </w:tcBorders>
            <w:shd w:val="clear" w:color="000000" w:fill="FFFFFF"/>
            <w:vAlign w:val="center"/>
            <w:hideMark/>
          </w:tcPr>
          <w:p w14:paraId="1F9127F1" w14:textId="77777777" w:rsidR="00BB6F70" w:rsidRDefault="00BB6F70" w:rsidP="00BB6F70">
            <w:pPr>
              <w:rPr>
                <w:rFonts w:ascii="Arial" w:hAnsi="Arial" w:cs="Arial"/>
                <w:color w:val="000000"/>
                <w:sz w:val="22"/>
                <w:szCs w:val="22"/>
              </w:rPr>
            </w:pPr>
            <w:r>
              <w:rPr>
                <w:rFonts w:ascii="Arial" w:hAnsi="Arial" w:cs="Arial"/>
                <w:color w:val="000000"/>
                <w:sz w:val="22"/>
                <w:szCs w:val="22"/>
              </w:rPr>
              <w:t>Fixed Income</w:t>
            </w:r>
          </w:p>
        </w:tc>
        <w:tc>
          <w:tcPr>
            <w:tcW w:w="820" w:type="dxa"/>
            <w:tcBorders>
              <w:top w:val="nil"/>
              <w:left w:val="nil"/>
              <w:bottom w:val="nil"/>
              <w:right w:val="nil"/>
            </w:tcBorders>
            <w:shd w:val="clear" w:color="000000" w:fill="FFFFFF"/>
          </w:tcPr>
          <w:p w14:paraId="138AB7C3"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65B62C54" w14:textId="706CA88A"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114909D3"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EB60791" w14:textId="1A99DC02"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74,269</w:t>
            </w:r>
          </w:p>
        </w:tc>
        <w:tc>
          <w:tcPr>
            <w:tcW w:w="2126" w:type="dxa"/>
            <w:tcBorders>
              <w:top w:val="nil"/>
              <w:left w:val="nil"/>
              <w:bottom w:val="nil"/>
              <w:right w:val="nil"/>
            </w:tcBorders>
            <w:shd w:val="clear" w:color="000000" w:fill="FFFFFF"/>
            <w:vAlign w:val="center"/>
          </w:tcPr>
          <w:p w14:paraId="484D164C" w14:textId="356B025A" w:rsidR="00BB6F70" w:rsidRDefault="00577EA4" w:rsidP="00BB6F70">
            <w:pPr>
              <w:jc w:val="right"/>
              <w:rPr>
                <w:rFonts w:ascii="Arial" w:hAnsi="Arial" w:cs="Arial"/>
                <w:b/>
                <w:bCs/>
                <w:color w:val="000000"/>
                <w:sz w:val="22"/>
                <w:szCs w:val="22"/>
              </w:rPr>
            </w:pPr>
            <w:r>
              <w:rPr>
                <w:rFonts w:ascii="Arial" w:hAnsi="Arial" w:cs="Arial"/>
                <w:b/>
                <w:bCs/>
                <w:color w:val="000000"/>
                <w:sz w:val="22"/>
                <w:szCs w:val="22"/>
              </w:rPr>
              <w:t>78,416</w:t>
            </w:r>
          </w:p>
        </w:tc>
      </w:tr>
      <w:tr w:rsidR="00BB6F70" w14:paraId="167CECB8" w14:textId="77777777" w:rsidTr="00BB6F70">
        <w:trPr>
          <w:trHeight w:val="283"/>
        </w:trPr>
        <w:tc>
          <w:tcPr>
            <w:tcW w:w="2667" w:type="dxa"/>
            <w:tcBorders>
              <w:top w:val="nil"/>
              <w:left w:val="nil"/>
              <w:bottom w:val="nil"/>
              <w:right w:val="nil"/>
            </w:tcBorders>
            <w:shd w:val="clear" w:color="000000" w:fill="FFFFFF"/>
            <w:vAlign w:val="center"/>
            <w:hideMark/>
          </w:tcPr>
          <w:p w14:paraId="264DDEF7" w14:textId="77777777" w:rsidR="00BB6F70" w:rsidRDefault="00BB6F70" w:rsidP="00BB6F70">
            <w:pPr>
              <w:rPr>
                <w:rFonts w:ascii="Arial" w:hAnsi="Arial" w:cs="Arial"/>
                <w:color w:val="000000"/>
                <w:sz w:val="22"/>
                <w:szCs w:val="22"/>
              </w:rPr>
            </w:pPr>
            <w:r>
              <w:rPr>
                <w:rFonts w:ascii="Arial" w:hAnsi="Arial" w:cs="Arial"/>
                <w:color w:val="000000"/>
                <w:sz w:val="22"/>
                <w:szCs w:val="22"/>
              </w:rPr>
              <w:t>Absolute Return</w:t>
            </w:r>
          </w:p>
        </w:tc>
        <w:tc>
          <w:tcPr>
            <w:tcW w:w="820" w:type="dxa"/>
            <w:tcBorders>
              <w:top w:val="nil"/>
              <w:left w:val="nil"/>
              <w:bottom w:val="nil"/>
              <w:right w:val="nil"/>
            </w:tcBorders>
            <w:shd w:val="clear" w:color="000000" w:fill="FFFFFF"/>
          </w:tcPr>
          <w:p w14:paraId="6E386166"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421F2D79" w14:textId="026EC2EB"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34F3DC89"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46F703E" w14:textId="7B6BF408"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415,161</w:t>
            </w:r>
          </w:p>
        </w:tc>
        <w:tc>
          <w:tcPr>
            <w:tcW w:w="2126" w:type="dxa"/>
            <w:tcBorders>
              <w:top w:val="nil"/>
              <w:left w:val="nil"/>
              <w:bottom w:val="nil"/>
              <w:right w:val="nil"/>
            </w:tcBorders>
            <w:shd w:val="clear" w:color="000000" w:fill="FFFFFF"/>
            <w:vAlign w:val="center"/>
          </w:tcPr>
          <w:p w14:paraId="1231AB15" w14:textId="471ABC44" w:rsidR="00BB6F70" w:rsidRDefault="00441100" w:rsidP="00BB6F70">
            <w:pPr>
              <w:jc w:val="right"/>
              <w:rPr>
                <w:rFonts w:ascii="Arial" w:hAnsi="Arial" w:cs="Arial"/>
                <w:b/>
                <w:bCs/>
                <w:color w:val="000000"/>
                <w:sz w:val="22"/>
                <w:szCs w:val="22"/>
              </w:rPr>
            </w:pPr>
            <w:r>
              <w:rPr>
                <w:rFonts w:ascii="Arial" w:hAnsi="Arial" w:cs="Arial"/>
                <w:b/>
                <w:bCs/>
                <w:color w:val="000000"/>
                <w:sz w:val="22"/>
                <w:szCs w:val="22"/>
              </w:rPr>
              <w:t>373,303</w:t>
            </w:r>
          </w:p>
        </w:tc>
      </w:tr>
      <w:tr w:rsidR="006C402F" w14:paraId="7BB6C774" w14:textId="77777777" w:rsidTr="00BB6F70">
        <w:trPr>
          <w:trHeight w:val="283"/>
        </w:trPr>
        <w:tc>
          <w:tcPr>
            <w:tcW w:w="2667" w:type="dxa"/>
            <w:tcBorders>
              <w:top w:val="nil"/>
              <w:left w:val="nil"/>
              <w:bottom w:val="nil"/>
              <w:right w:val="nil"/>
            </w:tcBorders>
            <w:shd w:val="clear" w:color="auto" w:fill="auto"/>
            <w:vAlign w:val="center"/>
          </w:tcPr>
          <w:p w14:paraId="1666196C" w14:textId="77777777" w:rsidR="006C402F" w:rsidRDefault="006C402F" w:rsidP="00BB6F70">
            <w:pPr>
              <w:rPr>
                <w:rFonts w:ascii="Arial" w:hAnsi="Arial" w:cs="Arial"/>
                <w:color w:val="000000"/>
                <w:sz w:val="22"/>
                <w:szCs w:val="22"/>
              </w:rPr>
            </w:pPr>
          </w:p>
        </w:tc>
        <w:tc>
          <w:tcPr>
            <w:tcW w:w="820" w:type="dxa"/>
            <w:tcBorders>
              <w:top w:val="nil"/>
              <w:left w:val="nil"/>
              <w:bottom w:val="nil"/>
              <w:right w:val="nil"/>
            </w:tcBorders>
          </w:tcPr>
          <w:p w14:paraId="65EA008D" w14:textId="77777777" w:rsidR="006C402F" w:rsidRDefault="006C402F" w:rsidP="00BB6F70">
            <w:pPr>
              <w:jc w:val="right"/>
              <w:rPr>
                <w:rFonts w:ascii="Arial" w:hAnsi="Arial" w:cs="Arial"/>
                <w:color w:val="000000"/>
                <w:sz w:val="22"/>
                <w:szCs w:val="22"/>
              </w:rPr>
            </w:pPr>
          </w:p>
        </w:tc>
        <w:tc>
          <w:tcPr>
            <w:tcW w:w="820" w:type="dxa"/>
            <w:tcBorders>
              <w:top w:val="nil"/>
              <w:left w:val="nil"/>
              <w:bottom w:val="nil"/>
              <w:right w:val="nil"/>
            </w:tcBorders>
          </w:tcPr>
          <w:p w14:paraId="5D240387" w14:textId="77777777" w:rsidR="006C402F" w:rsidRDefault="006C402F"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49A837DF" w14:textId="77777777" w:rsidR="006C402F" w:rsidRDefault="006C402F"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tcPr>
          <w:p w14:paraId="55743A15" w14:textId="77777777" w:rsidR="006C402F" w:rsidRPr="00BB6F70" w:rsidRDefault="006C402F" w:rsidP="00BB6F70">
            <w:pPr>
              <w:jc w:val="right"/>
              <w:rPr>
                <w:rFonts w:ascii="Arial" w:hAnsi="Arial" w:cs="Arial"/>
                <w:color w:val="000000"/>
                <w:sz w:val="22"/>
                <w:szCs w:val="22"/>
              </w:rPr>
            </w:pPr>
          </w:p>
        </w:tc>
        <w:tc>
          <w:tcPr>
            <w:tcW w:w="2126" w:type="dxa"/>
            <w:tcBorders>
              <w:top w:val="nil"/>
              <w:left w:val="nil"/>
              <w:bottom w:val="nil"/>
              <w:right w:val="nil"/>
            </w:tcBorders>
            <w:shd w:val="clear" w:color="000000" w:fill="FFFFFF"/>
            <w:vAlign w:val="center"/>
          </w:tcPr>
          <w:p w14:paraId="66E509D3" w14:textId="77777777" w:rsidR="006C402F" w:rsidRDefault="006C402F" w:rsidP="00BB6F70">
            <w:pPr>
              <w:jc w:val="right"/>
              <w:rPr>
                <w:rFonts w:ascii="Arial" w:hAnsi="Arial" w:cs="Arial"/>
                <w:b/>
                <w:bCs/>
                <w:color w:val="000000"/>
                <w:sz w:val="22"/>
                <w:szCs w:val="22"/>
              </w:rPr>
            </w:pPr>
          </w:p>
        </w:tc>
      </w:tr>
      <w:tr w:rsidR="00BB6F70" w14:paraId="6D8DD9A7" w14:textId="77777777" w:rsidTr="00BB6F70">
        <w:trPr>
          <w:trHeight w:val="283"/>
        </w:trPr>
        <w:tc>
          <w:tcPr>
            <w:tcW w:w="2667" w:type="dxa"/>
            <w:tcBorders>
              <w:top w:val="nil"/>
              <w:left w:val="nil"/>
              <w:bottom w:val="nil"/>
              <w:right w:val="nil"/>
            </w:tcBorders>
            <w:shd w:val="clear" w:color="auto" w:fill="auto"/>
            <w:vAlign w:val="center"/>
            <w:hideMark/>
          </w:tcPr>
          <w:p w14:paraId="51920923" w14:textId="77777777" w:rsidR="00BB6F70" w:rsidRDefault="00BB6F70" w:rsidP="00BB6F70">
            <w:pPr>
              <w:rPr>
                <w:rFonts w:ascii="Arial" w:hAnsi="Arial" w:cs="Arial"/>
                <w:color w:val="000000"/>
                <w:sz w:val="22"/>
                <w:szCs w:val="22"/>
              </w:rPr>
            </w:pPr>
            <w:r>
              <w:rPr>
                <w:rFonts w:ascii="Arial" w:hAnsi="Arial" w:cs="Arial"/>
                <w:color w:val="000000"/>
                <w:sz w:val="22"/>
                <w:szCs w:val="22"/>
              </w:rPr>
              <w:t>Alternatives</w:t>
            </w:r>
          </w:p>
        </w:tc>
        <w:tc>
          <w:tcPr>
            <w:tcW w:w="820" w:type="dxa"/>
            <w:tcBorders>
              <w:top w:val="nil"/>
              <w:left w:val="nil"/>
              <w:bottom w:val="nil"/>
              <w:right w:val="nil"/>
            </w:tcBorders>
          </w:tcPr>
          <w:p w14:paraId="2862A636"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tcPr>
          <w:p w14:paraId="76A4EE7A" w14:textId="42AAAAAE"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045FAF0B"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6A7569B1" w14:textId="33026FB7"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34,653</w:t>
            </w:r>
          </w:p>
        </w:tc>
        <w:tc>
          <w:tcPr>
            <w:tcW w:w="2126" w:type="dxa"/>
            <w:tcBorders>
              <w:top w:val="nil"/>
              <w:left w:val="nil"/>
              <w:bottom w:val="nil"/>
              <w:right w:val="nil"/>
            </w:tcBorders>
            <w:shd w:val="clear" w:color="000000" w:fill="FFFFFF"/>
            <w:vAlign w:val="center"/>
          </w:tcPr>
          <w:p w14:paraId="35648D4F" w14:textId="5DC2FC80" w:rsidR="00BB6F70" w:rsidRDefault="00441100" w:rsidP="00BB6F70">
            <w:pPr>
              <w:jc w:val="right"/>
              <w:rPr>
                <w:rFonts w:ascii="Arial" w:hAnsi="Arial" w:cs="Arial"/>
                <w:b/>
                <w:bCs/>
                <w:color w:val="000000"/>
                <w:sz w:val="22"/>
                <w:szCs w:val="22"/>
              </w:rPr>
            </w:pPr>
            <w:r>
              <w:rPr>
                <w:rFonts w:ascii="Arial" w:hAnsi="Arial" w:cs="Arial"/>
                <w:b/>
                <w:bCs/>
                <w:color w:val="000000"/>
                <w:sz w:val="22"/>
                <w:szCs w:val="22"/>
              </w:rPr>
              <w:t>13,270</w:t>
            </w:r>
          </w:p>
        </w:tc>
      </w:tr>
      <w:tr w:rsidR="00BB6F70" w14:paraId="6FC3D7C9" w14:textId="77777777" w:rsidTr="00BB6F70">
        <w:trPr>
          <w:trHeight w:val="283"/>
        </w:trPr>
        <w:tc>
          <w:tcPr>
            <w:tcW w:w="2667" w:type="dxa"/>
            <w:tcBorders>
              <w:top w:val="nil"/>
              <w:left w:val="nil"/>
              <w:bottom w:val="nil"/>
              <w:right w:val="nil"/>
            </w:tcBorders>
            <w:shd w:val="clear" w:color="000000" w:fill="FFFFFF"/>
            <w:vAlign w:val="center"/>
            <w:hideMark/>
          </w:tcPr>
          <w:p w14:paraId="75E3C038" w14:textId="77777777" w:rsidR="00BB6F70" w:rsidRDefault="00BB6F70" w:rsidP="00BB6F70">
            <w:pPr>
              <w:rPr>
                <w:rFonts w:ascii="Arial" w:hAnsi="Arial" w:cs="Arial"/>
                <w:color w:val="000000"/>
                <w:sz w:val="22"/>
                <w:szCs w:val="22"/>
              </w:rPr>
            </w:pPr>
            <w:r>
              <w:rPr>
                <w:rFonts w:ascii="Arial" w:hAnsi="Arial" w:cs="Arial"/>
                <w:color w:val="000000"/>
                <w:sz w:val="22"/>
                <w:szCs w:val="22"/>
              </w:rPr>
              <w:t xml:space="preserve">Private Equity </w:t>
            </w:r>
          </w:p>
        </w:tc>
        <w:tc>
          <w:tcPr>
            <w:tcW w:w="820" w:type="dxa"/>
            <w:tcBorders>
              <w:top w:val="nil"/>
              <w:left w:val="nil"/>
              <w:bottom w:val="nil"/>
              <w:right w:val="nil"/>
            </w:tcBorders>
            <w:shd w:val="clear" w:color="000000" w:fill="FFFFFF"/>
          </w:tcPr>
          <w:p w14:paraId="5F530DB7"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58D7937" w14:textId="1766D701"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49AA86F"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3D521B8E" w14:textId="19A7D6BE"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107,474</w:t>
            </w:r>
          </w:p>
        </w:tc>
        <w:tc>
          <w:tcPr>
            <w:tcW w:w="2126" w:type="dxa"/>
            <w:tcBorders>
              <w:top w:val="nil"/>
              <w:left w:val="nil"/>
              <w:bottom w:val="nil"/>
              <w:right w:val="nil"/>
            </w:tcBorders>
            <w:shd w:val="clear" w:color="000000" w:fill="FFFFFF"/>
            <w:vAlign w:val="center"/>
          </w:tcPr>
          <w:p w14:paraId="11F7F021" w14:textId="627B836B" w:rsidR="00BB6F70" w:rsidRDefault="00441100" w:rsidP="00BB6F70">
            <w:pPr>
              <w:jc w:val="right"/>
              <w:rPr>
                <w:rFonts w:ascii="Arial" w:hAnsi="Arial" w:cs="Arial"/>
                <w:b/>
                <w:bCs/>
                <w:color w:val="000000"/>
                <w:sz w:val="22"/>
                <w:szCs w:val="22"/>
              </w:rPr>
            </w:pPr>
            <w:r>
              <w:rPr>
                <w:rFonts w:ascii="Arial" w:hAnsi="Arial" w:cs="Arial"/>
                <w:b/>
                <w:bCs/>
                <w:color w:val="000000"/>
                <w:sz w:val="22"/>
                <w:szCs w:val="22"/>
              </w:rPr>
              <w:t>127,590</w:t>
            </w:r>
          </w:p>
        </w:tc>
      </w:tr>
      <w:tr w:rsidR="00BB6F70" w14:paraId="7838F42D" w14:textId="77777777" w:rsidTr="00BB6F70">
        <w:trPr>
          <w:trHeight w:val="283"/>
        </w:trPr>
        <w:tc>
          <w:tcPr>
            <w:tcW w:w="2667" w:type="dxa"/>
            <w:tcBorders>
              <w:top w:val="nil"/>
              <w:left w:val="nil"/>
              <w:bottom w:val="nil"/>
              <w:right w:val="nil"/>
            </w:tcBorders>
            <w:shd w:val="clear" w:color="000000" w:fill="FFFFFF"/>
            <w:vAlign w:val="center"/>
            <w:hideMark/>
          </w:tcPr>
          <w:p w14:paraId="473A23E5" w14:textId="77777777" w:rsidR="00BB6F70" w:rsidRDefault="00BB6F70" w:rsidP="00BB6F70">
            <w:pPr>
              <w:rPr>
                <w:rFonts w:ascii="Arial" w:hAnsi="Arial" w:cs="Arial"/>
                <w:color w:val="000000"/>
                <w:sz w:val="22"/>
                <w:szCs w:val="22"/>
              </w:rPr>
            </w:pPr>
            <w:r>
              <w:rPr>
                <w:rFonts w:ascii="Arial" w:hAnsi="Arial" w:cs="Arial"/>
                <w:color w:val="000000"/>
                <w:sz w:val="22"/>
                <w:szCs w:val="22"/>
              </w:rPr>
              <w:t>Infrastructure</w:t>
            </w:r>
          </w:p>
        </w:tc>
        <w:tc>
          <w:tcPr>
            <w:tcW w:w="820" w:type="dxa"/>
            <w:tcBorders>
              <w:top w:val="nil"/>
              <w:left w:val="nil"/>
              <w:bottom w:val="nil"/>
              <w:right w:val="nil"/>
            </w:tcBorders>
            <w:shd w:val="clear" w:color="000000" w:fill="FFFFFF"/>
          </w:tcPr>
          <w:p w14:paraId="1A8801BC"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8E6E7FB" w14:textId="2A40FF1F"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282E2AF3"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C7FD4FF" w14:textId="51EB4DEC"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86,574</w:t>
            </w:r>
          </w:p>
        </w:tc>
        <w:tc>
          <w:tcPr>
            <w:tcW w:w="2126" w:type="dxa"/>
            <w:tcBorders>
              <w:top w:val="nil"/>
              <w:left w:val="nil"/>
              <w:bottom w:val="nil"/>
              <w:right w:val="nil"/>
            </w:tcBorders>
            <w:shd w:val="clear" w:color="000000" w:fill="FFFFFF"/>
            <w:vAlign w:val="center"/>
          </w:tcPr>
          <w:p w14:paraId="6F1AF514" w14:textId="0C017319" w:rsidR="00BB6F70" w:rsidRDefault="00441100" w:rsidP="00BB6F70">
            <w:pPr>
              <w:jc w:val="right"/>
              <w:rPr>
                <w:rFonts w:ascii="Arial" w:hAnsi="Arial" w:cs="Arial"/>
                <w:b/>
                <w:bCs/>
                <w:color w:val="000000"/>
                <w:sz w:val="22"/>
                <w:szCs w:val="22"/>
              </w:rPr>
            </w:pPr>
            <w:r>
              <w:rPr>
                <w:rFonts w:ascii="Arial" w:hAnsi="Arial" w:cs="Arial"/>
                <w:b/>
                <w:bCs/>
                <w:color w:val="000000"/>
                <w:sz w:val="22"/>
                <w:szCs w:val="22"/>
              </w:rPr>
              <w:t>76,043</w:t>
            </w:r>
          </w:p>
        </w:tc>
      </w:tr>
      <w:tr w:rsidR="00BB6F70" w14:paraId="7396BA3E" w14:textId="77777777" w:rsidTr="00BB6F70">
        <w:trPr>
          <w:trHeight w:val="283"/>
        </w:trPr>
        <w:tc>
          <w:tcPr>
            <w:tcW w:w="2667" w:type="dxa"/>
            <w:tcBorders>
              <w:top w:val="nil"/>
              <w:left w:val="nil"/>
              <w:bottom w:val="nil"/>
              <w:right w:val="nil"/>
            </w:tcBorders>
            <w:shd w:val="clear" w:color="000000" w:fill="FFFFFF"/>
            <w:vAlign w:val="center"/>
            <w:hideMark/>
          </w:tcPr>
          <w:p w14:paraId="3BFC628D" w14:textId="77777777" w:rsidR="00BB6F70" w:rsidRDefault="00BB6F70" w:rsidP="00BB6F70">
            <w:pPr>
              <w:rPr>
                <w:rFonts w:ascii="Arial" w:hAnsi="Arial" w:cs="Arial"/>
                <w:color w:val="000000"/>
                <w:sz w:val="22"/>
                <w:szCs w:val="22"/>
              </w:rPr>
            </w:pPr>
            <w:r>
              <w:rPr>
                <w:rFonts w:ascii="Arial" w:hAnsi="Arial" w:cs="Arial"/>
                <w:color w:val="000000"/>
                <w:sz w:val="22"/>
                <w:szCs w:val="22"/>
              </w:rPr>
              <w:t>Property</w:t>
            </w:r>
          </w:p>
        </w:tc>
        <w:tc>
          <w:tcPr>
            <w:tcW w:w="820" w:type="dxa"/>
            <w:tcBorders>
              <w:top w:val="nil"/>
              <w:left w:val="nil"/>
              <w:bottom w:val="nil"/>
              <w:right w:val="nil"/>
            </w:tcBorders>
            <w:shd w:val="clear" w:color="000000" w:fill="FFFFFF"/>
          </w:tcPr>
          <w:p w14:paraId="20080C64"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EA26C51" w14:textId="7820DE96"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2C08BDEE"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5C5D8CF8" w14:textId="23CD6205"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47,850</w:t>
            </w:r>
          </w:p>
        </w:tc>
        <w:tc>
          <w:tcPr>
            <w:tcW w:w="2126" w:type="dxa"/>
            <w:tcBorders>
              <w:top w:val="nil"/>
              <w:left w:val="nil"/>
              <w:bottom w:val="nil"/>
              <w:right w:val="nil"/>
            </w:tcBorders>
            <w:shd w:val="clear" w:color="000000" w:fill="FFFFFF"/>
            <w:vAlign w:val="center"/>
          </w:tcPr>
          <w:p w14:paraId="0BF5E674" w14:textId="357C8E37" w:rsidR="00BB6F70" w:rsidRDefault="002D4ABF" w:rsidP="00BB6F70">
            <w:pPr>
              <w:jc w:val="right"/>
              <w:rPr>
                <w:rFonts w:ascii="Arial" w:hAnsi="Arial" w:cs="Arial"/>
                <w:b/>
                <w:bCs/>
                <w:color w:val="000000"/>
                <w:sz w:val="22"/>
                <w:szCs w:val="22"/>
              </w:rPr>
            </w:pPr>
            <w:r>
              <w:rPr>
                <w:rFonts w:ascii="Arial" w:hAnsi="Arial" w:cs="Arial"/>
                <w:b/>
                <w:bCs/>
                <w:color w:val="000000"/>
                <w:sz w:val="22"/>
                <w:szCs w:val="22"/>
              </w:rPr>
              <w:t>96,880</w:t>
            </w:r>
          </w:p>
        </w:tc>
      </w:tr>
      <w:tr w:rsidR="00BB6F70" w14:paraId="389F5F17" w14:textId="77777777" w:rsidTr="00BB6F70">
        <w:trPr>
          <w:trHeight w:val="283"/>
        </w:trPr>
        <w:tc>
          <w:tcPr>
            <w:tcW w:w="2667" w:type="dxa"/>
            <w:tcBorders>
              <w:top w:val="nil"/>
              <w:left w:val="nil"/>
              <w:bottom w:val="nil"/>
              <w:right w:val="nil"/>
            </w:tcBorders>
            <w:shd w:val="clear" w:color="000000" w:fill="FFFFFF"/>
            <w:vAlign w:val="center"/>
            <w:hideMark/>
          </w:tcPr>
          <w:p w14:paraId="5B8D59C1" w14:textId="77777777" w:rsidR="002D4ABF" w:rsidRDefault="002D4ABF" w:rsidP="00BB6F70">
            <w:pPr>
              <w:rPr>
                <w:rFonts w:ascii="Arial" w:hAnsi="Arial" w:cs="Arial"/>
                <w:color w:val="000000"/>
                <w:sz w:val="22"/>
                <w:szCs w:val="22"/>
              </w:rPr>
            </w:pPr>
          </w:p>
          <w:p w14:paraId="2A46CE11" w14:textId="6E67443B" w:rsidR="00BB6F70" w:rsidRPr="00BB6388" w:rsidRDefault="00BB6F70" w:rsidP="00BB6F70">
            <w:pPr>
              <w:rPr>
                <w:rFonts w:ascii="Arial" w:hAnsi="Arial" w:cs="Arial"/>
                <w:color w:val="000000"/>
                <w:sz w:val="22"/>
                <w:szCs w:val="22"/>
                <w:highlight w:val="green"/>
              </w:rPr>
            </w:pPr>
            <w:r w:rsidRPr="008A4A91">
              <w:rPr>
                <w:rFonts w:ascii="Arial" w:hAnsi="Arial" w:cs="Arial"/>
                <w:color w:val="000000"/>
                <w:sz w:val="22"/>
                <w:szCs w:val="22"/>
              </w:rPr>
              <w:t xml:space="preserve">Cash </w:t>
            </w:r>
            <w:r w:rsidR="002D4ABF">
              <w:rPr>
                <w:rFonts w:ascii="Arial" w:hAnsi="Arial" w:cs="Arial"/>
                <w:color w:val="000000"/>
                <w:sz w:val="22"/>
                <w:szCs w:val="22"/>
              </w:rPr>
              <w:t xml:space="preserve">deposits held with </w:t>
            </w:r>
            <w:r w:rsidR="00550C81">
              <w:rPr>
                <w:rFonts w:ascii="Arial" w:hAnsi="Arial" w:cs="Arial"/>
                <w:color w:val="000000"/>
                <w:sz w:val="22"/>
                <w:szCs w:val="22"/>
              </w:rPr>
              <w:t>C</w:t>
            </w:r>
            <w:r w:rsidR="002D4ABF">
              <w:rPr>
                <w:rFonts w:ascii="Arial" w:hAnsi="Arial" w:cs="Arial"/>
                <w:color w:val="000000"/>
                <w:sz w:val="22"/>
                <w:szCs w:val="22"/>
              </w:rPr>
              <w:t>ustodian</w:t>
            </w:r>
          </w:p>
        </w:tc>
        <w:tc>
          <w:tcPr>
            <w:tcW w:w="820" w:type="dxa"/>
            <w:tcBorders>
              <w:top w:val="nil"/>
              <w:left w:val="nil"/>
              <w:bottom w:val="nil"/>
              <w:right w:val="nil"/>
            </w:tcBorders>
            <w:shd w:val="clear" w:color="000000" w:fill="FFFFFF"/>
          </w:tcPr>
          <w:p w14:paraId="2114C70C" w14:textId="77777777" w:rsidR="00BB6F70" w:rsidRPr="00BB6388" w:rsidRDefault="00BB6F70" w:rsidP="00BB6F70">
            <w:pPr>
              <w:jc w:val="right"/>
              <w:rPr>
                <w:rFonts w:ascii="Arial" w:hAnsi="Arial" w:cs="Arial"/>
                <w:color w:val="000000"/>
                <w:sz w:val="22"/>
                <w:szCs w:val="22"/>
                <w:highlight w:val="green"/>
              </w:rPr>
            </w:pPr>
          </w:p>
        </w:tc>
        <w:tc>
          <w:tcPr>
            <w:tcW w:w="820" w:type="dxa"/>
            <w:tcBorders>
              <w:top w:val="nil"/>
              <w:left w:val="nil"/>
              <w:bottom w:val="nil"/>
              <w:right w:val="nil"/>
            </w:tcBorders>
            <w:shd w:val="clear" w:color="000000" w:fill="FFFFFF"/>
          </w:tcPr>
          <w:p w14:paraId="3421935E" w14:textId="6F5B6A95" w:rsidR="00BB6F70" w:rsidRPr="00BB6388" w:rsidRDefault="00BB6F70" w:rsidP="00BB6F70">
            <w:pPr>
              <w:jc w:val="right"/>
              <w:rPr>
                <w:rFonts w:ascii="Arial" w:hAnsi="Arial" w:cs="Arial"/>
                <w:color w:val="000000"/>
                <w:sz w:val="22"/>
                <w:szCs w:val="22"/>
                <w:highlight w:val="green"/>
              </w:rPr>
            </w:pPr>
          </w:p>
        </w:tc>
        <w:tc>
          <w:tcPr>
            <w:tcW w:w="1363" w:type="dxa"/>
            <w:tcBorders>
              <w:top w:val="nil"/>
              <w:left w:val="nil"/>
              <w:right w:val="nil"/>
            </w:tcBorders>
            <w:shd w:val="clear" w:color="000000" w:fill="FFFFFF"/>
          </w:tcPr>
          <w:p w14:paraId="1678F541" w14:textId="77777777" w:rsidR="00BB6F70" w:rsidRPr="00BB6388" w:rsidRDefault="00BB6F70" w:rsidP="00BB6F70">
            <w:pPr>
              <w:jc w:val="right"/>
              <w:rPr>
                <w:rFonts w:ascii="Arial" w:hAnsi="Arial" w:cs="Arial"/>
                <w:color w:val="000000"/>
                <w:sz w:val="22"/>
                <w:szCs w:val="22"/>
                <w:highlight w:val="green"/>
              </w:rPr>
            </w:pPr>
          </w:p>
        </w:tc>
        <w:tc>
          <w:tcPr>
            <w:tcW w:w="1985" w:type="dxa"/>
            <w:tcBorders>
              <w:top w:val="nil"/>
              <w:left w:val="nil"/>
              <w:right w:val="nil"/>
            </w:tcBorders>
            <w:shd w:val="clear" w:color="000000" w:fill="FFFFFF"/>
            <w:vAlign w:val="center"/>
            <w:hideMark/>
          </w:tcPr>
          <w:p w14:paraId="795C2156" w14:textId="22E6CED7" w:rsidR="00BB6F70" w:rsidRPr="00BB6F70" w:rsidRDefault="00BB6F70" w:rsidP="00BB6F70">
            <w:pPr>
              <w:jc w:val="right"/>
              <w:rPr>
                <w:rFonts w:ascii="Arial" w:hAnsi="Arial" w:cs="Arial"/>
                <w:color w:val="000000"/>
                <w:sz w:val="22"/>
                <w:szCs w:val="22"/>
                <w:highlight w:val="green"/>
              </w:rPr>
            </w:pPr>
            <w:r w:rsidRPr="00BB6F70">
              <w:rPr>
                <w:rFonts w:ascii="Arial" w:hAnsi="Arial" w:cs="Arial"/>
                <w:color w:val="000000"/>
                <w:sz w:val="22"/>
                <w:szCs w:val="22"/>
              </w:rPr>
              <w:t>7,426</w:t>
            </w:r>
          </w:p>
        </w:tc>
        <w:tc>
          <w:tcPr>
            <w:tcW w:w="2126" w:type="dxa"/>
            <w:tcBorders>
              <w:top w:val="nil"/>
              <w:left w:val="nil"/>
              <w:bottom w:val="nil"/>
              <w:right w:val="nil"/>
            </w:tcBorders>
            <w:shd w:val="clear" w:color="000000" w:fill="FFFFFF"/>
            <w:vAlign w:val="center"/>
          </w:tcPr>
          <w:p w14:paraId="5E77E52A" w14:textId="7F5C53E1" w:rsidR="00BB6F70" w:rsidRPr="00BB6388" w:rsidRDefault="002145F3" w:rsidP="00BB6F70">
            <w:pPr>
              <w:jc w:val="right"/>
              <w:rPr>
                <w:rFonts w:ascii="Arial" w:hAnsi="Arial" w:cs="Arial"/>
                <w:b/>
                <w:bCs/>
                <w:color w:val="000000"/>
                <w:sz w:val="22"/>
                <w:szCs w:val="22"/>
                <w:highlight w:val="green"/>
              </w:rPr>
            </w:pPr>
            <w:r w:rsidRPr="002145F3">
              <w:rPr>
                <w:rFonts w:ascii="Arial" w:hAnsi="Arial" w:cs="Arial"/>
                <w:b/>
                <w:bCs/>
                <w:color w:val="000000"/>
                <w:sz w:val="22"/>
                <w:szCs w:val="22"/>
              </w:rPr>
              <w:t>37,058</w:t>
            </w:r>
          </w:p>
        </w:tc>
      </w:tr>
      <w:tr w:rsidR="00BB6F70" w14:paraId="5C21B9E3" w14:textId="77777777" w:rsidTr="00BB6F70">
        <w:trPr>
          <w:trHeight w:val="283"/>
        </w:trPr>
        <w:tc>
          <w:tcPr>
            <w:tcW w:w="2667" w:type="dxa"/>
            <w:tcBorders>
              <w:top w:val="nil"/>
              <w:left w:val="nil"/>
              <w:bottom w:val="nil"/>
              <w:right w:val="nil"/>
            </w:tcBorders>
            <w:shd w:val="clear" w:color="000000" w:fill="FFFFFF"/>
            <w:vAlign w:val="center"/>
            <w:hideMark/>
          </w:tcPr>
          <w:p w14:paraId="1A0662ED" w14:textId="77777777" w:rsidR="00BB6F70" w:rsidRDefault="00BB6F70" w:rsidP="00BB6F70">
            <w:pPr>
              <w:rPr>
                <w:rFonts w:ascii="Arial" w:hAnsi="Arial" w:cs="Arial"/>
                <w:color w:val="000000"/>
                <w:sz w:val="22"/>
                <w:szCs w:val="22"/>
              </w:rPr>
            </w:pPr>
            <w:r>
              <w:rPr>
                <w:rFonts w:ascii="Arial" w:hAnsi="Arial" w:cs="Arial"/>
                <w:color w:val="000000"/>
                <w:sz w:val="22"/>
                <w:szCs w:val="22"/>
              </w:rPr>
              <w:t>Pending Trade Sale</w:t>
            </w:r>
          </w:p>
        </w:tc>
        <w:tc>
          <w:tcPr>
            <w:tcW w:w="820" w:type="dxa"/>
            <w:tcBorders>
              <w:top w:val="nil"/>
              <w:left w:val="nil"/>
              <w:bottom w:val="nil"/>
              <w:right w:val="nil"/>
            </w:tcBorders>
            <w:shd w:val="clear" w:color="000000" w:fill="FFFFFF"/>
          </w:tcPr>
          <w:p w14:paraId="0092D60D"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710E81ED" w14:textId="70E0F138" w:rsidR="00BB6F70" w:rsidRDefault="00BB6F70" w:rsidP="00BB6F70">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EE8A5FE" w14:textId="77777777" w:rsidR="00BB6F70" w:rsidRDefault="00BB6F70" w:rsidP="00BB6F70">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020DD33A" w14:textId="29FC853E"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2,148</w:t>
            </w:r>
          </w:p>
        </w:tc>
        <w:tc>
          <w:tcPr>
            <w:tcW w:w="2126" w:type="dxa"/>
            <w:tcBorders>
              <w:top w:val="nil"/>
              <w:left w:val="nil"/>
              <w:bottom w:val="nil"/>
              <w:right w:val="nil"/>
            </w:tcBorders>
            <w:shd w:val="clear" w:color="000000" w:fill="FFFFFF"/>
            <w:vAlign w:val="center"/>
          </w:tcPr>
          <w:p w14:paraId="676D033A" w14:textId="3BA53E3C" w:rsidR="00BB6F70" w:rsidRDefault="002145F3" w:rsidP="00BB6F70">
            <w:pPr>
              <w:jc w:val="right"/>
              <w:rPr>
                <w:rFonts w:ascii="Arial" w:hAnsi="Arial" w:cs="Arial"/>
                <w:b/>
                <w:bCs/>
                <w:color w:val="000000"/>
                <w:sz w:val="22"/>
                <w:szCs w:val="22"/>
              </w:rPr>
            </w:pPr>
            <w:r>
              <w:rPr>
                <w:rFonts w:ascii="Arial" w:hAnsi="Arial" w:cs="Arial"/>
                <w:b/>
                <w:bCs/>
                <w:color w:val="000000"/>
                <w:sz w:val="22"/>
                <w:szCs w:val="22"/>
              </w:rPr>
              <w:t>-</w:t>
            </w:r>
          </w:p>
        </w:tc>
      </w:tr>
      <w:tr w:rsidR="00BB6F70" w14:paraId="271FA140" w14:textId="77777777" w:rsidTr="00BB6F70">
        <w:trPr>
          <w:trHeight w:val="283"/>
        </w:trPr>
        <w:tc>
          <w:tcPr>
            <w:tcW w:w="2667" w:type="dxa"/>
            <w:tcBorders>
              <w:top w:val="nil"/>
              <w:left w:val="nil"/>
              <w:bottom w:val="nil"/>
              <w:right w:val="nil"/>
            </w:tcBorders>
            <w:shd w:val="clear" w:color="000000" w:fill="FFFFFF"/>
            <w:vAlign w:val="center"/>
            <w:hideMark/>
          </w:tcPr>
          <w:p w14:paraId="14E526F0" w14:textId="3A438318" w:rsidR="00BB6F70" w:rsidRDefault="002145F3" w:rsidP="00BB6F70">
            <w:pPr>
              <w:rPr>
                <w:rFonts w:ascii="Arial" w:hAnsi="Arial" w:cs="Arial"/>
                <w:color w:val="000000"/>
                <w:sz w:val="22"/>
                <w:szCs w:val="22"/>
              </w:rPr>
            </w:pPr>
            <w:r>
              <w:rPr>
                <w:rFonts w:ascii="Arial" w:hAnsi="Arial" w:cs="Arial"/>
                <w:color w:val="000000"/>
                <w:sz w:val="22"/>
                <w:szCs w:val="22"/>
              </w:rPr>
              <w:t>Shareholding in London CIV</w:t>
            </w:r>
          </w:p>
        </w:tc>
        <w:tc>
          <w:tcPr>
            <w:tcW w:w="820" w:type="dxa"/>
            <w:tcBorders>
              <w:top w:val="nil"/>
              <w:left w:val="nil"/>
              <w:bottom w:val="nil"/>
              <w:right w:val="nil"/>
            </w:tcBorders>
            <w:shd w:val="clear" w:color="000000" w:fill="FFFFFF"/>
          </w:tcPr>
          <w:p w14:paraId="501F51B9"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F8E9524" w14:textId="11BE646D" w:rsidR="00BB6F70" w:rsidRDefault="00BB6F70" w:rsidP="00BB6F70">
            <w:pPr>
              <w:jc w:val="right"/>
              <w:rPr>
                <w:rFonts w:ascii="Arial" w:hAnsi="Arial" w:cs="Arial"/>
                <w:color w:val="000000"/>
                <w:sz w:val="22"/>
                <w:szCs w:val="22"/>
              </w:rPr>
            </w:pPr>
          </w:p>
        </w:tc>
        <w:tc>
          <w:tcPr>
            <w:tcW w:w="1363" w:type="dxa"/>
            <w:tcBorders>
              <w:top w:val="nil"/>
              <w:left w:val="nil"/>
              <w:right w:val="nil"/>
            </w:tcBorders>
            <w:shd w:val="clear" w:color="000000" w:fill="FFFFFF"/>
          </w:tcPr>
          <w:p w14:paraId="0978B842" w14:textId="77777777" w:rsidR="00BB6F70" w:rsidRDefault="00BB6F70" w:rsidP="00BB6F70">
            <w:pPr>
              <w:jc w:val="right"/>
              <w:rPr>
                <w:rFonts w:ascii="Arial" w:hAnsi="Arial" w:cs="Arial"/>
                <w:color w:val="000000"/>
                <w:sz w:val="22"/>
                <w:szCs w:val="22"/>
              </w:rPr>
            </w:pPr>
          </w:p>
        </w:tc>
        <w:tc>
          <w:tcPr>
            <w:tcW w:w="1985" w:type="dxa"/>
            <w:tcBorders>
              <w:top w:val="nil"/>
              <w:left w:val="nil"/>
              <w:right w:val="nil"/>
            </w:tcBorders>
            <w:shd w:val="clear" w:color="000000" w:fill="FFFFFF"/>
            <w:vAlign w:val="center"/>
            <w:hideMark/>
          </w:tcPr>
          <w:p w14:paraId="36138720" w14:textId="5B1E8C07" w:rsidR="00BB6F70" w:rsidRPr="00BB6F70" w:rsidRDefault="00BB6F70" w:rsidP="00BB6F70">
            <w:pPr>
              <w:jc w:val="right"/>
              <w:rPr>
                <w:rFonts w:ascii="Arial" w:hAnsi="Arial" w:cs="Arial"/>
                <w:color w:val="000000"/>
                <w:sz w:val="22"/>
                <w:szCs w:val="22"/>
              </w:rPr>
            </w:pPr>
            <w:r w:rsidRPr="00BB6F70">
              <w:rPr>
                <w:rFonts w:ascii="Arial" w:hAnsi="Arial" w:cs="Arial"/>
                <w:color w:val="000000"/>
                <w:sz w:val="22"/>
                <w:szCs w:val="22"/>
              </w:rPr>
              <w:t>150</w:t>
            </w:r>
          </w:p>
        </w:tc>
        <w:tc>
          <w:tcPr>
            <w:tcW w:w="2126" w:type="dxa"/>
            <w:tcBorders>
              <w:top w:val="nil"/>
              <w:left w:val="nil"/>
              <w:bottom w:val="nil"/>
              <w:right w:val="nil"/>
            </w:tcBorders>
            <w:shd w:val="clear" w:color="000000" w:fill="FFFFFF"/>
            <w:vAlign w:val="center"/>
          </w:tcPr>
          <w:p w14:paraId="2633AA79" w14:textId="7ED11C03" w:rsidR="00BB6F70" w:rsidRPr="008A4A91" w:rsidRDefault="002145F3" w:rsidP="00BB6F70">
            <w:pPr>
              <w:jc w:val="right"/>
              <w:rPr>
                <w:rFonts w:ascii="Arial" w:hAnsi="Arial" w:cs="Arial"/>
                <w:b/>
                <w:bCs/>
                <w:color w:val="000000"/>
                <w:sz w:val="22"/>
                <w:szCs w:val="22"/>
              </w:rPr>
            </w:pPr>
            <w:r>
              <w:rPr>
                <w:rFonts w:ascii="Arial" w:hAnsi="Arial" w:cs="Arial"/>
                <w:b/>
                <w:bCs/>
                <w:color w:val="000000"/>
                <w:sz w:val="22"/>
                <w:szCs w:val="22"/>
              </w:rPr>
              <w:t>150</w:t>
            </w:r>
          </w:p>
        </w:tc>
      </w:tr>
      <w:tr w:rsidR="00BB6F70" w14:paraId="2C244230" w14:textId="77777777" w:rsidTr="003D1146">
        <w:trPr>
          <w:trHeight w:val="283"/>
        </w:trPr>
        <w:tc>
          <w:tcPr>
            <w:tcW w:w="2667" w:type="dxa"/>
            <w:tcBorders>
              <w:top w:val="nil"/>
              <w:left w:val="nil"/>
              <w:bottom w:val="nil"/>
              <w:right w:val="nil"/>
            </w:tcBorders>
            <w:shd w:val="clear" w:color="000000" w:fill="FFFFFF"/>
            <w:vAlign w:val="center"/>
          </w:tcPr>
          <w:p w14:paraId="04F17E74" w14:textId="77777777" w:rsidR="00BB6F70" w:rsidRDefault="00BB6F70" w:rsidP="00BB6F70">
            <w:pPr>
              <w:rPr>
                <w:rFonts w:ascii="Arial" w:hAnsi="Arial" w:cs="Arial"/>
                <w:color w:val="000000"/>
                <w:sz w:val="22"/>
                <w:szCs w:val="22"/>
              </w:rPr>
            </w:pPr>
          </w:p>
        </w:tc>
        <w:tc>
          <w:tcPr>
            <w:tcW w:w="820" w:type="dxa"/>
            <w:tcBorders>
              <w:top w:val="nil"/>
              <w:left w:val="nil"/>
              <w:bottom w:val="nil"/>
              <w:right w:val="nil"/>
            </w:tcBorders>
            <w:shd w:val="clear" w:color="000000" w:fill="FFFFFF"/>
          </w:tcPr>
          <w:p w14:paraId="3F8CE881"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BC077D4" w14:textId="77777777" w:rsidR="00BB6F70" w:rsidRDefault="00BB6F70" w:rsidP="00BB6F70">
            <w:pPr>
              <w:jc w:val="right"/>
              <w:rPr>
                <w:rFonts w:ascii="Arial" w:hAnsi="Arial" w:cs="Arial"/>
                <w:color w:val="000000"/>
                <w:sz w:val="22"/>
                <w:szCs w:val="22"/>
              </w:rPr>
            </w:pPr>
          </w:p>
        </w:tc>
        <w:tc>
          <w:tcPr>
            <w:tcW w:w="1363" w:type="dxa"/>
            <w:tcBorders>
              <w:left w:val="nil"/>
              <w:bottom w:val="single" w:sz="4" w:space="0" w:color="auto"/>
              <w:right w:val="nil"/>
            </w:tcBorders>
            <w:shd w:val="clear" w:color="000000" w:fill="FFFFFF"/>
          </w:tcPr>
          <w:p w14:paraId="41C1C71F" w14:textId="77777777" w:rsidR="00BB6F70" w:rsidRDefault="00BB6F70" w:rsidP="00BB6F70">
            <w:pPr>
              <w:jc w:val="right"/>
              <w:rPr>
                <w:rFonts w:ascii="Arial" w:hAnsi="Arial" w:cs="Arial"/>
                <w:color w:val="000000"/>
                <w:sz w:val="22"/>
                <w:szCs w:val="22"/>
              </w:rPr>
            </w:pPr>
          </w:p>
        </w:tc>
        <w:tc>
          <w:tcPr>
            <w:tcW w:w="1985" w:type="dxa"/>
            <w:tcBorders>
              <w:left w:val="nil"/>
              <w:bottom w:val="single" w:sz="4" w:space="0" w:color="auto"/>
              <w:right w:val="nil"/>
            </w:tcBorders>
            <w:shd w:val="clear" w:color="000000" w:fill="FFFFFF"/>
            <w:vAlign w:val="center"/>
          </w:tcPr>
          <w:p w14:paraId="4200D890" w14:textId="77777777" w:rsidR="00BB6F70" w:rsidRPr="00BB6F70" w:rsidRDefault="00BB6F70" w:rsidP="00BB6F70">
            <w:pPr>
              <w:jc w:val="right"/>
              <w:rPr>
                <w:rFonts w:ascii="Arial" w:hAnsi="Arial" w:cs="Arial"/>
                <w:color w:val="000000"/>
                <w:sz w:val="22"/>
                <w:szCs w:val="22"/>
              </w:rPr>
            </w:pPr>
          </w:p>
        </w:tc>
        <w:tc>
          <w:tcPr>
            <w:tcW w:w="2126" w:type="dxa"/>
            <w:tcBorders>
              <w:top w:val="nil"/>
              <w:left w:val="nil"/>
              <w:bottom w:val="single" w:sz="4" w:space="0" w:color="auto"/>
              <w:right w:val="nil"/>
            </w:tcBorders>
            <w:shd w:val="clear" w:color="000000" w:fill="FFFFFF"/>
            <w:vAlign w:val="center"/>
          </w:tcPr>
          <w:p w14:paraId="3580E029" w14:textId="77777777" w:rsidR="00BB6F70" w:rsidRPr="008A4A91" w:rsidRDefault="00BB6F70" w:rsidP="00BB6F70">
            <w:pPr>
              <w:jc w:val="right"/>
              <w:rPr>
                <w:rFonts w:ascii="Arial" w:hAnsi="Arial" w:cs="Arial"/>
                <w:b/>
                <w:bCs/>
                <w:color w:val="000000"/>
                <w:sz w:val="22"/>
                <w:szCs w:val="22"/>
              </w:rPr>
            </w:pPr>
          </w:p>
        </w:tc>
      </w:tr>
      <w:tr w:rsidR="00BB6F70" w:rsidRPr="00A035CC" w14:paraId="19FEC518" w14:textId="77777777" w:rsidTr="00717100">
        <w:trPr>
          <w:trHeight w:val="283"/>
        </w:trPr>
        <w:tc>
          <w:tcPr>
            <w:tcW w:w="2667" w:type="dxa"/>
            <w:tcBorders>
              <w:top w:val="nil"/>
              <w:left w:val="nil"/>
              <w:bottom w:val="nil"/>
              <w:right w:val="nil"/>
            </w:tcBorders>
            <w:shd w:val="clear" w:color="000000" w:fill="FFFFFF"/>
            <w:vAlign w:val="center"/>
            <w:hideMark/>
          </w:tcPr>
          <w:p w14:paraId="271F58FF" w14:textId="396F9C26" w:rsidR="00BB6F70" w:rsidRDefault="00BB6F70" w:rsidP="00BB6F70">
            <w:pPr>
              <w:rPr>
                <w:rFonts w:ascii="Arial" w:hAnsi="Arial" w:cs="Arial"/>
                <w:b/>
                <w:bCs/>
                <w:color w:val="000000"/>
                <w:sz w:val="22"/>
                <w:szCs w:val="22"/>
              </w:rPr>
            </w:pPr>
            <w:r>
              <w:rPr>
                <w:rFonts w:ascii="Arial" w:hAnsi="Arial" w:cs="Arial"/>
                <w:b/>
                <w:bCs/>
                <w:color w:val="000000"/>
                <w:sz w:val="22"/>
                <w:szCs w:val="22"/>
              </w:rPr>
              <w:t>Total Investment Assets</w:t>
            </w:r>
          </w:p>
        </w:tc>
        <w:tc>
          <w:tcPr>
            <w:tcW w:w="820" w:type="dxa"/>
            <w:tcBorders>
              <w:top w:val="nil"/>
              <w:left w:val="nil"/>
              <w:bottom w:val="nil"/>
              <w:right w:val="nil"/>
            </w:tcBorders>
            <w:shd w:val="clear" w:color="000000" w:fill="FFFFFF"/>
          </w:tcPr>
          <w:p w14:paraId="78A5FD4F"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2F3B544" w14:textId="77777777" w:rsidR="00BB6F70" w:rsidRDefault="00BB6F70" w:rsidP="00BB6F70">
            <w:pPr>
              <w:jc w:val="right"/>
              <w:rPr>
                <w:rFonts w:ascii="Arial" w:hAnsi="Arial" w:cs="Arial"/>
                <w:color w:val="000000"/>
                <w:sz w:val="22"/>
                <w:szCs w:val="22"/>
              </w:rPr>
            </w:pPr>
          </w:p>
        </w:tc>
        <w:tc>
          <w:tcPr>
            <w:tcW w:w="1363" w:type="dxa"/>
            <w:tcBorders>
              <w:top w:val="single" w:sz="4" w:space="0" w:color="auto"/>
              <w:left w:val="nil"/>
              <w:bottom w:val="single" w:sz="4" w:space="0" w:color="auto"/>
              <w:right w:val="nil"/>
            </w:tcBorders>
            <w:shd w:val="clear" w:color="000000" w:fill="FFFFFF"/>
          </w:tcPr>
          <w:p w14:paraId="2A7DA508" w14:textId="77777777" w:rsidR="00BB6F70" w:rsidRDefault="00BB6F70" w:rsidP="00BB6F70">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hideMark/>
          </w:tcPr>
          <w:p w14:paraId="3130E7A5" w14:textId="77777777" w:rsidR="00BB6F70" w:rsidRPr="00BB6F70" w:rsidRDefault="00BB6F70" w:rsidP="00BB6F70">
            <w:pPr>
              <w:jc w:val="right"/>
              <w:rPr>
                <w:rFonts w:ascii="Arial" w:hAnsi="Arial" w:cs="Arial"/>
                <w:color w:val="000000"/>
                <w:sz w:val="22"/>
                <w:szCs w:val="22"/>
              </w:rPr>
            </w:pPr>
            <w:r w:rsidRPr="00BB6F70">
              <w:rPr>
                <w:rFonts w:ascii="Arial" w:hAnsi="Arial" w:cs="Arial"/>
                <w:sz w:val="22"/>
                <w:szCs w:val="22"/>
              </w:rPr>
              <w:t>1,447,108</w:t>
            </w:r>
          </w:p>
        </w:tc>
        <w:tc>
          <w:tcPr>
            <w:tcW w:w="2126" w:type="dxa"/>
            <w:tcBorders>
              <w:top w:val="single" w:sz="4" w:space="0" w:color="auto"/>
              <w:left w:val="nil"/>
              <w:bottom w:val="single" w:sz="4" w:space="0" w:color="auto"/>
              <w:right w:val="nil"/>
            </w:tcBorders>
            <w:shd w:val="clear" w:color="000000" w:fill="FFFFFF"/>
            <w:vAlign w:val="center"/>
          </w:tcPr>
          <w:p w14:paraId="3C336036" w14:textId="763E19B2" w:rsidR="00BB6F70" w:rsidRPr="00A035CC" w:rsidRDefault="00333FC8" w:rsidP="00BB6F70">
            <w:pPr>
              <w:jc w:val="right"/>
              <w:rPr>
                <w:rFonts w:ascii="Arial" w:hAnsi="Arial" w:cs="Arial"/>
                <w:b/>
                <w:bCs/>
                <w:sz w:val="22"/>
                <w:szCs w:val="22"/>
              </w:rPr>
            </w:pPr>
            <w:r>
              <w:rPr>
                <w:rFonts w:ascii="Arial" w:hAnsi="Arial" w:cs="Arial"/>
                <w:b/>
                <w:bCs/>
                <w:sz w:val="22"/>
                <w:szCs w:val="22"/>
              </w:rPr>
              <w:t>1,511,093</w:t>
            </w:r>
          </w:p>
        </w:tc>
      </w:tr>
      <w:tr w:rsidR="00BB6F70" w14:paraId="34DDF456" w14:textId="77777777" w:rsidTr="003D1146">
        <w:trPr>
          <w:trHeight w:val="100"/>
        </w:trPr>
        <w:tc>
          <w:tcPr>
            <w:tcW w:w="2667" w:type="dxa"/>
            <w:vMerge w:val="restart"/>
            <w:tcBorders>
              <w:left w:val="nil"/>
              <w:bottom w:val="nil"/>
              <w:right w:val="nil"/>
            </w:tcBorders>
            <w:shd w:val="clear" w:color="000000" w:fill="FFFFFF"/>
            <w:vAlign w:val="center"/>
          </w:tcPr>
          <w:p w14:paraId="6FC9CD66" w14:textId="77777777" w:rsidR="00BB6F70" w:rsidRDefault="00BB6F70" w:rsidP="00BB6F70">
            <w:pPr>
              <w:jc w:val="center"/>
              <w:rPr>
                <w:rFonts w:ascii="Arial" w:hAnsi="Arial" w:cs="Arial"/>
                <w:b/>
                <w:bCs/>
                <w:color w:val="000000"/>
                <w:sz w:val="22"/>
                <w:szCs w:val="22"/>
              </w:rPr>
            </w:pPr>
          </w:p>
        </w:tc>
        <w:tc>
          <w:tcPr>
            <w:tcW w:w="820" w:type="dxa"/>
            <w:vMerge w:val="restart"/>
            <w:tcBorders>
              <w:left w:val="nil"/>
              <w:bottom w:val="nil"/>
              <w:right w:val="nil"/>
            </w:tcBorders>
            <w:shd w:val="clear" w:color="000000" w:fill="FFFFFF"/>
          </w:tcPr>
          <w:p w14:paraId="2BD9BF7C" w14:textId="77777777" w:rsidR="00BB6F70" w:rsidRDefault="00BB6F70" w:rsidP="00BB6F70">
            <w:pPr>
              <w:jc w:val="right"/>
              <w:rPr>
                <w:rFonts w:ascii="Arial" w:hAnsi="Arial" w:cs="Arial"/>
                <w:color w:val="000000"/>
                <w:sz w:val="22"/>
                <w:szCs w:val="22"/>
              </w:rPr>
            </w:pPr>
          </w:p>
        </w:tc>
        <w:tc>
          <w:tcPr>
            <w:tcW w:w="820" w:type="dxa"/>
            <w:vMerge w:val="restart"/>
            <w:tcBorders>
              <w:left w:val="nil"/>
              <w:bottom w:val="nil"/>
              <w:right w:val="nil"/>
            </w:tcBorders>
            <w:shd w:val="clear" w:color="000000" w:fill="FFFFFF"/>
          </w:tcPr>
          <w:p w14:paraId="5B93D495" w14:textId="77777777" w:rsidR="00BB6F70" w:rsidRDefault="00BB6F70" w:rsidP="00BB6F70">
            <w:pPr>
              <w:jc w:val="right"/>
              <w:rPr>
                <w:rFonts w:ascii="Arial" w:hAnsi="Arial" w:cs="Arial"/>
                <w:color w:val="000000"/>
                <w:sz w:val="22"/>
                <w:szCs w:val="22"/>
              </w:rPr>
            </w:pPr>
          </w:p>
        </w:tc>
        <w:tc>
          <w:tcPr>
            <w:tcW w:w="1363" w:type="dxa"/>
            <w:tcBorders>
              <w:top w:val="single" w:sz="4" w:space="0" w:color="auto"/>
              <w:left w:val="nil"/>
              <w:right w:val="nil"/>
            </w:tcBorders>
            <w:shd w:val="clear" w:color="000000" w:fill="FFFFFF"/>
          </w:tcPr>
          <w:p w14:paraId="3AD86D7F" w14:textId="77777777" w:rsidR="00BB6F70" w:rsidRDefault="00BB6F70" w:rsidP="00BB6F70">
            <w:pPr>
              <w:jc w:val="right"/>
              <w:rPr>
                <w:rFonts w:ascii="Arial" w:hAnsi="Arial" w:cs="Arial"/>
                <w:color w:val="000000"/>
                <w:sz w:val="22"/>
                <w:szCs w:val="22"/>
              </w:rPr>
            </w:pPr>
          </w:p>
        </w:tc>
        <w:tc>
          <w:tcPr>
            <w:tcW w:w="1985" w:type="dxa"/>
            <w:tcBorders>
              <w:top w:val="single" w:sz="4" w:space="0" w:color="auto"/>
              <w:left w:val="nil"/>
              <w:right w:val="nil"/>
            </w:tcBorders>
            <w:shd w:val="clear" w:color="000000" w:fill="FFFFFF"/>
            <w:vAlign w:val="center"/>
          </w:tcPr>
          <w:p w14:paraId="514F3E7B" w14:textId="02A2CE7E" w:rsidR="00BB6F70" w:rsidRPr="00BB6F70" w:rsidRDefault="00BB6F70" w:rsidP="00BB6F70">
            <w:pPr>
              <w:jc w:val="right"/>
              <w:rPr>
                <w:rFonts w:ascii="Arial" w:hAnsi="Arial" w:cs="Arial"/>
                <w:color w:val="000000"/>
                <w:sz w:val="22"/>
                <w:szCs w:val="22"/>
              </w:rPr>
            </w:pPr>
          </w:p>
        </w:tc>
        <w:tc>
          <w:tcPr>
            <w:tcW w:w="2126" w:type="dxa"/>
            <w:tcBorders>
              <w:top w:val="single" w:sz="4" w:space="0" w:color="auto"/>
              <w:left w:val="nil"/>
              <w:right w:val="nil"/>
            </w:tcBorders>
            <w:shd w:val="clear" w:color="000000" w:fill="FFFFFF"/>
            <w:vAlign w:val="center"/>
          </w:tcPr>
          <w:p w14:paraId="681CD32B" w14:textId="5F2785EE" w:rsidR="00BB6F70" w:rsidRDefault="00BB6F70" w:rsidP="00BB6F70">
            <w:pPr>
              <w:jc w:val="right"/>
              <w:rPr>
                <w:rFonts w:ascii="Arial" w:hAnsi="Arial" w:cs="Arial"/>
                <w:b/>
                <w:bCs/>
                <w:color w:val="000000"/>
                <w:sz w:val="22"/>
                <w:szCs w:val="22"/>
              </w:rPr>
            </w:pPr>
          </w:p>
        </w:tc>
      </w:tr>
      <w:tr w:rsidR="00BB6F70" w:rsidRPr="00754B20" w14:paraId="67F9B107" w14:textId="77777777" w:rsidTr="00B53577">
        <w:trPr>
          <w:trHeight w:val="389"/>
        </w:trPr>
        <w:tc>
          <w:tcPr>
            <w:tcW w:w="2667" w:type="dxa"/>
            <w:vMerge/>
            <w:tcBorders>
              <w:left w:val="nil"/>
              <w:bottom w:val="nil"/>
              <w:right w:val="nil"/>
            </w:tcBorders>
            <w:shd w:val="clear" w:color="000000" w:fill="FFFFFF"/>
            <w:vAlign w:val="center"/>
          </w:tcPr>
          <w:p w14:paraId="72AA3364" w14:textId="77777777" w:rsidR="00BB6F70" w:rsidRDefault="00BB6F70" w:rsidP="00BB6F70">
            <w:pPr>
              <w:jc w:val="center"/>
              <w:rPr>
                <w:rFonts w:ascii="Arial" w:hAnsi="Arial" w:cs="Arial"/>
                <w:b/>
                <w:bCs/>
                <w:color w:val="000000"/>
                <w:sz w:val="22"/>
                <w:szCs w:val="22"/>
              </w:rPr>
            </w:pPr>
          </w:p>
        </w:tc>
        <w:tc>
          <w:tcPr>
            <w:tcW w:w="820" w:type="dxa"/>
            <w:vMerge/>
            <w:tcBorders>
              <w:left w:val="nil"/>
              <w:bottom w:val="nil"/>
              <w:right w:val="nil"/>
            </w:tcBorders>
            <w:shd w:val="clear" w:color="000000" w:fill="FFFFFF"/>
          </w:tcPr>
          <w:p w14:paraId="06828662" w14:textId="77777777" w:rsidR="00BB6F70" w:rsidRDefault="00BB6F70" w:rsidP="00BB6F70">
            <w:pPr>
              <w:jc w:val="right"/>
              <w:rPr>
                <w:rFonts w:ascii="Arial" w:hAnsi="Arial" w:cs="Arial"/>
                <w:b/>
                <w:bCs/>
                <w:color w:val="000000"/>
                <w:sz w:val="22"/>
                <w:szCs w:val="22"/>
              </w:rPr>
            </w:pPr>
          </w:p>
        </w:tc>
        <w:tc>
          <w:tcPr>
            <w:tcW w:w="820" w:type="dxa"/>
            <w:vMerge/>
            <w:tcBorders>
              <w:left w:val="nil"/>
              <w:bottom w:val="nil"/>
              <w:right w:val="nil"/>
            </w:tcBorders>
            <w:shd w:val="clear" w:color="000000" w:fill="FFFFFF"/>
          </w:tcPr>
          <w:p w14:paraId="586A053D" w14:textId="77777777" w:rsidR="00BB6F70" w:rsidRDefault="00BB6F70" w:rsidP="00BB6F70">
            <w:pPr>
              <w:jc w:val="right"/>
              <w:rPr>
                <w:rFonts w:ascii="Arial" w:hAnsi="Arial" w:cs="Arial"/>
                <w:b/>
                <w:bCs/>
                <w:color w:val="000000"/>
                <w:sz w:val="22"/>
                <w:szCs w:val="22"/>
              </w:rPr>
            </w:pPr>
          </w:p>
        </w:tc>
        <w:tc>
          <w:tcPr>
            <w:tcW w:w="1363" w:type="dxa"/>
            <w:tcBorders>
              <w:left w:val="nil"/>
              <w:bottom w:val="single" w:sz="4" w:space="0" w:color="auto"/>
              <w:right w:val="nil"/>
            </w:tcBorders>
            <w:shd w:val="clear" w:color="000000" w:fill="FFFFFF"/>
          </w:tcPr>
          <w:p w14:paraId="26A92889" w14:textId="77777777" w:rsidR="00BB6F70" w:rsidRPr="00754B20" w:rsidRDefault="00BB6F70" w:rsidP="00BB6F70">
            <w:pPr>
              <w:jc w:val="right"/>
              <w:rPr>
                <w:rFonts w:ascii="Arial" w:hAnsi="Arial" w:cs="Arial"/>
                <w:color w:val="000000"/>
                <w:sz w:val="22"/>
                <w:szCs w:val="22"/>
              </w:rPr>
            </w:pPr>
          </w:p>
        </w:tc>
        <w:tc>
          <w:tcPr>
            <w:tcW w:w="1985" w:type="dxa"/>
            <w:tcBorders>
              <w:left w:val="nil"/>
              <w:bottom w:val="single" w:sz="4" w:space="0" w:color="auto"/>
              <w:right w:val="nil"/>
            </w:tcBorders>
            <w:shd w:val="clear" w:color="000000" w:fill="FFFFFF"/>
            <w:vAlign w:val="center"/>
          </w:tcPr>
          <w:p w14:paraId="7657D25E" w14:textId="3A714677" w:rsidR="00BB6F70" w:rsidRPr="00BB6F70" w:rsidRDefault="00BB6F70" w:rsidP="00BB6F70">
            <w:pPr>
              <w:jc w:val="right"/>
              <w:rPr>
                <w:rFonts w:ascii="Arial" w:hAnsi="Arial" w:cs="Arial"/>
                <w:color w:val="000000"/>
                <w:sz w:val="22"/>
                <w:szCs w:val="22"/>
              </w:rPr>
            </w:pPr>
          </w:p>
        </w:tc>
        <w:tc>
          <w:tcPr>
            <w:tcW w:w="2126" w:type="dxa"/>
            <w:tcBorders>
              <w:left w:val="nil"/>
              <w:bottom w:val="single" w:sz="4" w:space="0" w:color="auto"/>
              <w:right w:val="nil"/>
            </w:tcBorders>
            <w:shd w:val="clear" w:color="000000" w:fill="FFFFFF"/>
            <w:vAlign w:val="center"/>
          </w:tcPr>
          <w:p w14:paraId="222E5EDB" w14:textId="671401D0" w:rsidR="00BB6F70" w:rsidRDefault="00BB6F70" w:rsidP="00BB6F70">
            <w:pPr>
              <w:jc w:val="right"/>
              <w:rPr>
                <w:rFonts w:ascii="Arial" w:hAnsi="Arial" w:cs="Arial"/>
                <w:b/>
                <w:bCs/>
                <w:color w:val="000000"/>
                <w:sz w:val="22"/>
                <w:szCs w:val="22"/>
              </w:rPr>
            </w:pPr>
          </w:p>
        </w:tc>
      </w:tr>
      <w:tr w:rsidR="00BB6F70" w:rsidRPr="00A035CC" w14:paraId="114129A8" w14:textId="77777777" w:rsidTr="00B53577">
        <w:trPr>
          <w:trHeight w:val="283"/>
        </w:trPr>
        <w:tc>
          <w:tcPr>
            <w:tcW w:w="2667" w:type="dxa"/>
            <w:tcBorders>
              <w:top w:val="nil"/>
              <w:left w:val="nil"/>
              <w:bottom w:val="nil"/>
              <w:right w:val="nil"/>
            </w:tcBorders>
            <w:shd w:val="clear" w:color="000000" w:fill="FFFFFF"/>
            <w:vAlign w:val="center"/>
            <w:hideMark/>
          </w:tcPr>
          <w:p w14:paraId="5857B3FE" w14:textId="77777777" w:rsidR="00BB6F70" w:rsidRDefault="00BB6F70" w:rsidP="00BB6F70">
            <w:pPr>
              <w:rPr>
                <w:rFonts w:ascii="Arial" w:hAnsi="Arial" w:cs="Arial"/>
                <w:b/>
                <w:bCs/>
                <w:color w:val="000000"/>
                <w:sz w:val="22"/>
                <w:szCs w:val="22"/>
              </w:rPr>
            </w:pPr>
            <w:r>
              <w:rPr>
                <w:rFonts w:ascii="Arial" w:hAnsi="Arial" w:cs="Arial"/>
                <w:b/>
                <w:bCs/>
                <w:color w:val="000000"/>
                <w:sz w:val="22"/>
                <w:szCs w:val="22"/>
              </w:rPr>
              <w:t>Net Investment Assets</w:t>
            </w:r>
          </w:p>
        </w:tc>
        <w:tc>
          <w:tcPr>
            <w:tcW w:w="820" w:type="dxa"/>
            <w:tcBorders>
              <w:top w:val="nil"/>
              <w:left w:val="nil"/>
              <w:bottom w:val="nil"/>
              <w:right w:val="nil"/>
            </w:tcBorders>
            <w:shd w:val="clear" w:color="000000" w:fill="FFFFFF"/>
          </w:tcPr>
          <w:p w14:paraId="15EE7BD8" w14:textId="77777777" w:rsidR="00BB6F70" w:rsidRDefault="00BB6F70" w:rsidP="00BB6F70">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0482A8D8" w14:textId="622A904B" w:rsidR="00BB6F70" w:rsidRDefault="00BB6F70" w:rsidP="00BB6F70">
            <w:pPr>
              <w:jc w:val="right"/>
              <w:rPr>
                <w:rFonts w:ascii="Arial" w:hAnsi="Arial" w:cs="Arial"/>
                <w:color w:val="000000"/>
                <w:sz w:val="22"/>
                <w:szCs w:val="22"/>
              </w:rPr>
            </w:pPr>
          </w:p>
        </w:tc>
        <w:tc>
          <w:tcPr>
            <w:tcW w:w="1363" w:type="dxa"/>
            <w:tcBorders>
              <w:top w:val="single" w:sz="4" w:space="0" w:color="auto"/>
              <w:left w:val="nil"/>
              <w:bottom w:val="single" w:sz="8" w:space="0" w:color="auto"/>
              <w:right w:val="nil"/>
            </w:tcBorders>
            <w:shd w:val="clear" w:color="000000" w:fill="FFFFFF"/>
          </w:tcPr>
          <w:p w14:paraId="0C77FFEE" w14:textId="77777777" w:rsidR="00BB6F70" w:rsidRDefault="00BB6F70" w:rsidP="00BB6F70">
            <w:pPr>
              <w:jc w:val="right"/>
              <w:rPr>
                <w:rFonts w:ascii="Arial" w:hAnsi="Arial" w:cs="Arial"/>
                <w:color w:val="000000"/>
                <w:sz w:val="22"/>
                <w:szCs w:val="22"/>
              </w:rPr>
            </w:pPr>
          </w:p>
        </w:tc>
        <w:tc>
          <w:tcPr>
            <w:tcW w:w="1985" w:type="dxa"/>
            <w:tcBorders>
              <w:top w:val="single" w:sz="4" w:space="0" w:color="auto"/>
              <w:left w:val="nil"/>
              <w:bottom w:val="single" w:sz="8" w:space="0" w:color="auto"/>
              <w:right w:val="nil"/>
            </w:tcBorders>
            <w:shd w:val="clear" w:color="000000" w:fill="FFFFFF"/>
            <w:vAlign w:val="center"/>
            <w:hideMark/>
          </w:tcPr>
          <w:p w14:paraId="37A1044C" w14:textId="78EF9106" w:rsidR="00BB6F70" w:rsidRPr="00BB6F70" w:rsidRDefault="00BB6F70" w:rsidP="00BB6F70">
            <w:pPr>
              <w:jc w:val="right"/>
              <w:rPr>
                <w:rFonts w:ascii="Arial" w:hAnsi="Arial" w:cs="Arial"/>
                <w:color w:val="000000"/>
                <w:sz w:val="22"/>
                <w:szCs w:val="22"/>
              </w:rPr>
            </w:pPr>
            <w:r w:rsidRPr="00BB6F70">
              <w:rPr>
                <w:rFonts w:ascii="Arial" w:hAnsi="Arial" w:cs="Arial"/>
                <w:sz w:val="22"/>
                <w:szCs w:val="22"/>
              </w:rPr>
              <w:t>1,447,108</w:t>
            </w:r>
          </w:p>
        </w:tc>
        <w:tc>
          <w:tcPr>
            <w:tcW w:w="2126" w:type="dxa"/>
            <w:tcBorders>
              <w:top w:val="single" w:sz="4" w:space="0" w:color="auto"/>
              <w:left w:val="nil"/>
              <w:bottom w:val="single" w:sz="8" w:space="0" w:color="auto"/>
              <w:right w:val="nil"/>
            </w:tcBorders>
            <w:shd w:val="clear" w:color="000000" w:fill="FFFFFF"/>
            <w:vAlign w:val="center"/>
          </w:tcPr>
          <w:p w14:paraId="372E961A" w14:textId="58E2145B" w:rsidR="00BB6F70" w:rsidRPr="00A035CC" w:rsidRDefault="00333FC8" w:rsidP="00BB6F70">
            <w:pPr>
              <w:jc w:val="right"/>
              <w:rPr>
                <w:rFonts w:ascii="Arial" w:hAnsi="Arial" w:cs="Arial"/>
                <w:b/>
                <w:bCs/>
                <w:sz w:val="22"/>
                <w:szCs w:val="22"/>
              </w:rPr>
            </w:pPr>
            <w:r>
              <w:rPr>
                <w:rFonts w:ascii="Arial" w:hAnsi="Arial" w:cs="Arial"/>
                <w:b/>
                <w:bCs/>
                <w:sz w:val="22"/>
                <w:szCs w:val="22"/>
              </w:rPr>
              <w:t>1,511,093</w:t>
            </w:r>
          </w:p>
        </w:tc>
      </w:tr>
    </w:tbl>
    <w:p w14:paraId="6A938222" w14:textId="051AD695" w:rsidR="00186848" w:rsidRPr="00C330F1" w:rsidRDefault="001A248E" w:rsidP="00C330F1">
      <w:pPr>
        <w:pStyle w:val="ListParagraph"/>
        <w:numPr>
          <w:ilvl w:val="0"/>
          <w:numId w:val="24"/>
        </w:numPr>
        <w:spacing w:after="0" w:line="240" w:lineRule="auto"/>
        <w:jc w:val="both"/>
        <w:rPr>
          <w:rFonts w:ascii="Arial" w:hAnsi="Arial" w:cs="Arial"/>
          <w:b/>
          <w:bCs/>
        </w:rPr>
      </w:pPr>
      <w:r w:rsidRPr="00C330F1">
        <w:rPr>
          <w:rFonts w:ascii="Arial" w:hAnsi="Arial" w:cs="Arial"/>
          <w:b/>
          <w:bCs/>
        </w:rPr>
        <w:tab/>
      </w:r>
      <w:r w:rsidRPr="00C330F1">
        <w:rPr>
          <w:rFonts w:ascii="Arial" w:hAnsi="Arial" w:cs="Arial"/>
          <w:b/>
          <w:color w:val="000000"/>
        </w:rPr>
        <w:t xml:space="preserve">Reconciliation of movements </w:t>
      </w:r>
      <w:r w:rsidR="00C22494" w:rsidRPr="00C330F1">
        <w:rPr>
          <w:rFonts w:ascii="Arial" w:hAnsi="Arial" w:cs="Arial"/>
          <w:b/>
          <w:color w:val="000000"/>
        </w:rPr>
        <w:t>in investments and derivatives</w:t>
      </w:r>
      <w:r w:rsidR="00C22494" w:rsidRPr="00C330F1">
        <w:rPr>
          <w:rFonts w:ascii="Arial" w:hAnsi="Arial" w:cs="Arial"/>
          <w:b/>
          <w:bCs/>
        </w:rPr>
        <w:t xml:space="preserve"> </w:t>
      </w:r>
    </w:p>
    <w:p w14:paraId="3FE74BD2" w14:textId="77777777" w:rsidR="00186848" w:rsidRDefault="00186848" w:rsidP="00517F4D">
      <w:pPr>
        <w:tabs>
          <w:tab w:val="left" w:pos="284"/>
        </w:tabs>
        <w:jc w:val="both"/>
        <w:rPr>
          <w:rFonts w:ascii="Arial" w:hAnsi="Arial" w:cs="Arial"/>
          <w:sz w:val="20"/>
          <w:szCs w:val="20"/>
        </w:rPr>
      </w:pPr>
    </w:p>
    <w:p w14:paraId="2DAACC64" w14:textId="77777777" w:rsidR="00E91DF1" w:rsidRDefault="00E91DF1" w:rsidP="00517F4D">
      <w:pPr>
        <w:tabs>
          <w:tab w:val="left" w:pos="284"/>
        </w:tabs>
        <w:jc w:val="both"/>
        <w:rPr>
          <w:rFonts w:ascii="Arial" w:hAnsi="Arial" w:cs="Arial"/>
          <w:sz w:val="20"/>
          <w:szCs w:val="20"/>
        </w:rPr>
      </w:pPr>
    </w:p>
    <w:p w14:paraId="6F06368D" w14:textId="77777777" w:rsidR="00186848" w:rsidRDefault="00186848" w:rsidP="00517F4D">
      <w:pPr>
        <w:tabs>
          <w:tab w:val="left" w:pos="284"/>
        </w:tabs>
        <w:jc w:val="both"/>
        <w:rPr>
          <w:rFonts w:ascii="Arial" w:hAnsi="Arial" w:cs="Arial"/>
          <w:sz w:val="20"/>
          <w:szCs w:val="20"/>
        </w:rPr>
      </w:pPr>
    </w:p>
    <w:tbl>
      <w:tblPr>
        <w:tblW w:w="10065" w:type="dxa"/>
        <w:jc w:val="center"/>
        <w:tblLook w:val="04A0" w:firstRow="1" w:lastRow="0" w:firstColumn="1" w:lastColumn="0" w:noHBand="0" w:noVBand="1"/>
      </w:tblPr>
      <w:tblGrid>
        <w:gridCol w:w="2398"/>
        <w:gridCol w:w="1453"/>
        <w:gridCol w:w="1409"/>
        <w:gridCol w:w="1544"/>
        <w:gridCol w:w="1701"/>
        <w:gridCol w:w="1560"/>
      </w:tblGrid>
      <w:tr w:rsidR="00DC5B6E" w:rsidRPr="00DC5B6E" w14:paraId="7265FC0F" w14:textId="77777777" w:rsidTr="00490F19">
        <w:trPr>
          <w:trHeight w:val="76"/>
          <w:jc w:val="center"/>
        </w:trPr>
        <w:tc>
          <w:tcPr>
            <w:tcW w:w="2398" w:type="dxa"/>
            <w:shd w:val="clear" w:color="FFFFFF" w:fill="FFFFFF"/>
            <w:vAlign w:val="bottom"/>
            <w:hideMark/>
          </w:tcPr>
          <w:p w14:paraId="38D335BD" w14:textId="77777777" w:rsidR="00AC420D" w:rsidRPr="00DC5B6E" w:rsidRDefault="00AC420D" w:rsidP="005B5AE3">
            <w:pPr>
              <w:tabs>
                <w:tab w:val="left" w:pos="284"/>
              </w:tabs>
              <w:jc w:val="both"/>
              <w:rPr>
                <w:rFonts w:ascii="Arial" w:hAnsi="Arial" w:cs="Arial"/>
                <w:sz w:val="22"/>
                <w:szCs w:val="22"/>
              </w:rPr>
            </w:pPr>
            <w:r w:rsidRPr="00DC5B6E">
              <w:rPr>
                <w:rFonts w:ascii="Arial" w:hAnsi="Arial" w:cs="Arial"/>
                <w:sz w:val="22"/>
                <w:szCs w:val="22"/>
              </w:rPr>
              <w:t> </w:t>
            </w:r>
          </w:p>
        </w:tc>
        <w:tc>
          <w:tcPr>
            <w:tcW w:w="1453" w:type="dxa"/>
            <w:shd w:val="clear" w:color="FFFFFF" w:fill="FFFFFF"/>
            <w:noWrap/>
            <w:vAlign w:val="bottom"/>
            <w:hideMark/>
          </w:tcPr>
          <w:p w14:paraId="19C16EA0" w14:textId="55BCAD8E"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bCs/>
                <w:sz w:val="22"/>
                <w:szCs w:val="22"/>
              </w:rPr>
              <w:t>31/03/202</w:t>
            </w:r>
            <w:r w:rsidR="006E2011" w:rsidRPr="00DC5B6E">
              <w:rPr>
                <w:rFonts w:ascii="Arial" w:hAnsi="Arial" w:cs="Arial"/>
                <w:b/>
                <w:bCs/>
                <w:sz w:val="22"/>
                <w:szCs w:val="22"/>
              </w:rPr>
              <w:t>4</w:t>
            </w:r>
          </w:p>
        </w:tc>
        <w:tc>
          <w:tcPr>
            <w:tcW w:w="1409" w:type="dxa"/>
            <w:shd w:val="clear" w:color="FFFFFF" w:fill="FFFFFF"/>
            <w:noWrap/>
            <w:vAlign w:val="bottom"/>
            <w:hideMark/>
          </w:tcPr>
          <w:p w14:paraId="2CBDB73C"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bCs/>
                <w:sz w:val="22"/>
                <w:szCs w:val="22"/>
              </w:rPr>
              <w:t>Purchases</w:t>
            </w:r>
          </w:p>
        </w:tc>
        <w:tc>
          <w:tcPr>
            <w:tcW w:w="1544" w:type="dxa"/>
            <w:shd w:val="clear" w:color="FFFFFF" w:fill="FFFFFF"/>
            <w:noWrap/>
            <w:vAlign w:val="bottom"/>
            <w:hideMark/>
          </w:tcPr>
          <w:p w14:paraId="052B3ABD"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bCs/>
                <w:sz w:val="22"/>
                <w:szCs w:val="22"/>
              </w:rPr>
              <w:t>Sales</w:t>
            </w:r>
          </w:p>
        </w:tc>
        <w:tc>
          <w:tcPr>
            <w:tcW w:w="1701" w:type="dxa"/>
            <w:shd w:val="clear" w:color="FFFFFF" w:fill="FFFFFF"/>
            <w:noWrap/>
            <w:vAlign w:val="bottom"/>
            <w:hideMark/>
          </w:tcPr>
          <w:p w14:paraId="66791224" w14:textId="2A4A9AC4" w:rsidR="00AC420D" w:rsidRPr="00DC5B6E" w:rsidRDefault="000045D8" w:rsidP="005B5AE3">
            <w:pPr>
              <w:tabs>
                <w:tab w:val="left" w:pos="284"/>
              </w:tabs>
              <w:jc w:val="center"/>
              <w:rPr>
                <w:rFonts w:ascii="Arial" w:hAnsi="Arial" w:cs="Arial"/>
                <w:b/>
                <w:bCs/>
                <w:sz w:val="22"/>
                <w:szCs w:val="22"/>
              </w:rPr>
            </w:pPr>
            <w:r>
              <w:rPr>
                <w:rFonts w:ascii="Arial" w:hAnsi="Arial" w:cs="Arial"/>
                <w:b/>
                <w:bCs/>
                <w:sz w:val="22"/>
                <w:szCs w:val="22"/>
              </w:rPr>
              <w:t xml:space="preserve">Change in </w:t>
            </w:r>
            <w:r w:rsidR="00077D3E">
              <w:rPr>
                <w:rFonts w:ascii="Arial" w:hAnsi="Arial" w:cs="Arial"/>
                <w:b/>
                <w:bCs/>
                <w:sz w:val="22"/>
                <w:szCs w:val="22"/>
              </w:rPr>
              <w:t>Fair Value</w:t>
            </w:r>
          </w:p>
        </w:tc>
        <w:tc>
          <w:tcPr>
            <w:tcW w:w="1560" w:type="dxa"/>
            <w:shd w:val="clear" w:color="FFFFFF" w:fill="FFFFFF"/>
            <w:noWrap/>
            <w:vAlign w:val="bottom"/>
            <w:hideMark/>
          </w:tcPr>
          <w:p w14:paraId="6CD64019" w14:textId="3731DA2D"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bCs/>
                <w:sz w:val="22"/>
                <w:szCs w:val="22"/>
              </w:rPr>
              <w:t>31/03/202</w:t>
            </w:r>
            <w:r w:rsidR="006E2011" w:rsidRPr="00DC5B6E">
              <w:rPr>
                <w:rFonts w:ascii="Arial" w:hAnsi="Arial" w:cs="Arial"/>
                <w:b/>
                <w:bCs/>
                <w:sz w:val="22"/>
                <w:szCs w:val="22"/>
              </w:rPr>
              <w:t>5</w:t>
            </w:r>
          </w:p>
        </w:tc>
      </w:tr>
      <w:tr w:rsidR="00DC5B6E" w:rsidRPr="00DC5B6E" w14:paraId="6A71102E" w14:textId="77777777" w:rsidTr="00490F19">
        <w:trPr>
          <w:trHeight w:val="76"/>
          <w:jc w:val="center"/>
        </w:trPr>
        <w:tc>
          <w:tcPr>
            <w:tcW w:w="2398" w:type="dxa"/>
            <w:shd w:val="clear" w:color="FFFFFF" w:fill="FFFFFF"/>
            <w:vAlign w:val="bottom"/>
            <w:hideMark/>
          </w:tcPr>
          <w:p w14:paraId="4D83CAC0" w14:textId="77777777" w:rsidR="00AC420D" w:rsidRPr="00DC5B6E" w:rsidRDefault="00AC420D" w:rsidP="005B5AE3">
            <w:pPr>
              <w:tabs>
                <w:tab w:val="left" w:pos="284"/>
              </w:tabs>
              <w:jc w:val="both"/>
              <w:rPr>
                <w:rFonts w:ascii="Arial" w:hAnsi="Arial" w:cs="Arial"/>
                <w:sz w:val="22"/>
                <w:szCs w:val="22"/>
              </w:rPr>
            </w:pPr>
            <w:r w:rsidRPr="00DC5B6E">
              <w:rPr>
                <w:rFonts w:ascii="Arial" w:hAnsi="Arial" w:cs="Arial"/>
                <w:sz w:val="22"/>
                <w:szCs w:val="22"/>
              </w:rPr>
              <w:t> </w:t>
            </w:r>
          </w:p>
        </w:tc>
        <w:tc>
          <w:tcPr>
            <w:tcW w:w="1453" w:type="dxa"/>
            <w:shd w:val="clear" w:color="FFFFFF" w:fill="FFFFFF"/>
            <w:noWrap/>
            <w:vAlign w:val="bottom"/>
            <w:hideMark/>
          </w:tcPr>
          <w:p w14:paraId="540618F7"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sz w:val="22"/>
                <w:szCs w:val="22"/>
              </w:rPr>
              <w:t>£000</w:t>
            </w:r>
          </w:p>
        </w:tc>
        <w:tc>
          <w:tcPr>
            <w:tcW w:w="1409" w:type="dxa"/>
            <w:shd w:val="clear" w:color="FFFFFF" w:fill="FFFFFF"/>
            <w:noWrap/>
            <w:vAlign w:val="bottom"/>
            <w:hideMark/>
          </w:tcPr>
          <w:p w14:paraId="08F8A72E"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sz w:val="22"/>
                <w:szCs w:val="22"/>
              </w:rPr>
              <w:t>£000</w:t>
            </w:r>
          </w:p>
        </w:tc>
        <w:tc>
          <w:tcPr>
            <w:tcW w:w="1544" w:type="dxa"/>
            <w:shd w:val="clear" w:color="FFFFFF" w:fill="FFFFFF"/>
            <w:noWrap/>
            <w:vAlign w:val="bottom"/>
            <w:hideMark/>
          </w:tcPr>
          <w:p w14:paraId="46325552"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sz w:val="22"/>
                <w:szCs w:val="22"/>
              </w:rPr>
              <w:t>£000</w:t>
            </w:r>
          </w:p>
        </w:tc>
        <w:tc>
          <w:tcPr>
            <w:tcW w:w="1701" w:type="dxa"/>
            <w:shd w:val="clear" w:color="FFFFFF" w:fill="FFFFFF"/>
            <w:noWrap/>
            <w:vAlign w:val="bottom"/>
            <w:hideMark/>
          </w:tcPr>
          <w:p w14:paraId="13FFFAD1"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sz w:val="22"/>
                <w:szCs w:val="22"/>
              </w:rPr>
              <w:t>£000</w:t>
            </w:r>
          </w:p>
        </w:tc>
        <w:tc>
          <w:tcPr>
            <w:tcW w:w="1560" w:type="dxa"/>
            <w:shd w:val="clear" w:color="FFFFFF" w:fill="FFFFFF"/>
            <w:noWrap/>
            <w:vAlign w:val="bottom"/>
            <w:hideMark/>
          </w:tcPr>
          <w:p w14:paraId="3859DC9C" w14:textId="77777777" w:rsidR="00AC420D" w:rsidRPr="00DC5B6E" w:rsidRDefault="00AC420D" w:rsidP="005B5AE3">
            <w:pPr>
              <w:tabs>
                <w:tab w:val="left" w:pos="284"/>
              </w:tabs>
              <w:jc w:val="center"/>
              <w:rPr>
                <w:rFonts w:ascii="Arial" w:hAnsi="Arial" w:cs="Arial"/>
                <w:b/>
                <w:bCs/>
                <w:sz w:val="22"/>
                <w:szCs w:val="22"/>
              </w:rPr>
            </w:pPr>
            <w:r w:rsidRPr="00DC5B6E">
              <w:rPr>
                <w:rFonts w:ascii="Arial" w:hAnsi="Arial" w:cs="Arial"/>
                <w:b/>
                <w:sz w:val="22"/>
                <w:szCs w:val="22"/>
              </w:rPr>
              <w:t>£000</w:t>
            </w:r>
          </w:p>
        </w:tc>
      </w:tr>
      <w:tr w:rsidR="00DC5B6E" w:rsidRPr="00DC5B6E" w14:paraId="3C1A050F" w14:textId="77777777" w:rsidTr="00490F19">
        <w:trPr>
          <w:trHeight w:val="76"/>
          <w:jc w:val="center"/>
        </w:trPr>
        <w:tc>
          <w:tcPr>
            <w:tcW w:w="2398" w:type="dxa"/>
            <w:shd w:val="clear" w:color="FFFFFF" w:fill="FFFFFF"/>
            <w:hideMark/>
          </w:tcPr>
          <w:p w14:paraId="0E86A7CE" w14:textId="187168D2"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 xml:space="preserve">Bonds </w:t>
            </w:r>
          </w:p>
        </w:tc>
        <w:tc>
          <w:tcPr>
            <w:tcW w:w="1453" w:type="dxa"/>
            <w:shd w:val="clear" w:color="FFFFFF" w:fill="FFFFFF"/>
            <w:noWrap/>
          </w:tcPr>
          <w:p w14:paraId="5EE03D4F" w14:textId="2BBD1D51"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119,346</w:t>
            </w:r>
          </w:p>
        </w:tc>
        <w:tc>
          <w:tcPr>
            <w:tcW w:w="1409" w:type="dxa"/>
            <w:shd w:val="clear" w:color="FFFFFF" w:fill="FFFFFF"/>
            <w:noWrap/>
            <w:vAlign w:val="center"/>
          </w:tcPr>
          <w:p w14:paraId="5B9CF7BC" w14:textId="6F2D867C"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318</w:t>
            </w:r>
          </w:p>
        </w:tc>
        <w:tc>
          <w:tcPr>
            <w:tcW w:w="1544" w:type="dxa"/>
            <w:shd w:val="clear" w:color="FFFFFF" w:fill="FFFFFF"/>
            <w:noWrap/>
            <w:vAlign w:val="center"/>
          </w:tcPr>
          <w:p w14:paraId="2FD8C0B0" w14:textId="7F3CD15A"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p>
        </w:tc>
        <w:tc>
          <w:tcPr>
            <w:tcW w:w="1701" w:type="dxa"/>
            <w:shd w:val="clear" w:color="FFFFFF" w:fill="FFFFFF"/>
            <w:noWrap/>
            <w:vAlign w:val="center"/>
          </w:tcPr>
          <w:p w14:paraId="2964EE2A" w14:textId="2A66C624"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4,981</w:t>
            </w:r>
          </w:p>
        </w:tc>
        <w:tc>
          <w:tcPr>
            <w:tcW w:w="1560" w:type="dxa"/>
            <w:shd w:val="clear" w:color="FFFFFF" w:fill="FFFFFF"/>
            <w:noWrap/>
            <w:vAlign w:val="center"/>
          </w:tcPr>
          <w:p w14:paraId="5C5B7811" w14:textId="43CC15FD"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124,645</w:t>
            </w:r>
          </w:p>
        </w:tc>
      </w:tr>
      <w:tr w:rsidR="00DC5B6E" w:rsidRPr="00DC5B6E" w14:paraId="663745F0" w14:textId="77777777" w:rsidTr="00490F19">
        <w:trPr>
          <w:trHeight w:val="76"/>
          <w:jc w:val="center"/>
        </w:trPr>
        <w:tc>
          <w:tcPr>
            <w:tcW w:w="2398" w:type="dxa"/>
            <w:shd w:val="clear" w:color="FFFFFF" w:fill="FFFFFF"/>
            <w:hideMark/>
          </w:tcPr>
          <w:p w14:paraId="4D40E4F8" w14:textId="21E5AF8F"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Equities</w:t>
            </w:r>
          </w:p>
        </w:tc>
        <w:tc>
          <w:tcPr>
            <w:tcW w:w="1453" w:type="dxa"/>
            <w:shd w:val="clear" w:color="FFFFFF" w:fill="FFFFFF"/>
            <w:noWrap/>
          </w:tcPr>
          <w:p w14:paraId="4D9CD3BC" w14:textId="35B31AB4"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552,05</w:t>
            </w:r>
            <w:r w:rsidR="004F1970" w:rsidRPr="00DC5B6E">
              <w:rPr>
                <w:rFonts w:ascii="Arial" w:hAnsi="Arial" w:cs="Arial"/>
                <w:sz w:val="22"/>
                <w:szCs w:val="22"/>
              </w:rPr>
              <w:t>7</w:t>
            </w:r>
          </w:p>
        </w:tc>
        <w:tc>
          <w:tcPr>
            <w:tcW w:w="1409" w:type="dxa"/>
            <w:shd w:val="clear" w:color="FFFFFF" w:fill="FFFFFF"/>
            <w:noWrap/>
            <w:vAlign w:val="center"/>
          </w:tcPr>
          <w:p w14:paraId="1473C4BE" w14:textId="06FD988E"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776</w:t>
            </w:r>
          </w:p>
        </w:tc>
        <w:tc>
          <w:tcPr>
            <w:tcW w:w="1544" w:type="dxa"/>
            <w:shd w:val="clear" w:color="FFFFFF" w:fill="FFFFFF"/>
            <w:noWrap/>
            <w:vAlign w:val="center"/>
          </w:tcPr>
          <w:p w14:paraId="384F60A6" w14:textId="5B386F71"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p>
        </w:tc>
        <w:tc>
          <w:tcPr>
            <w:tcW w:w="1701" w:type="dxa"/>
            <w:shd w:val="clear" w:color="FFFFFF" w:fill="FFFFFF"/>
            <w:noWrap/>
            <w:vAlign w:val="center"/>
          </w:tcPr>
          <w:p w14:paraId="583B9FE9" w14:textId="5240687E"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30,905</w:t>
            </w:r>
          </w:p>
        </w:tc>
        <w:tc>
          <w:tcPr>
            <w:tcW w:w="1560" w:type="dxa"/>
            <w:shd w:val="clear" w:color="FFFFFF" w:fill="FFFFFF"/>
            <w:noWrap/>
            <w:vAlign w:val="center"/>
          </w:tcPr>
          <w:p w14:paraId="0336BE82" w14:textId="0BF57AC6"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583,738</w:t>
            </w:r>
          </w:p>
        </w:tc>
      </w:tr>
      <w:tr w:rsidR="00DC5B6E" w:rsidRPr="00DC5B6E" w14:paraId="1D4CBFB0" w14:textId="77777777" w:rsidTr="00490F19">
        <w:trPr>
          <w:trHeight w:val="76"/>
          <w:jc w:val="center"/>
        </w:trPr>
        <w:tc>
          <w:tcPr>
            <w:tcW w:w="2398" w:type="dxa"/>
            <w:shd w:val="clear" w:color="FFFFFF" w:fill="FFFFFF"/>
            <w:hideMark/>
          </w:tcPr>
          <w:p w14:paraId="7182E850" w14:textId="62563AF6"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Pooled Investments</w:t>
            </w:r>
          </w:p>
        </w:tc>
        <w:tc>
          <w:tcPr>
            <w:tcW w:w="1453" w:type="dxa"/>
            <w:shd w:val="clear" w:color="FFFFFF" w:fill="FFFFFF"/>
            <w:noWrap/>
          </w:tcPr>
          <w:p w14:paraId="46173F58" w14:textId="1E9E8223"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489,430</w:t>
            </w:r>
          </w:p>
        </w:tc>
        <w:tc>
          <w:tcPr>
            <w:tcW w:w="1409" w:type="dxa"/>
            <w:shd w:val="clear" w:color="FFFFFF" w:fill="FFFFFF"/>
            <w:noWrap/>
            <w:vAlign w:val="center"/>
          </w:tcPr>
          <w:p w14:paraId="04E5FD98" w14:textId="1F376769"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9,708</w:t>
            </w:r>
          </w:p>
        </w:tc>
        <w:tc>
          <w:tcPr>
            <w:tcW w:w="1544" w:type="dxa"/>
            <w:shd w:val="clear" w:color="FFFFFF" w:fill="FFFFFF"/>
            <w:noWrap/>
            <w:vAlign w:val="center"/>
          </w:tcPr>
          <w:p w14:paraId="063E75E8" w14:textId="316FB9DB"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(4</w:t>
            </w:r>
            <w:r w:rsidR="00211E69" w:rsidRPr="00DC5B6E">
              <w:rPr>
                <w:rFonts w:ascii="Arial" w:hAnsi="Arial" w:cs="Arial"/>
                <w:sz w:val="22"/>
                <w:szCs w:val="22"/>
              </w:rPr>
              <w:t>7,000</w:t>
            </w:r>
            <w:r w:rsidRPr="00DC5B6E">
              <w:rPr>
                <w:rFonts w:ascii="Arial" w:hAnsi="Arial" w:cs="Arial"/>
                <w:sz w:val="22"/>
                <w:szCs w:val="22"/>
              </w:rPr>
              <w:t>)</w:t>
            </w:r>
          </w:p>
        </w:tc>
        <w:tc>
          <w:tcPr>
            <w:tcW w:w="1701" w:type="dxa"/>
            <w:shd w:val="clear" w:color="FFFFFF" w:fill="FFFFFF"/>
            <w:noWrap/>
            <w:vAlign w:val="center"/>
          </w:tcPr>
          <w:p w14:paraId="253DF5E9" w14:textId="70D1CC9C"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r w:rsidR="0007649D" w:rsidRPr="00DC5B6E">
              <w:rPr>
                <w:rFonts w:ascii="Arial" w:hAnsi="Arial" w:cs="Arial"/>
                <w:sz w:val="22"/>
                <w:szCs w:val="22"/>
              </w:rPr>
              <w:t>419</w:t>
            </w:r>
            <w:r w:rsidRPr="00DC5B6E">
              <w:rPr>
                <w:rFonts w:ascii="Arial" w:hAnsi="Arial" w:cs="Arial"/>
                <w:sz w:val="22"/>
                <w:szCs w:val="22"/>
              </w:rPr>
              <w:t>)</w:t>
            </w:r>
          </w:p>
        </w:tc>
        <w:tc>
          <w:tcPr>
            <w:tcW w:w="1560" w:type="dxa"/>
            <w:shd w:val="clear" w:color="FFFFFF" w:fill="FFFFFF"/>
            <w:noWrap/>
            <w:vAlign w:val="center"/>
          </w:tcPr>
          <w:p w14:paraId="586E5F59" w14:textId="0AD0645C"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451,719</w:t>
            </w:r>
          </w:p>
        </w:tc>
      </w:tr>
      <w:tr w:rsidR="00256EC3" w:rsidRPr="00DC5B6E" w14:paraId="342C9782" w14:textId="77777777" w:rsidTr="00490F19">
        <w:trPr>
          <w:trHeight w:val="76"/>
          <w:jc w:val="center"/>
        </w:trPr>
        <w:tc>
          <w:tcPr>
            <w:tcW w:w="2398" w:type="dxa"/>
            <w:shd w:val="clear" w:color="FFFFFF" w:fill="FFFFFF"/>
          </w:tcPr>
          <w:p w14:paraId="518425A2" w14:textId="41AA1B46" w:rsidR="00256EC3" w:rsidRPr="00DC5B6E" w:rsidRDefault="00256EC3" w:rsidP="00EF41B2">
            <w:pPr>
              <w:tabs>
                <w:tab w:val="left" w:pos="284"/>
              </w:tabs>
              <w:jc w:val="both"/>
              <w:rPr>
                <w:rFonts w:ascii="Arial" w:hAnsi="Arial" w:cs="Arial"/>
                <w:sz w:val="22"/>
                <w:szCs w:val="22"/>
              </w:rPr>
            </w:pPr>
            <w:r w:rsidRPr="00DC5B6E">
              <w:rPr>
                <w:rFonts w:ascii="Arial" w:hAnsi="Arial" w:cs="Arial"/>
                <w:sz w:val="22"/>
                <w:szCs w:val="22"/>
              </w:rPr>
              <w:t>Infrastructure</w:t>
            </w:r>
          </w:p>
        </w:tc>
        <w:tc>
          <w:tcPr>
            <w:tcW w:w="1453" w:type="dxa"/>
            <w:tcBorders>
              <w:top w:val="nil"/>
              <w:left w:val="nil"/>
              <w:bottom w:val="nil"/>
              <w:right w:val="nil"/>
            </w:tcBorders>
            <w:shd w:val="clear" w:color="auto" w:fill="auto"/>
            <w:noWrap/>
            <w:vAlign w:val="center"/>
          </w:tcPr>
          <w:p w14:paraId="55A496C9" w14:textId="72D6C890" w:rsidR="00256EC3" w:rsidRPr="00DC5B6E" w:rsidRDefault="00256EC3" w:rsidP="00EF41B2">
            <w:pPr>
              <w:tabs>
                <w:tab w:val="left" w:pos="284"/>
              </w:tabs>
              <w:jc w:val="right"/>
              <w:rPr>
                <w:rFonts w:ascii="Arial" w:hAnsi="Arial" w:cs="Arial"/>
                <w:sz w:val="22"/>
                <w:szCs w:val="22"/>
              </w:rPr>
            </w:pPr>
            <w:r w:rsidRPr="00DC5B6E">
              <w:rPr>
                <w:rFonts w:ascii="Arial" w:hAnsi="Arial" w:cs="Arial"/>
                <w:sz w:val="22"/>
                <w:szCs w:val="22"/>
              </w:rPr>
              <w:t>86,574</w:t>
            </w:r>
          </w:p>
        </w:tc>
        <w:tc>
          <w:tcPr>
            <w:tcW w:w="1409" w:type="dxa"/>
            <w:tcBorders>
              <w:top w:val="nil"/>
              <w:left w:val="nil"/>
              <w:bottom w:val="nil"/>
              <w:right w:val="nil"/>
            </w:tcBorders>
            <w:shd w:val="clear" w:color="auto" w:fill="auto"/>
            <w:noWrap/>
            <w:vAlign w:val="center"/>
          </w:tcPr>
          <w:p w14:paraId="26397C2E" w14:textId="2E4FBFF4" w:rsidR="00256EC3" w:rsidRPr="00DC5B6E" w:rsidRDefault="00256EC3" w:rsidP="00EF41B2">
            <w:pPr>
              <w:tabs>
                <w:tab w:val="left" w:pos="284"/>
              </w:tabs>
              <w:jc w:val="right"/>
              <w:rPr>
                <w:rFonts w:ascii="Arial" w:hAnsi="Arial" w:cs="Arial"/>
                <w:sz w:val="22"/>
                <w:szCs w:val="22"/>
              </w:rPr>
            </w:pPr>
            <w:r w:rsidRPr="00DC5B6E">
              <w:rPr>
                <w:rFonts w:ascii="Arial" w:hAnsi="Arial" w:cs="Arial"/>
                <w:sz w:val="22"/>
                <w:szCs w:val="22"/>
              </w:rPr>
              <w:t>660</w:t>
            </w:r>
          </w:p>
        </w:tc>
        <w:tc>
          <w:tcPr>
            <w:tcW w:w="1544" w:type="dxa"/>
            <w:tcBorders>
              <w:top w:val="nil"/>
              <w:left w:val="nil"/>
              <w:bottom w:val="nil"/>
              <w:right w:val="nil"/>
            </w:tcBorders>
            <w:shd w:val="clear" w:color="auto" w:fill="auto"/>
            <w:noWrap/>
            <w:vAlign w:val="center"/>
          </w:tcPr>
          <w:p w14:paraId="065DBE6A" w14:textId="4483CD54" w:rsidR="00256EC3" w:rsidRPr="00DC5B6E" w:rsidRDefault="00256EC3" w:rsidP="00EF41B2">
            <w:pPr>
              <w:tabs>
                <w:tab w:val="left" w:pos="284"/>
              </w:tabs>
              <w:jc w:val="right"/>
              <w:rPr>
                <w:rFonts w:ascii="Arial" w:hAnsi="Arial" w:cs="Arial"/>
                <w:sz w:val="22"/>
                <w:szCs w:val="22"/>
              </w:rPr>
            </w:pPr>
            <w:r w:rsidRPr="00DC5B6E">
              <w:rPr>
                <w:rFonts w:ascii="Arial" w:hAnsi="Arial" w:cs="Arial"/>
                <w:sz w:val="22"/>
                <w:szCs w:val="22"/>
              </w:rPr>
              <w:t>-</w:t>
            </w:r>
          </w:p>
        </w:tc>
        <w:tc>
          <w:tcPr>
            <w:tcW w:w="1701" w:type="dxa"/>
            <w:tcBorders>
              <w:top w:val="nil"/>
              <w:left w:val="nil"/>
              <w:bottom w:val="nil"/>
              <w:right w:val="nil"/>
            </w:tcBorders>
            <w:shd w:val="clear" w:color="auto" w:fill="auto"/>
            <w:noWrap/>
            <w:vAlign w:val="center"/>
          </w:tcPr>
          <w:p w14:paraId="555EA9D8" w14:textId="5E57FB2F" w:rsidR="00256EC3" w:rsidRPr="00DC5B6E" w:rsidRDefault="00256EC3" w:rsidP="00EF41B2">
            <w:pPr>
              <w:tabs>
                <w:tab w:val="left" w:pos="284"/>
              </w:tabs>
              <w:jc w:val="right"/>
              <w:rPr>
                <w:rFonts w:ascii="Arial" w:hAnsi="Arial" w:cs="Arial"/>
                <w:sz w:val="22"/>
                <w:szCs w:val="22"/>
              </w:rPr>
            </w:pPr>
            <w:r w:rsidRPr="00DC5B6E">
              <w:rPr>
                <w:rFonts w:ascii="Arial" w:hAnsi="Arial" w:cs="Arial"/>
                <w:sz w:val="22"/>
                <w:szCs w:val="22"/>
              </w:rPr>
              <w:t>(11,191)</w:t>
            </w:r>
          </w:p>
        </w:tc>
        <w:tc>
          <w:tcPr>
            <w:tcW w:w="1560" w:type="dxa"/>
            <w:tcBorders>
              <w:top w:val="nil"/>
              <w:left w:val="nil"/>
              <w:bottom w:val="nil"/>
              <w:right w:val="nil"/>
            </w:tcBorders>
            <w:shd w:val="clear" w:color="auto" w:fill="auto"/>
            <w:noWrap/>
            <w:vAlign w:val="center"/>
          </w:tcPr>
          <w:p w14:paraId="2BA6AC4C" w14:textId="4FD37C76" w:rsidR="00256EC3" w:rsidRPr="00DC5B6E" w:rsidRDefault="00256EC3" w:rsidP="00EF41B2">
            <w:pPr>
              <w:tabs>
                <w:tab w:val="left" w:pos="284"/>
              </w:tabs>
              <w:jc w:val="right"/>
              <w:rPr>
                <w:rFonts w:ascii="Arial" w:hAnsi="Arial" w:cs="Arial"/>
                <w:b/>
                <w:bCs/>
                <w:sz w:val="22"/>
                <w:szCs w:val="22"/>
              </w:rPr>
            </w:pPr>
            <w:r w:rsidRPr="00DC5B6E">
              <w:rPr>
                <w:rFonts w:ascii="Arial" w:hAnsi="Arial" w:cs="Arial"/>
                <w:b/>
                <w:bCs/>
                <w:sz w:val="22"/>
                <w:szCs w:val="22"/>
              </w:rPr>
              <w:t>76,043</w:t>
            </w:r>
          </w:p>
        </w:tc>
      </w:tr>
      <w:tr w:rsidR="00DC5B6E" w:rsidRPr="00DC5B6E" w14:paraId="5F1E8B79" w14:textId="77777777" w:rsidTr="00490F19">
        <w:trPr>
          <w:trHeight w:val="76"/>
          <w:jc w:val="center"/>
        </w:trPr>
        <w:tc>
          <w:tcPr>
            <w:tcW w:w="2398" w:type="dxa"/>
            <w:shd w:val="clear" w:color="FFFFFF" w:fill="FFFFFF"/>
          </w:tcPr>
          <w:p w14:paraId="2873CFBC" w14:textId="7BCC0C8C"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Alternatives</w:t>
            </w:r>
          </w:p>
        </w:tc>
        <w:tc>
          <w:tcPr>
            <w:tcW w:w="1453" w:type="dxa"/>
            <w:tcBorders>
              <w:top w:val="nil"/>
              <w:left w:val="nil"/>
              <w:bottom w:val="nil"/>
              <w:right w:val="nil"/>
            </w:tcBorders>
            <w:shd w:val="clear" w:color="auto" w:fill="auto"/>
            <w:noWrap/>
            <w:vAlign w:val="center"/>
          </w:tcPr>
          <w:p w14:paraId="7DF52D38" w14:textId="3390AD97"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34,653</w:t>
            </w:r>
          </w:p>
        </w:tc>
        <w:tc>
          <w:tcPr>
            <w:tcW w:w="1409" w:type="dxa"/>
            <w:tcBorders>
              <w:top w:val="nil"/>
              <w:left w:val="nil"/>
              <w:bottom w:val="nil"/>
              <w:right w:val="nil"/>
            </w:tcBorders>
            <w:shd w:val="clear" w:color="auto" w:fill="auto"/>
            <w:noWrap/>
            <w:vAlign w:val="center"/>
          </w:tcPr>
          <w:p w14:paraId="41D4B9F3" w14:textId="53C4F26C"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8,004</w:t>
            </w:r>
          </w:p>
        </w:tc>
        <w:tc>
          <w:tcPr>
            <w:tcW w:w="1544" w:type="dxa"/>
            <w:tcBorders>
              <w:top w:val="nil"/>
              <w:left w:val="nil"/>
              <w:bottom w:val="nil"/>
              <w:right w:val="nil"/>
            </w:tcBorders>
            <w:shd w:val="clear" w:color="auto" w:fill="auto"/>
            <w:noWrap/>
            <w:vAlign w:val="center"/>
          </w:tcPr>
          <w:p w14:paraId="18EE7BD1" w14:textId="582BC93D"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r w:rsidR="007C5D22" w:rsidRPr="00DC5B6E">
              <w:rPr>
                <w:rFonts w:ascii="Arial" w:hAnsi="Arial" w:cs="Arial"/>
                <w:sz w:val="22"/>
                <w:szCs w:val="22"/>
              </w:rPr>
              <w:t>37,096</w:t>
            </w:r>
            <w:r w:rsidRPr="00DC5B6E">
              <w:rPr>
                <w:rFonts w:ascii="Arial" w:hAnsi="Arial" w:cs="Arial"/>
                <w:sz w:val="22"/>
                <w:szCs w:val="22"/>
              </w:rPr>
              <w:t>)</w:t>
            </w:r>
          </w:p>
        </w:tc>
        <w:tc>
          <w:tcPr>
            <w:tcW w:w="1701" w:type="dxa"/>
            <w:tcBorders>
              <w:top w:val="nil"/>
              <w:left w:val="nil"/>
              <w:bottom w:val="nil"/>
              <w:right w:val="nil"/>
            </w:tcBorders>
            <w:shd w:val="clear" w:color="auto" w:fill="auto"/>
            <w:noWrap/>
            <w:vAlign w:val="center"/>
          </w:tcPr>
          <w:p w14:paraId="1010C0EB" w14:textId="555774F6" w:rsidR="00EF41B2" w:rsidRPr="00DC5B6E" w:rsidRDefault="003C3446" w:rsidP="00EF41B2">
            <w:pPr>
              <w:tabs>
                <w:tab w:val="left" w:pos="284"/>
              </w:tabs>
              <w:jc w:val="right"/>
              <w:rPr>
                <w:rFonts w:ascii="Arial" w:hAnsi="Arial" w:cs="Arial"/>
                <w:sz w:val="22"/>
                <w:szCs w:val="22"/>
              </w:rPr>
            </w:pPr>
            <w:r w:rsidRPr="00DC5B6E">
              <w:rPr>
                <w:rFonts w:ascii="Arial" w:hAnsi="Arial" w:cs="Arial"/>
                <w:sz w:val="22"/>
                <w:szCs w:val="22"/>
              </w:rPr>
              <w:t>7,709</w:t>
            </w:r>
          </w:p>
        </w:tc>
        <w:tc>
          <w:tcPr>
            <w:tcW w:w="1560" w:type="dxa"/>
            <w:tcBorders>
              <w:top w:val="nil"/>
              <w:left w:val="nil"/>
              <w:bottom w:val="nil"/>
              <w:right w:val="nil"/>
            </w:tcBorders>
            <w:shd w:val="clear" w:color="auto" w:fill="auto"/>
            <w:noWrap/>
            <w:vAlign w:val="center"/>
          </w:tcPr>
          <w:p w14:paraId="53EA507C" w14:textId="518852B3"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13,270</w:t>
            </w:r>
          </w:p>
        </w:tc>
      </w:tr>
      <w:tr w:rsidR="00DC5B6E" w:rsidRPr="00DC5B6E" w14:paraId="1A2957ED" w14:textId="77777777" w:rsidTr="00490F19">
        <w:trPr>
          <w:trHeight w:val="76"/>
          <w:jc w:val="center"/>
        </w:trPr>
        <w:tc>
          <w:tcPr>
            <w:tcW w:w="2398" w:type="dxa"/>
            <w:shd w:val="clear" w:color="FFFFFF" w:fill="FFFFFF"/>
            <w:hideMark/>
          </w:tcPr>
          <w:p w14:paraId="01E7015B" w14:textId="0486ACE1"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Private Equity</w:t>
            </w:r>
          </w:p>
        </w:tc>
        <w:tc>
          <w:tcPr>
            <w:tcW w:w="1453" w:type="dxa"/>
            <w:tcBorders>
              <w:top w:val="nil"/>
              <w:left w:val="nil"/>
              <w:bottom w:val="nil"/>
              <w:right w:val="nil"/>
            </w:tcBorders>
            <w:shd w:val="clear" w:color="auto" w:fill="auto"/>
            <w:noWrap/>
            <w:vAlign w:val="center"/>
          </w:tcPr>
          <w:p w14:paraId="162BAC45" w14:textId="1A7A8536"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107,474</w:t>
            </w:r>
          </w:p>
        </w:tc>
        <w:tc>
          <w:tcPr>
            <w:tcW w:w="1409" w:type="dxa"/>
            <w:tcBorders>
              <w:top w:val="nil"/>
              <w:left w:val="nil"/>
              <w:bottom w:val="nil"/>
              <w:right w:val="nil"/>
            </w:tcBorders>
            <w:shd w:val="clear" w:color="auto" w:fill="auto"/>
            <w:noWrap/>
            <w:vAlign w:val="center"/>
          </w:tcPr>
          <w:p w14:paraId="247C8CFE" w14:textId="7F4385CD"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28,925</w:t>
            </w:r>
          </w:p>
        </w:tc>
        <w:tc>
          <w:tcPr>
            <w:tcW w:w="1544" w:type="dxa"/>
            <w:tcBorders>
              <w:top w:val="nil"/>
              <w:left w:val="nil"/>
              <w:bottom w:val="nil"/>
              <w:right w:val="nil"/>
            </w:tcBorders>
            <w:shd w:val="clear" w:color="auto" w:fill="auto"/>
            <w:noWrap/>
            <w:vAlign w:val="center"/>
          </w:tcPr>
          <w:p w14:paraId="5939A00C" w14:textId="52EB5678"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r w:rsidR="007C5D22" w:rsidRPr="00DC5B6E">
              <w:rPr>
                <w:rFonts w:ascii="Arial" w:hAnsi="Arial" w:cs="Arial"/>
                <w:sz w:val="22"/>
                <w:szCs w:val="22"/>
              </w:rPr>
              <w:t>11,441</w:t>
            </w:r>
            <w:r w:rsidRPr="00DC5B6E">
              <w:rPr>
                <w:rFonts w:ascii="Arial" w:hAnsi="Arial" w:cs="Arial"/>
                <w:sz w:val="22"/>
                <w:szCs w:val="22"/>
              </w:rPr>
              <w:t>)</w:t>
            </w:r>
          </w:p>
        </w:tc>
        <w:tc>
          <w:tcPr>
            <w:tcW w:w="1701" w:type="dxa"/>
            <w:tcBorders>
              <w:top w:val="nil"/>
              <w:left w:val="nil"/>
              <w:bottom w:val="nil"/>
              <w:right w:val="nil"/>
            </w:tcBorders>
            <w:shd w:val="clear" w:color="auto" w:fill="auto"/>
            <w:noWrap/>
            <w:vAlign w:val="center"/>
          </w:tcPr>
          <w:p w14:paraId="12BDD9E8" w14:textId="62C0CECD" w:rsidR="00EF41B2" w:rsidRPr="00DC5B6E" w:rsidRDefault="003B128B" w:rsidP="00EF41B2">
            <w:pPr>
              <w:tabs>
                <w:tab w:val="left" w:pos="284"/>
              </w:tabs>
              <w:jc w:val="right"/>
              <w:rPr>
                <w:rFonts w:ascii="Arial" w:hAnsi="Arial" w:cs="Arial"/>
                <w:sz w:val="22"/>
                <w:szCs w:val="22"/>
              </w:rPr>
            </w:pPr>
            <w:r w:rsidRPr="00DC5B6E">
              <w:rPr>
                <w:rFonts w:ascii="Arial" w:hAnsi="Arial" w:cs="Arial"/>
                <w:sz w:val="22"/>
                <w:szCs w:val="22"/>
              </w:rPr>
              <w:t>2,632</w:t>
            </w:r>
          </w:p>
        </w:tc>
        <w:tc>
          <w:tcPr>
            <w:tcW w:w="1560" w:type="dxa"/>
            <w:tcBorders>
              <w:top w:val="nil"/>
              <w:left w:val="nil"/>
              <w:bottom w:val="nil"/>
              <w:right w:val="nil"/>
            </w:tcBorders>
            <w:shd w:val="clear" w:color="auto" w:fill="auto"/>
            <w:noWrap/>
            <w:vAlign w:val="center"/>
          </w:tcPr>
          <w:p w14:paraId="518C9B29" w14:textId="5A040EEA"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127,590</w:t>
            </w:r>
          </w:p>
        </w:tc>
      </w:tr>
      <w:tr w:rsidR="00DC5B6E" w:rsidRPr="00DC5B6E" w14:paraId="213EA407" w14:textId="77777777" w:rsidTr="00490F19">
        <w:trPr>
          <w:trHeight w:val="76"/>
          <w:jc w:val="center"/>
        </w:trPr>
        <w:tc>
          <w:tcPr>
            <w:tcW w:w="2398" w:type="dxa"/>
            <w:shd w:val="clear" w:color="FFFFFF" w:fill="FFFFFF"/>
          </w:tcPr>
          <w:p w14:paraId="52FBE2AF" w14:textId="0EE7851B"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Property</w:t>
            </w:r>
          </w:p>
        </w:tc>
        <w:tc>
          <w:tcPr>
            <w:tcW w:w="1453" w:type="dxa"/>
            <w:tcBorders>
              <w:top w:val="nil"/>
              <w:left w:val="nil"/>
              <w:bottom w:val="nil"/>
              <w:right w:val="nil"/>
            </w:tcBorders>
            <w:shd w:val="clear" w:color="000000" w:fill="FFFFFF"/>
            <w:noWrap/>
            <w:vAlign w:val="center"/>
          </w:tcPr>
          <w:p w14:paraId="243442FF" w14:textId="00743E49"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47,850</w:t>
            </w:r>
          </w:p>
        </w:tc>
        <w:tc>
          <w:tcPr>
            <w:tcW w:w="1409" w:type="dxa"/>
            <w:tcBorders>
              <w:top w:val="nil"/>
              <w:left w:val="nil"/>
              <w:bottom w:val="nil"/>
              <w:right w:val="nil"/>
            </w:tcBorders>
            <w:shd w:val="clear" w:color="000000" w:fill="FFFFFF"/>
            <w:noWrap/>
            <w:vAlign w:val="center"/>
          </w:tcPr>
          <w:p w14:paraId="03FAE7F0" w14:textId="78C6556B"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46,040</w:t>
            </w:r>
          </w:p>
        </w:tc>
        <w:tc>
          <w:tcPr>
            <w:tcW w:w="1544" w:type="dxa"/>
            <w:tcBorders>
              <w:top w:val="nil"/>
              <w:left w:val="nil"/>
              <w:bottom w:val="nil"/>
              <w:right w:val="nil"/>
            </w:tcBorders>
            <w:shd w:val="clear" w:color="000000" w:fill="FFFFFF"/>
            <w:noWrap/>
            <w:vAlign w:val="center"/>
          </w:tcPr>
          <w:p w14:paraId="4BA0979C" w14:textId="30ED6893"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p>
        </w:tc>
        <w:tc>
          <w:tcPr>
            <w:tcW w:w="1701" w:type="dxa"/>
            <w:tcBorders>
              <w:top w:val="nil"/>
              <w:left w:val="nil"/>
              <w:bottom w:val="nil"/>
              <w:right w:val="nil"/>
            </w:tcBorders>
            <w:shd w:val="clear" w:color="000000" w:fill="FFFFFF"/>
            <w:noWrap/>
            <w:vAlign w:val="center"/>
          </w:tcPr>
          <w:p w14:paraId="6AE52911" w14:textId="7051ED46"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2,990</w:t>
            </w:r>
          </w:p>
        </w:tc>
        <w:tc>
          <w:tcPr>
            <w:tcW w:w="1560" w:type="dxa"/>
            <w:tcBorders>
              <w:top w:val="nil"/>
              <w:left w:val="nil"/>
              <w:bottom w:val="nil"/>
              <w:right w:val="nil"/>
            </w:tcBorders>
            <w:shd w:val="clear" w:color="000000" w:fill="FFFFFF"/>
            <w:noWrap/>
            <w:vAlign w:val="center"/>
          </w:tcPr>
          <w:p w14:paraId="6E1B1D44" w14:textId="12087B83"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96,880</w:t>
            </w:r>
          </w:p>
        </w:tc>
      </w:tr>
      <w:tr w:rsidR="00DC5B6E" w:rsidRPr="00DC5B6E" w14:paraId="754AF2BB" w14:textId="77777777" w:rsidTr="00490F19">
        <w:trPr>
          <w:trHeight w:val="76"/>
          <w:jc w:val="center"/>
        </w:trPr>
        <w:tc>
          <w:tcPr>
            <w:tcW w:w="2398" w:type="dxa"/>
            <w:shd w:val="clear" w:color="FFFFFF" w:fill="FFFFFF"/>
            <w:hideMark/>
          </w:tcPr>
          <w:p w14:paraId="623CFA37" w14:textId="00D50DA2"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 xml:space="preserve">Cash deposits held with </w:t>
            </w:r>
            <w:r w:rsidR="00FB61A7">
              <w:rPr>
                <w:rFonts w:ascii="Arial" w:hAnsi="Arial" w:cs="Arial"/>
                <w:sz w:val="22"/>
                <w:szCs w:val="22"/>
              </w:rPr>
              <w:t>C</w:t>
            </w:r>
            <w:r w:rsidRPr="00DC5B6E">
              <w:rPr>
                <w:rFonts w:ascii="Arial" w:hAnsi="Arial" w:cs="Arial"/>
                <w:sz w:val="22"/>
                <w:szCs w:val="22"/>
              </w:rPr>
              <w:t>ustodian</w:t>
            </w:r>
          </w:p>
        </w:tc>
        <w:tc>
          <w:tcPr>
            <w:tcW w:w="1453" w:type="dxa"/>
            <w:tcBorders>
              <w:top w:val="nil"/>
              <w:left w:val="nil"/>
              <w:bottom w:val="nil"/>
              <w:right w:val="nil"/>
            </w:tcBorders>
            <w:shd w:val="clear" w:color="000000" w:fill="FFFFFF"/>
            <w:noWrap/>
            <w:vAlign w:val="center"/>
          </w:tcPr>
          <w:p w14:paraId="58580385" w14:textId="61626BB3"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7,426</w:t>
            </w:r>
          </w:p>
        </w:tc>
        <w:tc>
          <w:tcPr>
            <w:tcW w:w="1409" w:type="dxa"/>
            <w:tcBorders>
              <w:top w:val="nil"/>
              <w:left w:val="nil"/>
              <w:bottom w:val="nil"/>
              <w:right w:val="nil"/>
            </w:tcBorders>
            <w:shd w:val="clear" w:color="000000" w:fill="FFFFFF"/>
            <w:noWrap/>
            <w:vAlign w:val="center"/>
          </w:tcPr>
          <w:p w14:paraId="438BE29A" w14:textId="49DC049D" w:rsidR="00EF41B2" w:rsidRPr="00DC5B6E" w:rsidRDefault="006E0F3E" w:rsidP="00EF41B2">
            <w:pPr>
              <w:tabs>
                <w:tab w:val="left" w:pos="284"/>
              </w:tabs>
              <w:jc w:val="right"/>
              <w:rPr>
                <w:rFonts w:ascii="Arial" w:hAnsi="Arial" w:cs="Arial"/>
                <w:sz w:val="22"/>
                <w:szCs w:val="22"/>
              </w:rPr>
            </w:pPr>
            <w:r w:rsidRPr="00DC5B6E">
              <w:rPr>
                <w:rFonts w:ascii="Arial" w:hAnsi="Arial" w:cs="Arial"/>
                <w:sz w:val="22"/>
                <w:szCs w:val="22"/>
              </w:rPr>
              <w:t>(</w:t>
            </w:r>
            <w:r w:rsidR="00EF41B2" w:rsidRPr="00DC5B6E">
              <w:rPr>
                <w:rFonts w:ascii="Arial" w:hAnsi="Arial" w:cs="Arial"/>
                <w:sz w:val="22"/>
                <w:szCs w:val="22"/>
              </w:rPr>
              <w:t>12,797</w:t>
            </w:r>
            <w:r w:rsidRPr="00DC5B6E">
              <w:rPr>
                <w:rFonts w:ascii="Arial" w:hAnsi="Arial" w:cs="Arial"/>
                <w:sz w:val="22"/>
                <w:szCs w:val="22"/>
              </w:rPr>
              <w:t>)</w:t>
            </w:r>
          </w:p>
        </w:tc>
        <w:tc>
          <w:tcPr>
            <w:tcW w:w="1544" w:type="dxa"/>
            <w:tcBorders>
              <w:top w:val="nil"/>
              <w:left w:val="nil"/>
              <w:bottom w:val="nil"/>
              <w:right w:val="nil"/>
            </w:tcBorders>
            <w:shd w:val="clear" w:color="000000" w:fill="FFFFFF"/>
            <w:noWrap/>
            <w:vAlign w:val="center"/>
          </w:tcPr>
          <w:p w14:paraId="68810D40" w14:textId="5131D410" w:rsidR="00EF41B2" w:rsidRPr="00DC5B6E" w:rsidRDefault="00AD0C85" w:rsidP="00EF41B2">
            <w:pPr>
              <w:tabs>
                <w:tab w:val="left" w:pos="284"/>
              </w:tabs>
              <w:jc w:val="right"/>
              <w:rPr>
                <w:rFonts w:ascii="Arial" w:hAnsi="Arial" w:cs="Arial"/>
                <w:sz w:val="22"/>
                <w:szCs w:val="22"/>
              </w:rPr>
            </w:pPr>
            <w:r w:rsidRPr="00DC5B6E">
              <w:rPr>
                <w:rFonts w:ascii="Arial" w:hAnsi="Arial" w:cs="Arial"/>
                <w:sz w:val="22"/>
                <w:szCs w:val="22"/>
              </w:rPr>
              <w:t>28,034</w:t>
            </w:r>
          </w:p>
        </w:tc>
        <w:tc>
          <w:tcPr>
            <w:tcW w:w="1701" w:type="dxa"/>
            <w:tcBorders>
              <w:top w:val="nil"/>
              <w:left w:val="nil"/>
              <w:bottom w:val="nil"/>
              <w:right w:val="nil"/>
            </w:tcBorders>
            <w:shd w:val="clear" w:color="000000" w:fill="FFFFFF"/>
            <w:noWrap/>
            <w:vAlign w:val="center"/>
          </w:tcPr>
          <w:p w14:paraId="39E65240" w14:textId="34F58F98"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p>
        </w:tc>
        <w:tc>
          <w:tcPr>
            <w:tcW w:w="1560" w:type="dxa"/>
            <w:tcBorders>
              <w:top w:val="nil"/>
              <w:left w:val="nil"/>
              <w:bottom w:val="nil"/>
              <w:right w:val="nil"/>
            </w:tcBorders>
            <w:shd w:val="clear" w:color="000000" w:fill="FFFFFF"/>
            <w:noWrap/>
            <w:vAlign w:val="center"/>
          </w:tcPr>
          <w:p w14:paraId="76354953" w14:textId="0D6A7CE2"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37,058</w:t>
            </w:r>
          </w:p>
        </w:tc>
      </w:tr>
      <w:tr w:rsidR="00DC5B6E" w:rsidRPr="00DC5B6E" w14:paraId="271B96A8" w14:textId="77777777" w:rsidTr="00490F19">
        <w:trPr>
          <w:trHeight w:val="76"/>
          <w:jc w:val="center"/>
        </w:trPr>
        <w:tc>
          <w:tcPr>
            <w:tcW w:w="2398" w:type="dxa"/>
            <w:shd w:val="clear" w:color="FFFFFF" w:fill="FFFFFF"/>
            <w:hideMark/>
          </w:tcPr>
          <w:p w14:paraId="269F9D7D" w14:textId="77777777"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Pending Trade Sales</w:t>
            </w:r>
          </w:p>
        </w:tc>
        <w:tc>
          <w:tcPr>
            <w:tcW w:w="1453" w:type="dxa"/>
            <w:tcBorders>
              <w:top w:val="nil"/>
              <w:left w:val="nil"/>
              <w:bottom w:val="nil"/>
              <w:right w:val="nil"/>
            </w:tcBorders>
            <w:shd w:val="clear" w:color="000000" w:fill="FFFFFF"/>
            <w:noWrap/>
          </w:tcPr>
          <w:p w14:paraId="54698BE4" w14:textId="5373B41C"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2,148</w:t>
            </w:r>
          </w:p>
        </w:tc>
        <w:tc>
          <w:tcPr>
            <w:tcW w:w="1409" w:type="dxa"/>
            <w:shd w:val="clear" w:color="FFFFFF" w:fill="FFFFFF"/>
            <w:noWrap/>
            <w:vAlign w:val="center"/>
          </w:tcPr>
          <w:p w14:paraId="70288E9B" w14:textId="18A9D973" w:rsidR="00EF41B2" w:rsidRPr="00DC5B6E" w:rsidRDefault="006E0F3E" w:rsidP="00EF41B2">
            <w:pPr>
              <w:tabs>
                <w:tab w:val="left" w:pos="284"/>
              </w:tabs>
              <w:jc w:val="right"/>
              <w:rPr>
                <w:rFonts w:ascii="Arial" w:hAnsi="Arial" w:cs="Arial"/>
                <w:sz w:val="22"/>
                <w:szCs w:val="22"/>
              </w:rPr>
            </w:pPr>
            <w:r w:rsidRPr="00DC5B6E">
              <w:rPr>
                <w:rFonts w:ascii="Arial" w:hAnsi="Arial" w:cs="Arial"/>
                <w:sz w:val="22"/>
                <w:szCs w:val="22"/>
              </w:rPr>
              <w:t>-</w:t>
            </w:r>
          </w:p>
        </w:tc>
        <w:tc>
          <w:tcPr>
            <w:tcW w:w="1544" w:type="dxa"/>
            <w:shd w:val="clear" w:color="FFFFFF" w:fill="FFFFFF"/>
            <w:noWrap/>
            <w:vAlign w:val="center"/>
          </w:tcPr>
          <w:p w14:paraId="5EF3B5E9" w14:textId="72705F3C" w:rsidR="00EF41B2" w:rsidRPr="00DC5B6E" w:rsidRDefault="00EF41B2" w:rsidP="00EF41B2">
            <w:pPr>
              <w:jc w:val="right"/>
              <w:rPr>
                <w:rFonts w:ascii="Arial" w:hAnsi="Arial" w:cs="Arial"/>
                <w:sz w:val="22"/>
                <w:szCs w:val="22"/>
              </w:rPr>
            </w:pPr>
            <w:r w:rsidRPr="00DC5B6E">
              <w:rPr>
                <w:rFonts w:ascii="Arial" w:hAnsi="Arial" w:cs="Arial"/>
                <w:sz w:val="22"/>
                <w:szCs w:val="22"/>
              </w:rPr>
              <w:t>(2,14</w:t>
            </w:r>
            <w:r w:rsidR="00AD0C85" w:rsidRPr="00DC5B6E">
              <w:rPr>
                <w:rFonts w:ascii="Arial" w:hAnsi="Arial" w:cs="Arial"/>
                <w:sz w:val="22"/>
                <w:szCs w:val="22"/>
              </w:rPr>
              <w:t>8</w:t>
            </w:r>
            <w:r w:rsidRPr="00DC5B6E">
              <w:rPr>
                <w:rFonts w:ascii="Arial" w:hAnsi="Arial" w:cs="Arial"/>
                <w:sz w:val="22"/>
                <w:szCs w:val="22"/>
              </w:rPr>
              <w:t>)</w:t>
            </w:r>
          </w:p>
        </w:tc>
        <w:tc>
          <w:tcPr>
            <w:tcW w:w="1701" w:type="dxa"/>
            <w:shd w:val="clear" w:color="FFFFFF" w:fill="FFFFFF"/>
            <w:noWrap/>
            <w:vAlign w:val="center"/>
          </w:tcPr>
          <w:p w14:paraId="4696912C" w14:textId="6CD04A9F" w:rsidR="00EF41B2" w:rsidRPr="00DC5B6E" w:rsidRDefault="003B128B" w:rsidP="00EF41B2">
            <w:pPr>
              <w:tabs>
                <w:tab w:val="left" w:pos="284"/>
              </w:tabs>
              <w:jc w:val="right"/>
              <w:rPr>
                <w:rFonts w:ascii="Arial" w:hAnsi="Arial" w:cs="Arial"/>
                <w:sz w:val="22"/>
                <w:szCs w:val="22"/>
              </w:rPr>
            </w:pPr>
            <w:r w:rsidRPr="00DC5B6E">
              <w:rPr>
                <w:rFonts w:ascii="Arial" w:hAnsi="Arial" w:cs="Arial"/>
                <w:sz w:val="22"/>
                <w:szCs w:val="22"/>
              </w:rPr>
              <w:t>14,395</w:t>
            </w:r>
          </w:p>
        </w:tc>
        <w:tc>
          <w:tcPr>
            <w:tcW w:w="1560" w:type="dxa"/>
            <w:shd w:val="clear" w:color="FFFFFF" w:fill="FFFFFF"/>
            <w:noWrap/>
            <w:vAlign w:val="center"/>
          </w:tcPr>
          <w:p w14:paraId="18FC6E2E" w14:textId="0AF780A3"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w:t>
            </w:r>
          </w:p>
        </w:tc>
      </w:tr>
      <w:tr w:rsidR="00DC5B6E" w:rsidRPr="00DC5B6E" w14:paraId="4E3EF3F7" w14:textId="77777777" w:rsidTr="00B53577">
        <w:trPr>
          <w:trHeight w:val="76"/>
          <w:jc w:val="center"/>
        </w:trPr>
        <w:tc>
          <w:tcPr>
            <w:tcW w:w="2398" w:type="dxa"/>
            <w:shd w:val="clear" w:color="FFFFFF" w:fill="FFFFFF"/>
          </w:tcPr>
          <w:p w14:paraId="13738211" w14:textId="339158A6" w:rsidR="00EF41B2" w:rsidRPr="00DC5B6E" w:rsidRDefault="00EF41B2" w:rsidP="00006A48">
            <w:pPr>
              <w:tabs>
                <w:tab w:val="left" w:pos="284"/>
              </w:tabs>
              <w:rPr>
                <w:rFonts w:ascii="Arial" w:hAnsi="Arial" w:cs="Arial"/>
                <w:sz w:val="22"/>
                <w:szCs w:val="22"/>
              </w:rPr>
            </w:pPr>
            <w:r w:rsidRPr="00DC5B6E">
              <w:rPr>
                <w:rFonts w:ascii="Arial" w:hAnsi="Arial" w:cs="Arial"/>
                <w:sz w:val="22"/>
                <w:szCs w:val="22"/>
              </w:rPr>
              <w:t>Shareholding in London CIV</w:t>
            </w:r>
          </w:p>
        </w:tc>
        <w:tc>
          <w:tcPr>
            <w:tcW w:w="1453" w:type="dxa"/>
            <w:tcBorders>
              <w:top w:val="nil"/>
              <w:left w:val="nil"/>
              <w:bottom w:val="single" w:sz="4" w:space="0" w:color="auto"/>
              <w:right w:val="nil"/>
            </w:tcBorders>
            <w:shd w:val="clear" w:color="000000" w:fill="FFFFFF"/>
            <w:noWrap/>
          </w:tcPr>
          <w:p w14:paraId="4872DEFF" w14:textId="77777777" w:rsidR="006E0F3E" w:rsidRPr="00DC5B6E" w:rsidRDefault="006E0F3E" w:rsidP="00EF41B2">
            <w:pPr>
              <w:tabs>
                <w:tab w:val="left" w:pos="284"/>
              </w:tabs>
              <w:jc w:val="right"/>
              <w:rPr>
                <w:rFonts w:ascii="Arial" w:hAnsi="Arial" w:cs="Arial"/>
                <w:sz w:val="22"/>
                <w:szCs w:val="22"/>
              </w:rPr>
            </w:pPr>
          </w:p>
          <w:p w14:paraId="51518677" w14:textId="2C79670B"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150</w:t>
            </w:r>
          </w:p>
        </w:tc>
        <w:tc>
          <w:tcPr>
            <w:tcW w:w="1409" w:type="dxa"/>
            <w:tcBorders>
              <w:bottom w:val="single" w:sz="4" w:space="0" w:color="auto"/>
            </w:tcBorders>
            <w:shd w:val="clear" w:color="FFFFFF" w:fill="FFFFFF"/>
            <w:noWrap/>
            <w:vAlign w:val="center"/>
          </w:tcPr>
          <w:p w14:paraId="63A3922C" w14:textId="77777777" w:rsidR="006E0F3E" w:rsidRPr="00DC5B6E" w:rsidRDefault="006E0F3E" w:rsidP="00EF41B2">
            <w:pPr>
              <w:tabs>
                <w:tab w:val="left" w:pos="284"/>
              </w:tabs>
              <w:jc w:val="right"/>
              <w:rPr>
                <w:rFonts w:ascii="Arial" w:hAnsi="Arial" w:cs="Arial"/>
                <w:sz w:val="22"/>
                <w:szCs w:val="22"/>
              </w:rPr>
            </w:pPr>
          </w:p>
          <w:p w14:paraId="3FA0573A" w14:textId="79E1B9D8" w:rsidR="00EF41B2" w:rsidRPr="00DC5B6E" w:rsidRDefault="006E0F3E" w:rsidP="00EF41B2">
            <w:pPr>
              <w:tabs>
                <w:tab w:val="left" w:pos="284"/>
              </w:tabs>
              <w:jc w:val="right"/>
              <w:rPr>
                <w:rFonts w:ascii="Arial" w:hAnsi="Arial" w:cs="Arial"/>
                <w:sz w:val="22"/>
                <w:szCs w:val="22"/>
              </w:rPr>
            </w:pPr>
            <w:r w:rsidRPr="00DC5B6E">
              <w:rPr>
                <w:rFonts w:ascii="Arial" w:hAnsi="Arial" w:cs="Arial"/>
                <w:sz w:val="22"/>
                <w:szCs w:val="22"/>
              </w:rPr>
              <w:t>-</w:t>
            </w:r>
          </w:p>
        </w:tc>
        <w:tc>
          <w:tcPr>
            <w:tcW w:w="1544" w:type="dxa"/>
            <w:tcBorders>
              <w:bottom w:val="single" w:sz="4" w:space="0" w:color="auto"/>
            </w:tcBorders>
            <w:shd w:val="clear" w:color="FFFFFF" w:fill="FFFFFF"/>
            <w:noWrap/>
          </w:tcPr>
          <w:p w14:paraId="06D1A3CC" w14:textId="77777777" w:rsidR="006E0F3E" w:rsidRPr="00DC5B6E" w:rsidRDefault="006E0F3E" w:rsidP="00EF41B2">
            <w:pPr>
              <w:jc w:val="right"/>
              <w:rPr>
                <w:rFonts w:ascii="Arial" w:hAnsi="Arial" w:cs="Arial"/>
                <w:sz w:val="22"/>
                <w:szCs w:val="22"/>
              </w:rPr>
            </w:pPr>
          </w:p>
          <w:p w14:paraId="053F174D" w14:textId="412014FA" w:rsidR="00EF41B2" w:rsidRPr="00DC5B6E" w:rsidRDefault="006E0F3E" w:rsidP="00EF41B2">
            <w:pPr>
              <w:jc w:val="right"/>
              <w:rPr>
                <w:rFonts w:ascii="Arial" w:hAnsi="Arial" w:cs="Arial"/>
                <w:sz w:val="22"/>
                <w:szCs w:val="22"/>
              </w:rPr>
            </w:pPr>
            <w:r w:rsidRPr="00DC5B6E">
              <w:rPr>
                <w:rFonts w:ascii="Arial" w:hAnsi="Arial" w:cs="Arial"/>
                <w:sz w:val="22"/>
                <w:szCs w:val="22"/>
              </w:rPr>
              <w:t>-</w:t>
            </w:r>
          </w:p>
        </w:tc>
        <w:tc>
          <w:tcPr>
            <w:tcW w:w="1701" w:type="dxa"/>
            <w:tcBorders>
              <w:bottom w:val="single" w:sz="4" w:space="0" w:color="auto"/>
            </w:tcBorders>
            <w:shd w:val="clear" w:color="FFFFFF" w:fill="FFFFFF"/>
            <w:noWrap/>
          </w:tcPr>
          <w:p w14:paraId="25C9987B" w14:textId="77777777" w:rsidR="006E0F3E" w:rsidRPr="00DC5B6E" w:rsidRDefault="006E0F3E" w:rsidP="00EF41B2">
            <w:pPr>
              <w:tabs>
                <w:tab w:val="left" w:pos="284"/>
              </w:tabs>
              <w:jc w:val="right"/>
              <w:rPr>
                <w:rFonts w:ascii="Arial" w:hAnsi="Arial" w:cs="Arial"/>
                <w:sz w:val="22"/>
                <w:szCs w:val="22"/>
              </w:rPr>
            </w:pPr>
          </w:p>
          <w:p w14:paraId="606DA689" w14:textId="33858EF2" w:rsidR="00EF41B2" w:rsidRPr="00DC5B6E" w:rsidRDefault="00EF41B2" w:rsidP="00EF41B2">
            <w:pPr>
              <w:tabs>
                <w:tab w:val="left" w:pos="284"/>
              </w:tabs>
              <w:jc w:val="right"/>
              <w:rPr>
                <w:rFonts w:ascii="Arial" w:hAnsi="Arial" w:cs="Arial"/>
                <w:sz w:val="22"/>
                <w:szCs w:val="22"/>
              </w:rPr>
            </w:pPr>
            <w:r w:rsidRPr="00DC5B6E">
              <w:rPr>
                <w:rFonts w:ascii="Arial" w:hAnsi="Arial" w:cs="Arial"/>
                <w:sz w:val="22"/>
                <w:szCs w:val="22"/>
              </w:rPr>
              <w:t>-</w:t>
            </w:r>
          </w:p>
        </w:tc>
        <w:tc>
          <w:tcPr>
            <w:tcW w:w="1560" w:type="dxa"/>
            <w:tcBorders>
              <w:bottom w:val="single" w:sz="4" w:space="0" w:color="auto"/>
            </w:tcBorders>
            <w:shd w:val="clear" w:color="FFFFFF" w:fill="FFFFFF"/>
            <w:noWrap/>
          </w:tcPr>
          <w:p w14:paraId="00C89C36" w14:textId="77777777" w:rsidR="006E0F3E" w:rsidRPr="00DC5B6E" w:rsidRDefault="006E0F3E" w:rsidP="00EF41B2">
            <w:pPr>
              <w:tabs>
                <w:tab w:val="left" w:pos="284"/>
              </w:tabs>
              <w:jc w:val="right"/>
              <w:rPr>
                <w:rFonts w:ascii="Arial" w:hAnsi="Arial" w:cs="Arial"/>
                <w:b/>
                <w:bCs/>
                <w:sz w:val="22"/>
                <w:szCs w:val="22"/>
              </w:rPr>
            </w:pPr>
          </w:p>
          <w:p w14:paraId="6DF0E99C" w14:textId="41EB73DC"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150</w:t>
            </w:r>
          </w:p>
        </w:tc>
      </w:tr>
      <w:tr w:rsidR="00DC5B6E" w:rsidRPr="00DC5B6E" w14:paraId="484D6F21" w14:textId="77777777" w:rsidTr="00B53577">
        <w:trPr>
          <w:trHeight w:val="83"/>
          <w:jc w:val="center"/>
        </w:trPr>
        <w:tc>
          <w:tcPr>
            <w:tcW w:w="2398" w:type="dxa"/>
            <w:shd w:val="clear" w:color="FFFFFF" w:fill="FFFFFF"/>
            <w:hideMark/>
          </w:tcPr>
          <w:p w14:paraId="6A60D41C" w14:textId="7D6E4A0F" w:rsidR="00EF41B2" w:rsidRPr="00DC5B6E" w:rsidRDefault="00EF41B2" w:rsidP="00EF41B2">
            <w:pPr>
              <w:tabs>
                <w:tab w:val="left" w:pos="284"/>
              </w:tabs>
              <w:jc w:val="both"/>
              <w:rPr>
                <w:rFonts w:ascii="Arial" w:hAnsi="Arial" w:cs="Arial"/>
                <w:sz w:val="22"/>
                <w:szCs w:val="22"/>
              </w:rPr>
            </w:pPr>
            <w:r w:rsidRPr="00DC5B6E">
              <w:rPr>
                <w:rFonts w:ascii="Arial" w:hAnsi="Arial" w:cs="Arial"/>
                <w:sz w:val="22"/>
                <w:szCs w:val="22"/>
              </w:rPr>
              <w:t>Net Investment asset</w:t>
            </w:r>
            <w:r w:rsidR="000300D3" w:rsidRPr="00DC5B6E">
              <w:rPr>
                <w:rFonts w:ascii="Arial" w:hAnsi="Arial" w:cs="Arial"/>
                <w:sz w:val="22"/>
                <w:szCs w:val="22"/>
              </w:rPr>
              <w:t>s</w:t>
            </w:r>
          </w:p>
        </w:tc>
        <w:tc>
          <w:tcPr>
            <w:tcW w:w="1453" w:type="dxa"/>
            <w:tcBorders>
              <w:top w:val="single" w:sz="4" w:space="0" w:color="auto"/>
              <w:left w:val="nil"/>
              <w:bottom w:val="single" w:sz="8" w:space="0" w:color="auto"/>
              <w:right w:val="nil"/>
            </w:tcBorders>
            <w:shd w:val="clear" w:color="000000" w:fill="FFFFFF"/>
            <w:noWrap/>
          </w:tcPr>
          <w:p w14:paraId="1FB62D76" w14:textId="3FE090A8"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1,447,108</w:t>
            </w:r>
          </w:p>
        </w:tc>
        <w:tc>
          <w:tcPr>
            <w:tcW w:w="1409" w:type="dxa"/>
            <w:tcBorders>
              <w:top w:val="single" w:sz="4" w:space="0" w:color="auto"/>
              <w:bottom w:val="single" w:sz="8" w:space="0" w:color="auto"/>
            </w:tcBorders>
            <w:shd w:val="clear" w:color="FFFFFF" w:fill="FFFFFF"/>
            <w:noWrap/>
            <w:vAlign w:val="center"/>
          </w:tcPr>
          <w:p w14:paraId="2AFAC1F0" w14:textId="5133650C"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81,634</w:t>
            </w:r>
          </w:p>
        </w:tc>
        <w:tc>
          <w:tcPr>
            <w:tcW w:w="1544" w:type="dxa"/>
            <w:tcBorders>
              <w:top w:val="single" w:sz="4" w:space="0" w:color="auto"/>
              <w:bottom w:val="single" w:sz="8" w:space="0" w:color="auto"/>
            </w:tcBorders>
            <w:shd w:val="clear" w:color="FFFFFF" w:fill="FFFFFF"/>
            <w:noWrap/>
            <w:vAlign w:val="center"/>
          </w:tcPr>
          <w:p w14:paraId="70EEE542" w14:textId="1748A853"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w:t>
            </w:r>
            <w:r w:rsidR="00211E69" w:rsidRPr="00DC5B6E">
              <w:rPr>
                <w:rFonts w:ascii="Arial" w:hAnsi="Arial" w:cs="Arial"/>
                <w:b/>
                <w:bCs/>
                <w:sz w:val="22"/>
                <w:szCs w:val="22"/>
              </w:rPr>
              <w:t>69,651</w:t>
            </w:r>
            <w:r w:rsidRPr="00DC5B6E">
              <w:rPr>
                <w:rFonts w:ascii="Arial" w:hAnsi="Arial" w:cs="Arial"/>
                <w:b/>
                <w:bCs/>
                <w:sz w:val="22"/>
                <w:szCs w:val="22"/>
              </w:rPr>
              <w:t>)</w:t>
            </w:r>
          </w:p>
        </w:tc>
        <w:tc>
          <w:tcPr>
            <w:tcW w:w="1701" w:type="dxa"/>
            <w:tcBorders>
              <w:top w:val="single" w:sz="4" w:space="0" w:color="auto"/>
              <w:bottom w:val="single" w:sz="8" w:space="0" w:color="auto"/>
            </w:tcBorders>
            <w:shd w:val="clear" w:color="FFFFFF" w:fill="FFFFFF"/>
            <w:noWrap/>
            <w:vAlign w:val="center"/>
          </w:tcPr>
          <w:p w14:paraId="17DE0359" w14:textId="46798B7B" w:rsidR="00EF41B2" w:rsidRPr="00DC5B6E" w:rsidRDefault="003B128B" w:rsidP="00EF41B2">
            <w:pPr>
              <w:tabs>
                <w:tab w:val="left" w:pos="284"/>
              </w:tabs>
              <w:jc w:val="right"/>
              <w:rPr>
                <w:rFonts w:ascii="Arial" w:hAnsi="Arial" w:cs="Arial"/>
                <w:b/>
                <w:bCs/>
                <w:sz w:val="22"/>
                <w:szCs w:val="22"/>
              </w:rPr>
            </w:pPr>
            <w:r w:rsidRPr="00DC5B6E">
              <w:rPr>
                <w:rFonts w:ascii="Arial" w:hAnsi="Arial" w:cs="Arial"/>
                <w:b/>
                <w:bCs/>
                <w:sz w:val="22"/>
                <w:szCs w:val="22"/>
              </w:rPr>
              <w:t>52,002</w:t>
            </w:r>
          </w:p>
        </w:tc>
        <w:tc>
          <w:tcPr>
            <w:tcW w:w="1560" w:type="dxa"/>
            <w:tcBorders>
              <w:top w:val="single" w:sz="4" w:space="0" w:color="auto"/>
              <w:bottom w:val="single" w:sz="8" w:space="0" w:color="auto"/>
            </w:tcBorders>
            <w:shd w:val="clear" w:color="FFFFFF" w:fill="FFFFFF"/>
            <w:noWrap/>
            <w:vAlign w:val="center"/>
          </w:tcPr>
          <w:p w14:paraId="36B491E2" w14:textId="2B648E8B" w:rsidR="00EF41B2" w:rsidRPr="00DC5B6E" w:rsidRDefault="00EF41B2" w:rsidP="00EF41B2">
            <w:pPr>
              <w:tabs>
                <w:tab w:val="left" w:pos="284"/>
              </w:tabs>
              <w:jc w:val="right"/>
              <w:rPr>
                <w:rFonts w:ascii="Arial" w:hAnsi="Arial" w:cs="Arial"/>
                <w:b/>
                <w:bCs/>
                <w:sz w:val="22"/>
                <w:szCs w:val="22"/>
              </w:rPr>
            </w:pPr>
            <w:r w:rsidRPr="00DC5B6E">
              <w:rPr>
                <w:rFonts w:ascii="Arial" w:hAnsi="Arial" w:cs="Arial"/>
                <w:b/>
                <w:bCs/>
                <w:sz w:val="22"/>
                <w:szCs w:val="22"/>
              </w:rPr>
              <w:t>1,511,093</w:t>
            </w:r>
          </w:p>
        </w:tc>
      </w:tr>
    </w:tbl>
    <w:p w14:paraId="48BF21DB" w14:textId="77777777" w:rsidR="00186848" w:rsidRDefault="00186848" w:rsidP="00517F4D">
      <w:pPr>
        <w:tabs>
          <w:tab w:val="left" w:pos="284"/>
        </w:tabs>
        <w:jc w:val="both"/>
        <w:rPr>
          <w:rFonts w:ascii="Arial" w:hAnsi="Arial" w:cs="Arial"/>
          <w:sz w:val="20"/>
          <w:szCs w:val="20"/>
        </w:rPr>
      </w:pPr>
    </w:p>
    <w:p w14:paraId="669AD368" w14:textId="77777777" w:rsidR="00411E05" w:rsidRDefault="00411E05" w:rsidP="00517F4D">
      <w:pPr>
        <w:tabs>
          <w:tab w:val="left" w:pos="284"/>
        </w:tabs>
        <w:jc w:val="both"/>
        <w:rPr>
          <w:rFonts w:ascii="Arial" w:hAnsi="Arial" w:cs="Arial"/>
          <w:sz w:val="20"/>
          <w:szCs w:val="20"/>
        </w:rPr>
      </w:pPr>
    </w:p>
    <w:p w14:paraId="25A34E80" w14:textId="77777777" w:rsidR="001E0D62" w:rsidRPr="004A3AC2" w:rsidRDefault="001E0D62" w:rsidP="00517F4D">
      <w:pPr>
        <w:tabs>
          <w:tab w:val="left" w:pos="284"/>
        </w:tabs>
        <w:jc w:val="both"/>
        <w:rPr>
          <w:rFonts w:ascii="Arial" w:hAnsi="Arial" w:cs="Arial"/>
          <w:b/>
          <w:bCs/>
          <w:sz w:val="20"/>
          <w:szCs w:val="20"/>
        </w:rPr>
      </w:pPr>
    </w:p>
    <w:tbl>
      <w:tblPr>
        <w:tblW w:w="10269" w:type="dxa"/>
        <w:jc w:val="center"/>
        <w:tblLook w:val="04A0" w:firstRow="1" w:lastRow="0" w:firstColumn="1" w:lastColumn="0" w:noHBand="0" w:noVBand="1"/>
      </w:tblPr>
      <w:tblGrid>
        <w:gridCol w:w="2398"/>
        <w:gridCol w:w="1453"/>
        <w:gridCol w:w="1409"/>
        <w:gridCol w:w="1808"/>
        <w:gridCol w:w="1453"/>
        <w:gridCol w:w="1748"/>
      </w:tblGrid>
      <w:tr w:rsidR="00DC5B6E" w:rsidRPr="004A3AC2" w14:paraId="1995FD1E" w14:textId="77777777" w:rsidTr="009F4CF0">
        <w:trPr>
          <w:trHeight w:val="76"/>
          <w:jc w:val="center"/>
        </w:trPr>
        <w:tc>
          <w:tcPr>
            <w:tcW w:w="2398" w:type="dxa"/>
            <w:shd w:val="clear" w:color="FFFFFF" w:fill="FFFFFF"/>
            <w:vAlign w:val="bottom"/>
            <w:hideMark/>
          </w:tcPr>
          <w:p w14:paraId="47E71099" w14:textId="77777777" w:rsidR="00231F4C" w:rsidRPr="004A3AC2" w:rsidRDefault="00231F4C" w:rsidP="009F4CF0">
            <w:pPr>
              <w:tabs>
                <w:tab w:val="left" w:pos="284"/>
              </w:tabs>
              <w:jc w:val="both"/>
              <w:rPr>
                <w:rFonts w:ascii="Arial" w:hAnsi="Arial" w:cs="Arial"/>
                <w:b/>
                <w:bCs/>
                <w:sz w:val="22"/>
                <w:szCs w:val="22"/>
              </w:rPr>
            </w:pPr>
            <w:r w:rsidRPr="004A3AC2">
              <w:rPr>
                <w:rFonts w:ascii="Arial" w:hAnsi="Arial" w:cs="Arial"/>
                <w:b/>
                <w:bCs/>
                <w:sz w:val="22"/>
                <w:szCs w:val="22"/>
              </w:rPr>
              <w:t> </w:t>
            </w:r>
          </w:p>
        </w:tc>
        <w:tc>
          <w:tcPr>
            <w:tcW w:w="1453" w:type="dxa"/>
            <w:shd w:val="clear" w:color="FFFFFF" w:fill="FFFFFF"/>
            <w:noWrap/>
            <w:vAlign w:val="bottom"/>
            <w:hideMark/>
          </w:tcPr>
          <w:p w14:paraId="06748C1C"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31/03/2023</w:t>
            </w:r>
          </w:p>
        </w:tc>
        <w:tc>
          <w:tcPr>
            <w:tcW w:w="1409" w:type="dxa"/>
            <w:shd w:val="clear" w:color="FFFFFF" w:fill="FFFFFF"/>
            <w:noWrap/>
            <w:vAlign w:val="bottom"/>
            <w:hideMark/>
          </w:tcPr>
          <w:p w14:paraId="402FCF6F"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Purchases</w:t>
            </w:r>
          </w:p>
        </w:tc>
        <w:tc>
          <w:tcPr>
            <w:tcW w:w="1808" w:type="dxa"/>
            <w:shd w:val="clear" w:color="FFFFFF" w:fill="FFFFFF"/>
            <w:noWrap/>
            <w:vAlign w:val="bottom"/>
            <w:hideMark/>
          </w:tcPr>
          <w:p w14:paraId="0535B72F"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Sales</w:t>
            </w:r>
          </w:p>
        </w:tc>
        <w:tc>
          <w:tcPr>
            <w:tcW w:w="1453" w:type="dxa"/>
            <w:shd w:val="clear" w:color="FFFFFF" w:fill="FFFFFF"/>
            <w:noWrap/>
            <w:vAlign w:val="bottom"/>
            <w:hideMark/>
          </w:tcPr>
          <w:p w14:paraId="78C14217" w14:textId="1E12F4EF" w:rsidR="00231F4C" w:rsidRPr="004A3AC2" w:rsidRDefault="000045D8" w:rsidP="009F4CF0">
            <w:pPr>
              <w:tabs>
                <w:tab w:val="left" w:pos="284"/>
              </w:tabs>
              <w:jc w:val="center"/>
              <w:rPr>
                <w:rFonts w:ascii="Arial" w:hAnsi="Arial" w:cs="Arial"/>
                <w:b/>
                <w:bCs/>
                <w:sz w:val="22"/>
                <w:szCs w:val="22"/>
              </w:rPr>
            </w:pPr>
            <w:r w:rsidRPr="004A3AC2">
              <w:rPr>
                <w:rFonts w:ascii="Arial" w:hAnsi="Arial" w:cs="Arial"/>
                <w:b/>
                <w:bCs/>
                <w:sz w:val="22"/>
                <w:szCs w:val="22"/>
              </w:rPr>
              <w:t xml:space="preserve">Change in </w:t>
            </w:r>
            <w:r w:rsidR="00231F4C" w:rsidRPr="004A3AC2">
              <w:rPr>
                <w:rFonts w:ascii="Arial" w:hAnsi="Arial" w:cs="Arial"/>
                <w:b/>
                <w:bCs/>
                <w:sz w:val="22"/>
                <w:szCs w:val="22"/>
              </w:rPr>
              <w:t>Fair Value</w:t>
            </w:r>
          </w:p>
        </w:tc>
        <w:tc>
          <w:tcPr>
            <w:tcW w:w="1748" w:type="dxa"/>
            <w:shd w:val="clear" w:color="FFFFFF" w:fill="FFFFFF"/>
            <w:noWrap/>
            <w:vAlign w:val="bottom"/>
            <w:hideMark/>
          </w:tcPr>
          <w:p w14:paraId="29115927"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31/03/2024</w:t>
            </w:r>
          </w:p>
        </w:tc>
      </w:tr>
      <w:tr w:rsidR="00DC5B6E" w:rsidRPr="004A3AC2" w14:paraId="5E5334B8" w14:textId="77777777" w:rsidTr="009F4CF0">
        <w:trPr>
          <w:trHeight w:val="76"/>
          <w:jc w:val="center"/>
        </w:trPr>
        <w:tc>
          <w:tcPr>
            <w:tcW w:w="2398" w:type="dxa"/>
            <w:shd w:val="clear" w:color="FFFFFF" w:fill="FFFFFF"/>
            <w:vAlign w:val="bottom"/>
            <w:hideMark/>
          </w:tcPr>
          <w:p w14:paraId="2A1C3A79" w14:textId="77777777" w:rsidR="00231F4C" w:rsidRPr="004A3AC2" w:rsidRDefault="00231F4C" w:rsidP="009F4CF0">
            <w:pPr>
              <w:tabs>
                <w:tab w:val="left" w:pos="284"/>
              </w:tabs>
              <w:jc w:val="both"/>
              <w:rPr>
                <w:rFonts w:ascii="Arial" w:hAnsi="Arial" w:cs="Arial"/>
                <w:b/>
                <w:bCs/>
                <w:sz w:val="22"/>
                <w:szCs w:val="22"/>
              </w:rPr>
            </w:pPr>
            <w:r w:rsidRPr="004A3AC2">
              <w:rPr>
                <w:rFonts w:ascii="Arial" w:hAnsi="Arial" w:cs="Arial"/>
                <w:b/>
                <w:bCs/>
                <w:sz w:val="22"/>
                <w:szCs w:val="22"/>
              </w:rPr>
              <w:t> </w:t>
            </w:r>
          </w:p>
        </w:tc>
        <w:tc>
          <w:tcPr>
            <w:tcW w:w="1453" w:type="dxa"/>
            <w:shd w:val="clear" w:color="FFFFFF" w:fill="FFFFFF"/>
            <w:noWrap/>
            <w:vAlign w:val="bottom"/>
            <w:hideMark/>
          </w:tcPr>
          <w:p w14:paraId="17FBEDE1"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£000</w:t>
            </w:r>
          </w:p>
        </w:tc>
        <w:tc>
          <w:tcPr>
            <w:tcW w:w="1409" w:type="dxa"/>
            <w:shd w:val="clear" w:color="FFFFFF" w:fill="FFFFFF"/>
            <w:noWrap/>
            <w:vAlign w:val="bottom"/>
            <w:hideMark/>
          </w:tcPr>
          <w:p w14:paraId="36E193E0"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£000</w:t>
            </w:r>
          </w:p>
        </w:tc>
        <w:tc>
          <w:tcPr>
            <w:tcW w:w="1808" w:type="dxa"/>
            <w:shd w:val="clear" w:color="FFFFFF" w:fill="FFFFFF"/>
            <w:noWrap/>
            <w:vAlign w:val="bottom"/>
            <w:hideMark/>
          </w:tcPr>
          <w:p w14:paraId="06F2C8A1"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£000</w:t>
            </w:r>
          </w:p>
        </w:tc>
        <w:tc>
          <w:tcPr>
            <w:tcW w:w="1453" w:type="dxa"/>
            <w:shd w:val="clear" w:color="FFFFFF" w:fill="FFFFFF"/>
            <w:noWrap/>
            <w:vAlign w:val="bottom"/>
            <w:hideMark/>
          </w:tcPr>
          <w:p w14:paraId="2B076A35"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£000</w:t>
            </w:r>
          </w:p>
        </w:tc>
        <w:tc>
          <w:tcPr>
            <w:tcW w:w="1748" w:type="dxa"/>
            <w:shd w:val="clear" w:color="FFFFFF" w:fill="FFFFFF"/>
            <w:noWrap/>
            <w:vAlign w:val="bottom"/>
            <w:hideMark/>
          </w:tcPr>
          <w:p w14:paraId="5682430D" w14:textId="77777777" w:rsidR="00231F4C" w:rsidRPr="004A3AC2" w:rsidRDefault="00231F4C" w:rsidP="009F4CF0">
            <w:pPr>
              <w:tabs>
                <w:tab w:val="left" w:pos="284"/>
              </w:tabs>
              <w:jc w:val="center"/>
              <w:rPr>
                <w:rFonts w:ascii="Arial" w:hAnsi="Arial" w:cs="Arial"/>
                <w:b/>
                <w:bCs/>
                <w:sz w:val="22"/>
                <w:szCs w:val="22"/>
              </w:rPr>
            </w:pPr>
            <w:r w:rsidRPr="004A3AC2">
              <w:rPr>
                <w:rFonts w:ascii="Arial" w:hAnsi="Arial" w:cs="Arial"/>
                <w:b/>
                <w:bCs/>
                <w:sz w:val="22"/>
                <w:szCs w:val="22"/>
              </w:rPr>
              <w:t>£000</w:t>
            </w:r>
          </w:p>
        </w:tc>
      </w:tr>
      <w:tr w:rsidR="00DC5B6E" w:rsidRPr="00750CE2" w14:paraId="3BC1379C" w14:textId="77777777" w:rsidTr="009F4CF0">
        <w:trPr>
          <w:trHeight w:val="76"/>
          <w:jc w:val="center"/>
        </w:trPr>
        <w:tc>
          <w:tcPr>
            <w:tcW w:w="2398" w:type="dxa"/>
            <w:shd w:val="clear" w:color="FFFFFF" w:fill="FFFFFF"/>
            <w:hideMark/>
          </w:tcPr>
          <w:p w14:paraId="391A5F5F"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 xml:space="preserve">Bonds </w:t>
            </w:r>
          </w:p>
        </w:tc>
        <w:tc>
          <w:tcPr>
            <w:tcW w:w="1453" w:type="dxa"/>
            <w:shd w:val="clear" w:color="FFFFFF" w:fill="FFFFFF"/>
            <w:noWrap/>
          </w:tcPr>
          <w:p w14:paraId="43C981E6"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98,667</w:t>
            </w:r>
          </w:p>
        </w:tc>
        <w:tc>
          <w:tcPr>
            <w:tcW w:w="1409" w:type="dxa"/>
            <w:shd w:val="clear" w:color="FFFFFF" w:fill="FFFFFF"/>
            <w:noWrap/>
          </w:tcPr>
          <w:p w14:paraId="24892BD9"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12,282</w:t>
            </w:r>
          </w:p>
        </w:tc>
        <w:tc>
          <w:tcPr>
            <w:tcW w:w="1808" w:type="dxa"/>
            <w:shd w:val="clear" w:color="FFFFFF" w:fill="FFFFFF"/>
            <w:noWrap/>
          </w:tcPr>
          <w:p w14:paraId="3D63EEC3" w14:textId="46836496" w:rsidR="00231F4C" w:rsidRPr="00750CE2" w:rsidRDefault="00A91716" w:rsidP="009F4CF0">
            <w:pPr>
              <w:tabs>
                <w:tab w:val="left" w:pos="284"/>
              </w:tabs>
              <w:jc w:val="right"/>
              <w:rPr>
                <w:rFonts w:ascii="Arial" w:hAnsi="Arial" w:cs="Arial"/>
                <w:sz w:val="22"/>
                <w:szCs w:val="22"/>
              </w:rPr>
            </w:pPr>
            <w:r w:rsidRPr="00750CE2">
              <w:rPr>
                <w:rFonts w:ascii="Arial" w:hAnsi="Arial" w:cs="Arial"/>
                <w:sz w:val="22"/>
                <w:szCs w:val="22"/>
              </w:rPr>
              <w:t>-</w:t>
            </w:r>
          </w:p>
        </w:tc>
        <w:tc>
          <w:tcPr>
            <w:tcW w:w="1453" w:type="dxa"/>
            <w:shd w:val="clear" w:color="FFFFFF" w:fill="FFFFFF"/>
            <w:noWrap/>
          </w:tcPr>
          <w:p w14:paraId="3DCB7AE4"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8,397</w:t>
            </w:r>
          </w:p>
        </w:tc>
        <w:tc>
          <w:tcPr>
            <w:tcW w:w="1748" w:type="dxa"/>
            <w:shd w:val="clear" w:color="FFFFFF" w:fill="FFFFFF"/>
            <w:noWrap/>
          </w:tcPr>
          <w:p w14:paraId="423664AE"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119,346</w:t>
            </w:r>
          </w:p>
        </w:tc>
      </w:tr>
      <w:tr w:rsidR="00DC5B6E" w:rsidRPr="00750CE2" w14:paraId="179391D0" w14:textId="77777777" w:rsidTr="009F4CF0">
        <w:trPr>
          <w:trHeight w:val="76"/>
          <w:jc w:val="center"/>
        </w:trPr>
        <w:tc>
          <w:tcPr>
            <w:tcW w:w="2398" w:type="dxa"/>
            <w:shd w:val="clear" w:color="FFFFFF" w:fill="FFFFFF"/>
            <w:hideMark/>
          </w:tcPr>
          <w:p w14:paraId="7E7F31B0"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Equities</w:t>
            </w:r>
          </w:p>
        </w:tc>
        <w:tc>
          <w:tcPr>
            <w:tcW w:w="1453" w:type="dxa"/>
            <w:shd w:val="clear" w:color="FFFFFF" w:fill="FFFFFF"/>
            <w:noWrap/>
          </w:tcPr>
          <w:p w14:paraId="70A21ADB" w14:textId="69DAC1E0"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480,54</w:t>
            </w:r>
            <w:r w:rsidR="004B28F3" w:rsidRPr="00750CE2">
              <w:rPr>
                <w:rFonts w:ascii="Arial" w:hAnsi="Arial" w:cs="Arial"/>
                <w:sz w:val="22"/>
                <w:szCs w:val="22"/>
              </w:rPr>
              <w:t>2</w:t>
            </w:r>
          </w:p>
        </w:tc>
        <w:tc>
          <w:tcPr>
            <w:tcW w:w="1409" w:type="dxa"/>
            <w:shd w:val="clear" w:color="FFFFFF" w:fill="FFFFFF"/>
            <w:noWrap/>
          </w:tcPr>
          <w:p w14:paraId="15ED2F62"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751</w:t>
            </w:r>
          </w:p>
        </w:tc>
        <w:tc>
          <w:tcPr>
            <w:tcW w:w="1808" w:type="dxa"/>
            <w:shd w:val="clear" w:color="FFFFFF" w:fill="FFFFFF"/>
            <w:noWrap/>
          </w:tcPr>
          <w:p w14:paraId="473F84C3"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(20,000)</w:t>
            </w:r>
          </w:p>
        </w:tc>
        <w:tc>
          <w:tcPr>
            <w:tcW w:w="1453" w:type="dxa"/>
            <w:shd w:val="clear" w:color="FFFFFF" w:fill="FFFFFF"/>
            <w:noWrap/>
          </w:tcPr>
          <w:p w14:paraId="6AD51596"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90,764</w:t>
            </w:r>
          </w:p>
        </w:tc>
        <w:tc>
          <w:tcPr>
            <w:tcW w:w="1748" w:type="dxa"/>
            <w:shd w:val="clear" w:color="FFFFFF" w:fill="FFFFFF"/>
            <w:noWrap/>
          </w:tcPr>
          <w:p w14:paraId="0BAA1927" w14:textId="20B556D9"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552,05</w:t>
            </w:r>
            <w:r w:rsidR="00903BBC" w:rsidRPr="005650E5">
              <w:rPr>
                <w:rFonts w:ascii="Arial" w:hAnsi="Arial" w:cs="Arial"/>
                <w:b/>
                <w:bCs/>
                <w:sz w:val="22"/>
                <w:szCs w:val="22"/>
              </w:rPr>
              <w:t>7</w:t>
            </w:r>
          </w:p>
        </w:tc>
      </w:tr>
      <w:tr w:rsidR="00DC5B6E" w:rsidRPr="00750CE2" w14:paraId="08FF872C" w14:textId="77777777" w:rsidTr="009F4CF0">
        <w:trPr>
          <w:trHeight w:val="76"/>
          <w:jc w:val="center"/>
        </w:trPr>
        <w:tc>
          <w:tcPr>
            <w:tcW w:w="2398" w:type="dxa"/>
            <w:shd w:val="clear" w:color="FFFFFF" w:fill="FFFFFF"/>
            <w:hideMark/>
          </w:tcPr>
          <w:p w14:paraId="134D8539"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Pooled Investments</w:t>
            </w:r>
          </w:p>
        </w:tc>
        <w:tc>
          <w:tcPr>
            <w:tcW w:w="1453" w:type="dxa"/>
            <w:shd w:val="clear" w:color="FFFFFF" w:fill="FFFFFF"/>
            <w:noWrap/>
          </w:tcPr>
          <w:p w14:paraId="1FFC9913"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442,437</w:t>
            </w:r>
          </w:p>
        </w:tc>
        <w:tc>
          <w:tcPr>
            <w:tcW w:w="1409" w:type="dxa"/>
            <w:shd w:val="clear" w:color="FFFFFF" w:fill="FFFFFF"/>
            <w:noWrap/>
          </w:tcPr>
          <w:p w14:paraId="38893EAD"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89,541</w:t>
            </w:r>
          </w:p>
        </w:tc>
        <w:tc>
          <w:tcPr>
            <w:tcW w:w="1808" w:type="dxa"/>
            <w:shd w:val="clear" w:color="FFFFFF" w:fill="FFFFFF"/>
            <w:noWrap/>
          </w:tcPr>
          <w:p w14:paraId="04364559"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(70,000)</w:t>
            </w:r>
          </w:p>
        </w:tc>
        <w:tc>
          <w:tcPr>
            <w:tcW w:w="1453" w:type="dxa"/>
            <w:shd w:val="clear" w:color="FFFFFF" w:fill="FFFFFF"/>
            <w:noWrap/>
          </w:tcPr>
          <w:p w14:paraId="310F1A49"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27,452</w:t>
            </w:r>
          </w:p>
        </w:tc>
        <w:tc>
          <w:tcPr>
            <w:tcW w:w="1748" w:type="dxa"/>
            <w:shd w:val="clear" w:color="FFFFFF" w:fill="FFFFFF"/>
            <w:noWrap/>
          </w:tcPr>
          <w:p w14:paraId="2B7029C7"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489,430</w:t>
            </w:r>
          </w:p>
        </w:tc>
      </w:tr>
      <w:tr w:rsidR="00DC5B6E" w:rsidRPr="00750CE2" w14:paraId="788BBC6B" w14:textId="77777777" w:rsidTr="009F4CF0">
        <w:trPr>
          <w:trHeight w:val="76"/>
          <w:jc w:val="center"/>
        </w:trPr>
        <w:tc>
          <w:tcPr>
            <w:tcW w:w="2398" w:type="dxa"/>
            <w:shd w:val="clear" w:color="FFFFFF" w:fill="FFFFFF"/>
            <w:hideMark/>
          </w:tcPr>
          <w:p w14:paraId="4DF14839"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Infrastructure</w:t>
            </w:r>
          </w:p>
        </w:tc>
        <w:tc>
          <w:tcPr>
            <w:tcW w:w="1453" w:type="dxa"/>
            <w:shd w:val="clear" w:color="FFFFFF" w:fill="FFFFFF"/>
            <w:noWrap/>
          </w:tcPr>
          <w:p w14:paraId="3C6C971D"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96,926</w:t>
            </w:r>
          </w:p>
        </w:tc>
        <w:tc>
          <w:tcPr>
            <w:tcW w:w="1409" w:type="dxa"/>
            <w:shd w:val="clear" w:color="FFFFFF" w:fill="FFFFFF"/>
            <w:noWrap/>
          </w:tcPr>
          <w:p w14:paraId="2CEDF64C" w14:textId="084CAAAF" w:rsidR="00231F4C" w:rsidRPr="00750CE2" w:rsidRDefault="004B28F3" w:rsidP="009F4CF0">
            <w:pPr>
              <w:tabs>
                <w:tab w:val="left" w:pos="284"/>
              </w:tabs>
              <w:jc w:val="right"/>
              <w:rPr>
                <w:rFonts w:ascii="Arial" w:hAnsi="Arial" w:cs="Arial"/>
                <w:sz w:val="22"/>
                <w:szCs w:val="22"/>
              </w:rPr>
            </w:pPr>
            <w:r w:rsidRPr="00750CE2">
              <w:rPr>
                <w:rFonts w:ascii="Arial" w:hAnsi="Arial" w:cs="Arial"/>
                <w:sz w:val="22"/>
                <w:szCs w:val="22"/>
              </w:rPr>
              <w:t>-</w:t>
            </w:r>
          </w:p>
        </w:tc>
        <w:tc>
          <w:tcPr>
            <w:tcW w:w="1808" w:type="dxa"/>
            <w:shd w:val="clear" w:color="FFFFFF" w:fill="FFFFFF"/>
            <w:noWrap/>
          </w:tcPr>
          <w:p w14:paraId="400E9561"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(2,478)</w:t>
            </w:r>
          </w:p>
        </w:tc>
        <w:tc>
          <w:tcPr>
            <w:tcW w:w="1453" w:type="dxa"/>
            <w:shd w:val="clear" w:color="FFFFFF" w:fill="FFFFFF"/>
            <w:noWrap/>
          </w:tcPr>
          <w:p w14:paraId="0A8586EE"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(7,874)</w:t>
            </w:r>
          </w:p>
        </w:tc>
        <w:tc>
          <w:tcPr>
            <w:tcW w:w="1748" w:type="dxa"/>
            <w:shd w:val="clear" w:color="FFFFFF" w:fill="FFFFFF"/>
            <w:noWrap/>
          </w:tcPr>
          <w:p w14:paraId="3F960006"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86,574</w:t>
            </w:r>
          </w:p>
        </w:tc>
      </w:tr>
      <w:tr w:rsidR="00DC5B6E" w:rsidRPr="00750CE2" w14:paraId="2B049252" w14:textId="77777777" w:rsidTr="009F4CF0">
        <w:trPr>
          <w:trHeight w:val="76"/>
          <w:jc w:val="center"/>
        </w:trPr>
        <w:tc>
          <w:tcPr>
            <w:tcW w:w="2398" w:type="dxa"/>
            <w:shd w:val="clear" w:color="FFFFFF" w:fill="FFFFFF"/>
          </w:tcPr>
          <w:p w14:paraId="23C857B3"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Alternatives</w:t>
            </w:r>
          </w:p>
        </w:tc>
        <w:tc>
          <w:tcPr>
            <w:tcW w:w="1453" w:type="dxa"/>
            <w:tcBorders>
              <w:top w:val="nil"/>
              <w:left w:val="nil"/>
              <w:bottom w:val="nil"/>
              <w:right w:val="nil"/>
            </w:tcBorders>
            <w:shd w:val="clear" w:color="auto" w:fill="auto"/>
            <w:noWrap/>
            <w:vAlign w:val="center"/>
          </w:tcPr>
          <w:p w14:paraId="57D92732"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38,513</w:t>
            </w:r>
          </w:p>
        </w:tc>
        <w:tc>
          <w:tcPr>
            <w:tcW w:w="1409" w:type="dxa"/>
            <w:tcBorders>
              <w:top w:val="nil"/>
              <w:left w:val="nil"/>
              <w:bottom w:val="nil"/>
              <w:right w:val="nil"/>
            </w:tcBorders>
            <w:shd w:val="clear" w:color="auto" w:fill="auto"/>
            <w:noWrap/>
            <w:vAlign w:val="center"/>
          </w:tcPr>
          <w:p w14:paraId="40C199B5"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3,970</w:t>
            </w:r>
          </w:p>
        </w:tc>
        <w:tc>
          <w:tcPr>
            <w:tcW w:w="1808" w:type="dxa"/>
            <w:tcBorders>
              <w:top w:val="nil"/>
              <w:left w:val="nil"/>
              <w:bottom w:val="nil"/>
              <w:right w:val="nil"/>
            </w:tcBorders>
            <w:shd w:val="clear" w:color="auto" w:fill="auto"/>
            <w:noWrap/>
            <w:vAlign w:val="bottom"/>
          </w:tcPr>
          <w:p w14:paraId="5E3287D9"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(9,735)</w:t>
            </w:r>
          </w:p>
        </w:tc>
        <w:tc>
          <w:tcPr>
            <w:tcW w:w="1453" w:type="dxa"/>
            <w:tcBorders>
              <w:top w:val="nil"/>
              <w:left w:val="nil"/>
              <w:bottom w:val="nil"/>
              <w:right w:val="nil"/>
            </w:tcBorders>
            <w:shd w:val="clear" w:color="auto" w:fill="auto"/>
            <w:noWrap/>
            <w:vAlign w:val="center"/>
          </w:tcPr>
          <w:p w14:paraId="53927A87"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1,905</w:t>
            </w:r>
          </w:p>
        </w:tc>
        <w:tc>
          <w:tcPr>
            <w:tcW w:w="1748" w:type="dxa"/>
            <w:tcBorders>
              <w:top w:val="nil"/>
              <w:left w:val="nil"/>
              <w:bottom w:val="nil"/>
              <w:right w:val="nil"/>
            </w:tcBorders>
            <w:shd w:val="clear" w:color="auto" w:fill="auto"/>
            <w:noWrap/>
            <w:vAlign w:val="center"/>
          </w:tcPr>
          <w:p w14:paraId="3573800F"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34,653</w:t>
            </w:r>
          </w:p>
        </w:tc>
      </w:tr>
      <w:tr w:rsidR="00DC5B6E" w:rsidRPr="00750CE2" w14:paraId="06EFA481" w14:textId="77777777" w:rsidTr="009F4CF0">
        <w:trPr>
          <w:trHeight w:val="76"/>
          <w:jc w:val="center"/>
        </w:trPr>
        <w:tc>
          <w:tcPr>
            <w:tcW w:w="2398" w:type="dxa"/>
            <w:shd w:val="clear" w:color="FFFFFF" w:fill="FFFFFF"/>
            <w:hideMark/>
          </w:tcPr>
          <w:p w14:paraId="696E2994"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Private Equity</w:t>
            </w:r>
          </w:p>
        </w:tc>
        <w:tc>
          <w:tcPr>
            <w:tcW w:w="1453" w:type="dxa"/>
            <w:tcBorders>
              <w:top w:val="nil"/>
              <w:left w:val="nil"/>
              <w:bottom w:val="nil"/>
              <w:right w:val="nil"/>
            </w:tcBorders>
            <w:shd w:val="clear" w:color="auto" w:fill="auto"/>
            <w:noWrap/>
            <w:vAlign w:val="center"/>
          </w:tcPr>
          <w:p w14:paraId="423E1225"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89,808</w:t>
            </w:r>
          </w:p>
        </w:tc>
        <w:tc>
          <w:tcPr>
            <w:tcW w:w="1409" w:type="dxa"/>
            <w:tcBorders>
              <w:top w:val="nil"/>
              <w:left w:val="nil"/>
              <w:bottom w:val="nil"/>
              <w:right w:val="nil"/>
            </w:tcBorders>
            <w:shd w:val="clear" w:color="auto" w:fill="auto"/>
            <w:noWrap/>
            <w:vAlign w:val="center"/>
          </w:tcPr>
          <w:p w14:paraId="624AE730"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26,678</w:t>
            </w:r>
          </w:p>
        </w:tc>
        <w:tc>
          <w:tcPr>
            <w:tcW w:w="1808" w:type="dxa"/>
            <w:tcBorders>
              <w:top w:val="nil"/>
              <w:left w:val="nil"/>
              <w:bottom w:val="nil"/>
              <w:right w:val="nil"/>
            </w:tcBorders>
            <w:shd w:val="clear" w:color="auto" w:fill="auto"/>
            <w:noWrap/>
            <w:vAlign w:val="bottom"/>
          </w:tcPr>
          <w:p w14:paraId="6E93FCCB"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(11,681)</w:t>
            </w:r>
          </w:p>
        </w:tc>
        <w:tc>
          <w:tcPr>
            <w:tcW w:w="1453" w:type="dxa"/>
            <w:tcBorders>
              <w:top w:val="nil"/>
              <w:left w:val="nil"/>
              <w:bottom w:val="nil"/>
              <w:right w:val="nil"/>
            </w:tcBorders>
            <w:shd w:val="clear" w:color="auto" w:fill="auto"/>
            <w:noWrap/>
            <w:vAlign w:val="center"/>
          </w:tcPr>
          <w:p w14:paraId="3E55E837"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2,669</w:t>
            </w:r>
          </w:p>
        </w:tc>
        <w:tc>
          <w:tcPr>
            <w:tcW w:w="1748" w:type="dxa"/>
            <w:tcBorders>
              <w:top w:val="nil"/>
              <w:left w:val="nil"/>
              <w:bottom w:val="nil"/>
              <w:right w:val="nil"/>
            </w:tcBorders>
            <w:shd w:val="clear" w:color="auto" w:fill="auto"/>
            <w:noWrap/>
            <w:vAlign w:val="center"/>
          </w:tcPr>
          <w:p w14:paraId="00BA5230"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107,474</w:t>
            </w:r>
          </w:p>
        </w:tc>
      </w:tr>
      <w:tr w:rsidR="00DC5B6E" w:rsidRPr="00750CE2" w14:paraId="3E547A3B" w14:textId="77777777" w:rsidTr="009F4CF0">
        <w:trPr>
          <w:trHeight w:val="76"/>
          <w:jc w:val="center"/>
        </w:trPr>
        <w:tc>
          <w:tcPr>
            <w:tcW w:w="2398" w:type="dxa"/>
            <w:shd w:val="clear" w:color="FFFFFF" w:fill="FFFFFF"/>
          </w:tcPr>
          <w:p w14:paraId="32868AA9"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Property</w:t>
            </w:r>
          </w:p>
        </w:tc>
        <w:tc>
          <w:tcPr>
            <w:tcW w:w="1453" w:type="dxa"/>
            <w:tcBorders>
              <w:top w:val="nil"/>
              <w:left w:val="nil"/>
              <w:bottom w:val="nil"/>
              <w:right w:val="nil"/>
            </w:tcBorders>
            <w:shd w:val="clear" w:color="000000" w:fill="FFFFFF"/>
            <w:noWrap/>
            <w:vAlign w:val="center"/>
          </w:tcPr>
          <w:p w14:paraId="6E82314C"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50,088</w:t>
            </w:r>
          </w:p>
        </w:tc>
        <w:tc>
          <w:tcPr>
            <w:tcW w:w="1409" w:type="dxa"/>
            <w:tcBorders>
              <w:top w:val="nil"/>
              <w:left w:val="nil"/>
              <w:bottom w:val="nil"/>
              <w:right w:val="nil"/>
            </w:tcBorders>
            <w:shd w:val="clear" w:color="000000" w:fill="FFFFFF"/>
            <w:noWrap/>
            <w:vAlign w:val="center"/>
          </w:tcPr>
          <w:p w14:paraId="13AA2623"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3,460</w:t>
            </w:r>
          </w:p>
        </w:tc>
        <w:tc>
          <w:tcPr>
            <w:tcW w:w="1808" w:type="dxa"/>
            <w:tcBorders>
              <w:top w:val="nil"/>
              <w:left w:val="nil"/>
              <w:bottom w:val="nil"/>
              <w:right w:val="nil"/>
            </w:tcBorders>
            <w:shd w:val="clear" w:color="000000" w:fill="FFFFFF"/>
            <w:noWrap/>
            <w:vAlign w:val="center"/>
          </w:tcPr>
          <w:p w14:paraId="0185CFC8" w14:textId="39B6979F" w:rsidR="00231F4C" w:rsidRPr="00750CE2" w:rsidRDefault="00A91716" w:rsidP="009F4CF0">
            <w:pPr>
              <w:tabs>
                <w:tab w:val="left" w:pos="284"/>
              </w:tabs>
              <w:jc w:val="right"/>
              <w:rPr>
                <w:rFonts w:ascii="Arial" w:hAnsi="Arial" w:cs="Arial"/>
                <w:sz w:val="22"/>
                <w:szCs w:val="22"/>
              </w:rPr>
            </w:pPr>
            <w:r w:rsidRPr="00750CE2">
              <w:rPr>
                <w:rFonts w:ascii="Arial" w:hAnsi="Arial" w:cs="Arial"/>
                <w:sz w:val="22"/>
                <w:szCs w:val="22"/>
              </w:rPr>
              <w:t>-</w:t>
            </w:r>
            <w:r w:rsidR="00231F4C" w:rsidRPr="00750CE2">
              <w:rPr>
                <w:rFonts w:ascii="Arial" w:hAnsi="Arial" w:cs="Arial"/>
                <w:sz w:val="22"/>
                <w:szCs w:val="22"/>
              </w:rPr>
              <w:t> </w:t>
            </w:r>
          </w:p>
        </w:tc>
        <w:tc>
          <w:tcPr>
            <w:tcW w:w="1453" w:type="dxa"/>
            <w:tcBorders>
              <w:top w:val="nil"/>
              <w:left w:val="nil"/>
              <w:bottom w:val="nil"/>
              <w:right w:val="nil"/>
            </w:tcBorders>
            <w:shd w:val="clear" w:color="000000" w:fill="FFFFFF"/>
            <w:noWrap/>
            <w:vAlign w:val="center"/>
          </w:tcPr>
          <w:p w14:paraId="0580CE94"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(5,698)</w:t>
            </w:r>
          </w:p>
        </w:tc>
        <w:tc>
          <w:tcPr>
            <w:tcW w:w="1748" w:type="dxa"/>
            <w:tcBorders>
              <w:top w:val="nil"/>
              <w:left w:val="nil"/>
              <w:bottom w:val="nil"/>
              <w:right w:val="nil"/>
            </w:tcBorders>
            <w:shd w:val="clear" w:color="000000" w:fill="FFFFFF"/>
            <w:noWrap/>
            <w:vAlign w:val="center"/>
          </w:tcPr>
          <w:p w14:paraId="3981A99B"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47,850</w:t>
            </w:r>
          </w:p>
        </w:tc>
      </w:tr>
      <w:tr w:rsidR="00DC5B6E" w:rsidRPr="00750CE2" w14:paraId="5CD940AE" w14:textId="77777777" w:rsidTr="009F4CF0">
        <w:trPr>
          <w:trHeight w:val="94"/>
          <w:jc w:val="center"/>
        </w:trPr>
        <w:tc>
          <w:tcPr>
            <w:tcW w:w="2398" w:type="dxa"/>
            <w:shd w:val="clear" w:color="FFFFFF" w:fill="FFFFFF"/>
            <w:hideMark/>
          </w:tcPr>
          <w:p w14:paraId="6723C4A6"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Derivative forwards</w:t>
            </w:r>
          </w:p>
        </w:tc>
        <w:tc>
          <w:tcPr>
            <w:tcW w:w="1453" w:type="dxa"/>
            <w:tcBorders>
              <w:top w:val="nil"/>
              <w:left w:val="nil"/>
              <w:bottom w:val="nil"/>
              <w:right w:val="nil"/>
            </w:tcBorders>
            <w:shd w:val="clear" w:color="000000" w:fill="FFFFFF"/>
            <w:noWrap/>
            <w:vAlign w:val="center"/>
          </w:tcPr>
          <w:p w14:paraId="623C0F56"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821</w:t>
            </w:r>
          </w:p>
        </w:tc>
        <w:tc>
          <w:tcPr>
            <w:tcW w:w="1409" w:type="dxa"/>
            <w:shd w:val="clear" w:color="FFFFFF" w:fill="FFFFFF"/>
            <w:noWrap/>
          </w:tcPr>
          <w:p w14:paraId="352539D3"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1,264</w:t>
            </w:r>
          </w:p>
        </w:tc>
        <w:tc>
          <w:tcPr>
            <w:tcW w:w="1808" w:type="dxa"/>
            <w:shd w:val="clear" w:color="FFFFFF" w:fill="FFFFFF"/>
            <w:noWrap/>
          </w:tcPr>
          <w:p w14:paraId="7028167C"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(5,932)</w:t>
            </w:r>
          </w:p>
        </w:tc>
        <w:tc>
          <w:tcPr>
            <w:tcW w:w="1453" w:type="dxa"/>
            <w:shd w:val="clear" w:color="FFFFFF" w:fill="FFFFFF"/>
            <w:noWrap/>
          </w:tcPr>
          <w:p w14:paraId="4CF39426"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3,847</w:t>
            </w:r>
          </w:p>
        </w:tc>
        <w:tc>
          <w:tcPr>
            <w:tcW w:w="1748" w:type="dxa"/>
            <w:shd w:val="clear" w:color="FFFFFF" w:fill="FFFFFF"/>
            <w:noWrap/>
          </w:tcPr>
          <w:p w14:paraId="37874E72"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w:t>
            </w:r>
          </w:p>
        </w:tc>
      </w:tr>
      <w:tr w:rsidR="00DC5B6E" w:rsidRPr="00750CE2" w14:paraId="2AE5B66E" w14:textId="77777777" w:rsidTr="009F4CF0">
        <w:trPr>
          <w:trHeight w:val="76"/>
          <w:jc w:val="center"/>
        </w:trPr>
        <w:tc>
          <w:tcPr>
            <w:tcW w:w="2398" w:type="dxa"/>
            <w:shd w:val="clear" w:color="FFFFFF" w:fill="FFFFFF"/>
            <w:hideMark/>
          </w:tcPr>
          <w:p w14:paraId="1593482D"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currency</w:t>
            </w:r>
          </w:p>
        </w:tc>
        <w:tc>
          <w:tcPr>
            <w:tcW w:w="1453" w:type="dxa"/>
            <w:tcBorders>
              <w:top w:val="nil"/>
              <w:left w:val="nil"/>
              <w:bottom w:val="nil"/>
              <w:right w:val="nil"/>
            </w:tcBorders>
            <w:shd w:val="clear" w:color="000000" w:fill="FFFFFF"/>
            <w:noWrap/>
            <w:vAlign w:val="bottom"/>
          </w:tcPr>
          <w:p w14:paraId="4E44AE94" w14:textId="77777777" w:rsidR="00231F4C" w:rsidRPr="00750CE2" w:rsidRDefault="00231F4C" w:rsidP="009F4CF0">
            <w:pPr>
              <w:tabs>
                <w:tab w:val="left" w:pos="284"/>
              </w:tabs>
              <w:jc w:val="right"/>
              <w:rPr>
                <w:rFonts w:ascii="Arial" w:hAnsi="Arial" w:cs="Arial"/>
                <w:sz w:val="22"/>
                <w:szCs w:val="22"/>
              </w:rPr>
            </w:pPr>
          </w:p>
        </w:tc>
        <w:tc>
          <w:tcPr>
            <w:tcW w:w="1409" w:type="dxa"/>
            <w:shd w:val="clear" w:color="FFFFFF" w:fill="FFFFFF"/>
            <w:noWrap/>
          </w:tcPr>
          <w:p w14:paraId="3BEA4180" w14:textId="77777777" w:rsidR="00231F4C" w:rsidRPr="00750CE2" w:rsidRDefault="00231F4C" w:rsidP="009F4CF0">
            <w:pPr>
              <w:tabs>
                <w:tab w:val="left" w:pos="284"/>
              </w:tabs>
              <w:jc w:val="right"/>
              <w:rPr>
                <w:rFonts w:ascii="Arial" w:hAnsi="Arial" w:cs="Arial"/>
                <w:sz w:val="22"/>
                <w:szCs w:val="22"/>
              </w:rPr>
            </w:pPr>
          </w:p>
        </w:tc>
        <w:tc>
          <w:tcPr>
            <w:tcW w:w="1808" w:type="dxa"/>
            <w:shd w:val="clear" w:color="FFFFFF" w:fill="FFFFFF"/>
            <w:noWrap/>
          </w:tcPr>
          <w:p w14:paraId="24DFAE42" w14:textId="77777777" w:rsidR="00231F4C" w:rsidRPr="00750CE2" w:rsidRDefault="00231F4C" w:rsidP="009F4CF0">
            <w:pPr>
              <w:tabs>
                <w:tab w:val="left" w:pos="284"/>
              </w:tabs>
              <w:jc w:val="right"/>
              <w:rPr>
                <w:rFonts w:ascii="Arial" w:hAnsi="Arial" w:cs="Arial"/>
                <w:sz w:val="22"/>
                <w:szCs w:val="22"/>
              </w:rPr>
            </w:pPr>
          </w:p>
        </w:tc>
        <w:tc>
          <w:tcPr>
            <w:tcW w:w="1453" w:type="dxa"/>
            <w:shd w:val="clear" w:color="FFFFFF" w:fill="FFFFFF"/>
            <w:noWrap/>
          </w:tcPr>
          <w:p w14:paraId="342CDCE3" w14:textId="77777777" w:rsidR="00231F4C" w:rsidRPr="00750CE2" w:rsidRDefault="00231F4C" w:rsidP="009F4CF0">
            <w:pPr>
              <w:tabs>
                <w:tab w:val="left" w:pos="284"/>
              </w:tabs>
              <w:jc w:val="right"/>
              <w:rPr>
                <w:rFonts w:ascii="Arial" w:hAnsi="Arial" w:cs="Arial"/>
                <w:sz w:val="22"/>
                <w:szCs w:val="22"/>
              </w:rPr>
            </w:pPr>
          </w:p>
        </w:tc>
        <w:tc>
          <w:tcPr>
            <w:tcW w:w="1748" w:type="dxa"/>
            <w:shd w:val="clear" w:color="FFFFFF" w:fill="FFFFFF"/>
            <w:noWrap/>
          </w:tcPr>
          <w:p w14:paraId="3822D22C" w14:textId="77777777" w:rsidR="00231F4C" w:rsidRPr="005650E5" w:rsidRDefault="00231F4C" w:rsidP="009F4CF0">
            <w:pPr>
              <w:tabs>
                <w:tab w:val="left" w:pos="284"/>
              </w:tabs>
              <w:jc w:val="right"/>
              <w:rPr>
                <w:rFonts w:ascii="Arial" w:hAnsi="Arial" w:cs="Arial"/>
                <w:b/>
                <w:bCs/>
                <w:sz w:val="22"/>
                <w:szCs w:val="22"/>
              </w:rPr>
            </w:pPr>
          </w:p>
        </w:tc>
      </w:tr>
      <w:tr w:rsidR="00DC5B6E" w:rsidRPr="00750CE2" w14:paraId="6794F3BC" w14:textId="77777777" w:rsidTr="009F4CF0">
        <w:trPr>
          <w:trHeight w:val="76"/>
          <w:jc w:val="center"/>
        </w:trPr>
        <w:tc>
          <w:tcPr>
            <w:tcW w:w="2398" w:type="dxa"/>
            <w:shd w:val="clear" w:color="FFFFFF" w:fill="FFFFFF"/>
            <w:hideMark/>
          </w:tcPr>
          <w:p w14:paraId="41869AE2" w14:textId="04FE433A" w:rsidR="00231F4C" w:rsidRPr="00750CE2" w:rsidRDefault="00267732" w:rsidP="009F4CF0">
            <w:pPr>
              <w:tabs>
                <w:tab w:val="left" w:pos="284"/>
              </w:tabs>
              <w:jc w:val="both"/>
              <w:rPr>
                <w:rFonts w:ascii="Arial" w:hAnsi="Arial" w:cs="Arial"/>
                <w:sz w:val="22"/>
                <w:szCs w:val="22"/>
              </w:rPr>
            </w:pPr>
            <w:r w:rsidRPr="00750CE2">
              <w:rPr>
                <w:rFonts w:ascii="Arial" w:hAnsi="Arial" w:cs="Arial"/>
                <w:sz w:val="22"/>
                <w:szCs w:val="22"/>
              </w:rPr>
              <w:t>Cash deposits held with Custodian</w:t>
            </w:r>
          </w:p>
        </w:tc>
        <w:tc>
          <w:tcPr>
            <w:tcW w:w="1453" w:type="dxa"/>
            <w:tcBorders>
              <w:top w:val="nil"/>
              <w:left w:val="nil"/>
              <w:bottom w:val="nil"/>
              <w:right w:val="nil"/>
            </w:tcBorders>
            <w:shd w:val="clear" w:color="000000" w:fill="FFFFFF"/>
            <w:noWrap/>
            <w:vAlign w:val="center"/>
          </w:tcPr>
          <w:p w14:paraId="63F0A7D7"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13,572</w:t>
            </w:r>
          </w:p>
        </w:tc>
        <w:tc>
          <w:tcPr>
            <w:tcW w:w="1409" w:type="dxa"/>
            <w:tcBorders>
              <w:top w:val="nil"/>
              <w:left w:val="nil"/>
              <w:bottom w:val="nil"/>
              <w:right w:val="nil"/>
            </w:tcBorders>
            <w:shd w:val="clear" w:color="000000" w:fill="FFFFFF"/>
            <w:noWrap/>
            <w:vAlign w:val="center"/>
          </w:tcPr>
          <w:p w14:paraId="2263D7D9"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(6,916)</w:t>
            </w:r>
          </w:p>
        </w:tc>
        <w:tc>
          <w:tcPr>
            <w:tcW w:w="1808" w:type="dxa"/>
            <w:tcBorders>
              <w:top w:val="nil"/>
              <w:left w:val="nil"/>
              <w:bottom w:val="nil"/>
              <w:right w:val="nil"/>
            </w:tcBorders>
            <w:shd w:val="clear" w:color="000000" w:fill="FFFFFF"/>
            <w:noWrap/>
            <w:vAlign w:val="center"/>
          </w:tcPr>
          <w:p w14:paraId="6B5C5328" w14:textId="2C3BC4C1" w:rsidR="00231F4C" w:rsidRPr="00750CE2" w:rsidRDefault="0015241F" w:rsidP="009F4CF0">
            <w:pPr>
              <w:tabs>
                <w:tab w:val="left" w:pos="284"/>
              </w:tabs>
              <w:jc w:val="right"/>
              <w:rPr>
                <w:rFonts w:ascii="Arial" w:hAnsi="Arial" w:cs="Arial"/>
                <w:sz w:val="22"/>
                <w:szCs w:val="22"/>
              </w:rPr>
            </w:pPr>
            <w:r w:rsidRPr="00750CE2">
              <w:rPr>
                <w:rFonts w:ascii="Arial" w:hAnsi="Arial" w:cs="Arial"/>
                <w:sz w:val="22"/>
                <w:szCs w:val="22"/>
              </w:rPr>
              <w:t>1,010</w:t>
            </w:r>
          </w:p>
        </w:tc>
        <w:tc>
          <w:tcPr>
            <w:tcW w:w="1453" w:type="dxa"/>
            <w:tcBorders>
              <w:top w:val="nil"/>
              <w:left w:val="nil"/>
              <w:bottom w:val="nil"/>
              <w:right w:val="nil"/>
            </w:tcBorders>
            <w:shd w:val="clear" w:color="000000" w:fill="FFFFFF"/>
            <w:noWrap/>
            <w:vAlign w:val="center"/>
          </w:tcPr>
          <w:p w14:paraId="4FEF0FA1" w14:textId="5E28D5B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w:t>
            </w:r>
            <w:r w:rsidR="00840887" w:rsidRPr="00750CE2">
              <w:rPr>
                <w:rFonts w:ascii="Arial" w:hAnsi="Arial" w:cs="Arial"/>
                <w:sz w:val="22"/>
                <w:szCs w:val="22"/>
              </w:rPr>
              <w:t>240</w:t>
            </w:r>
            <w:r w:rsidRPr="00750CE2">
              <w:rPr>
                <w:rFonts w:ascii="Arial" w:hAnsi="Arial" w:cs="Arial"/>
                <w:sz w:val="22"/>
                <w:szCs w:val="22"/>
              </w:rPr>
              <w:t>)</w:t>
            </w:r>
          </w:p>
        </w:tc>
        <w:tc>
          <w:tcPr>
            <w:tcW w:w="1748" w:type="dxa"/>
            <w:tcBorders>
              <w:top w:val="nil"/>
              <w:left w:val="nil"/>
              <w:bottom w:val="nil"/>
              <w:right w:val="nil"/>
            </w:tcBorders>
            <w:shd w:val="clear" w:color="000000" w:fill="FFFFFF"/>
            <w:noWrap/>
            <w:vAlign w:val="center"/>
          </w:tcPr>
          <w:p w14:paraId="2137751F"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7,426</w:t>
            </w:r>
          </w:p>
        </w:tc>
      </w:tr>
      <w:tr w:rsidR="00DC5B6E" w:rsidRPr="00750CE2" w14:paraId="06A39503" w14:textId="77777777" w:rsidTr="009F4CF0">
        <w:trPr>
          <w:trHeight w:val="76"/>
          <w:jc w:val="center"/>
        </w:trPr>
        <w:tc>
          <w:tcPr>
            <w:tcW w:w="2398" w:type="dxa"/>
            <w:shd w:val="clear" w:color="FFFFFF" w:fill="FFFFFF"/>
            <w:hideMark/>
          </w:tcPr>
          <w:p w14:paraId="58576C74" w14:textId="77777777"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Pending Trade Sales</w:t>
            </w:r>
          </w:p>
        </w:tc>
        <w:tc>
          <w:tcPr>
            <w:tcW w:w="1453" w:type="dxa"/>
            <w:tcBorders>
              <w:top w:val="nil"/>
              <w:left w:val="nil"/>
              <w:bottom w:val="nil"/>
              <w:right w:val="nil"/>
            </w:tcBorders>
            <w:shd w:val="clear" w:color="000000" w:fill="FFFFFF"/>
            <w:noWrap/>
            <w:vAlign w:val="center"/>
          </w:tcPr>
          <w:p w14:paraId="2CE89354"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344</w:t>
            </w:r>
          </w:p>
        </w:tc>
        <w:tc>
          <w:tcPr>
            <w:tcW w:w="1409" w:type="dxa"/>
            <w:shd w:val="clear" w:color="FFFFFF" w:fill="FFFFFF"/>
            <w:noWrap/>
          </w:tcPr>
          <w:p w14:paraId="7168DAA6"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1,794</w:t>
            </w:r>
          </w:p>
        </w:tc>
        <w:tc>
          <w:tcPr>
            <w:tcW w:w="1808" w:type="dxa"/>
            <w:shd w:val="clear" w:color="FFFFFF" w:fill="FFFFFF"/>
            <w:noWrap/>
          </w:tcPr>
          <w:p w14:paraId="5E990A0A" w14:textId="6E74DCCE" w:rsidR="00231F4C" w:rsidRPr="00750CE2" w:rsidRDefault="00903BBC" w:rsidP="009F4CF0">
            <w:pPr>
              <w:jc w:val="right"/>
              <w:rPr>
                <w:rFonts w:ascii="Arial" w:hAnsi="Arial" w:cs="Arial"/>
                <w:sz w:val="22"/>
                <w:szCs w:val="22"/>
              </w:rPr>
            </w:pPr>
            <w:r w:rsidRPr="00750CE2">
              <w:rPr>
                <w:rFonts w:ascii="Arial" w:hAnsi="Arial" w:cs="Arial"/>
                <w:sz w:val="22"/>
                <w:szCs w:val="22"/>
              </w:rPr>
              <w:t>-</w:t>
            </w:r>
          </w:p>
        </w:tc>
        <w:tc>
          <w:tcPr>
            <w:tcW w:w="1453" w:type="dxa"/>
            <w:shd w:val="clear" w:color="FFFFFF" w:fill="FFFFFF"/>
            <w:noWrap/>
          </w:tcPr>
          <w:p w14:paraId="302305AA" w14:textId="77777777"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10</w:t>
            </w:r>
          </w:p>
        </w:tc>
        <w:tc>
          <w:tcPr>
            <w:tcW w:w="1748" w:type="dxa"/>
            <w:shd w:val="clear" w:color="FFFFFF" w:fill="FFFFFF"/>
            <w:noWrap/>
          </w:tcPr>
          <w:p w14:paraId="4A9D110A"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2,148</w:t>
            </w:r>
          </w:p>
        </w:tc>
      </w:tr>
      <w:tr w:rsidR="00DC5B6E" w:rsidRPr="00750CE2" w14:paraId="5B3A976A" w14:textId="77777777" w:rsidTr="00B53577">
        <w:trPr>
          <w:trHeight w:val="76"/>
          <w:jc w:val="center"/>
        </w:trPr>
        <w:tc>
          <w:tcPr>
            <w:tcW w:w="2398" w:type="dxa"/>
            <w:shd w:val="clear" w:color="FFFFFF" w:fill="FFFFFF"/>
          </w:tcPr>
          <w:p w14:paraId="4C98488A" w14:textId="7E1D65C9" w:rsidR="00231F4C" w:rsidRPr="00750CE2" w:rsidRDefault="00366069" w:rsidP="009F4CF0">
            <w:pPr>
              <w:tabs>
                <w:tab w:val="left" w:pos="284"/>
              </w:tabs>
              <w:jc w:val="both"/>
              <w:rPr>
                <w:rFonts w:ascii="Arial" w:hAnsi="Arial" w:cs="Arial"/>
                <w:sz w:val="22"/>
                <w:szCs w:val="22"/>
              </w:rPr>
            </w:pPr>
            <w:r w:rsidRPr="00750CE2">
              <w:rPr>
                <w:rFonts w:ascii="Arial" w:hAnsi="Arial" w:cs="Arial"/>
                <w:sz w:val="22"/>
                <w:szCs w:val="22"/>
              </w:rPr>
              <w:t>Shareholding in London CIV</w:t>
            </w:r>
          </w:p>
        </w:tc>
        <w:tc>
          <w:tcPr>
            <w:tcW w:w="1453" w:type="dxa"/>
            <w:tcBorders>
              <w:top w:val="nil"/>
              <w:left w:val="nil"/>
              <w:bottom w:val="single" w:sz="4" w:space="0" w:color="auto"/>
              <w:right w:val="nil"/>
            </w:tcBorders>
            <w:shd w:val="clear" w:color="000000" w:fill="FFFFFF"/>
            <w:noWrap/>
            <w:vAlign w:val="center"/>
          </w:tcPr>
          <w:p w14:paraId="7EF13A9F" w14:textId="77777777" w:rsidR="00366069" w:rsidRPr="00750CE2" w:rsidRDefault="00366069" w:rsidP="009F4CF0">
            <w:pPr>
              <w:tabs>
                <w:tab w:val="left" w:pos="284"/>
              </w:tabs>
              <w:jc w:val="right"/>
              <w:rPr>
                <w:rFonts w:ascii="Arial" w:hAnsi="Arial" w:cs="Arial"/>
                <w:sz w:val="22"/>
                <w:szCs w:val="22"/>
              </w:rPr>
            </w:pPr>
          </w:p>
          <w:p w14:paraId="0923B5AC" w14:textId="368A9E8C" w:rsidR="00231F4C" w:rsidRPr="00750CE2" w:rsidRDefault="00231F4C" w:rsidP="009F4CF0">
            <w:pPr>
              <w:tabs>
                <w:tab w:val="left" w:pos="284"/>
              </w:tabs>
              <w:jc w:val="right"/>
              <w:rPr>
                <w:rFonts w:ascii="Arial" w:hAnsi="Arial" w:cs="Arial"/>
                <w:sz w:val="22"/>
                <w:szCs w:val="22"/>
              </w:rPr>
            </w:pPr>
            <w:r w:rsidRPr="00750CE2">
              <w:rPr>
                <w:rFonts w:ascii="Arial" w:hAnsi="Arial" w:cs="Arial"/>
                <w:sz w:val="22"/>
                <w:szCs w:val="22"/>
              </w:rPr>
              <w:t>150</w:t>
            </w:r>
          </w:p>
        </w:tc>
        <w:tc>
          <w:tcPr>
            <w:tcW w:w="1409" w:type="dxa"/>
            <w:tcBorders>
              <w:bottom w:val="single" w:sz="4" w:space="0" w:color="auto"/>
            </w:tcBorders>
            <w:shd w:val="clear" w:color="FFFFFF" w:fill="FFFFFF"/>
            <w:noWrap/>
          </w:tcPr>
          <w:p w14:paraId="7360218E" w14:textId="77777777" w:rsidR="00231F4C" w:rsidRPr="00750CE2" w:rsidRDefault="00231F4C" w:rsidP="009F4CF0">
            <w:pPr>
              <w:tabs>
                <w:tab w:val="left" w:pos="284"/>
              </w:tabs>
              <w:jc w:val="right"/>
              <w:rPr>
                <w:rFonts w:ascii="Arial" w:hAnsi="Arial" w:cs="Arial"/>
                <w:sz w:val="22"/>
                <w:szCs w:val="22"/>
              </w:rPr>
            </w:pPr>
          </w:p>
          <w:p w14:paraId="39FD2B4D" w14:textId="49F4270B" w:rsidR="00366069" w:rsidRPr="00750CE2" w:rsidRDefault="00366069" w:rsidP="009F4CF0">
            <w:pPr>
              <w:tabs>
                <w:tab w:val="left" w:pos="284"/>
              </w:tabs>
              <w:jc w:val="right"/>
              <w:rPr>
                <w:rFonts w:ascii="Arial" w:hAnsi="Arial" w:cs="Arial"/>
                <w:sz w:val="22"/>
                <w:szCs w:val="22"/>
              </w:rPr>
            </w:pPr>
            <w:r w:rsidRPr="00750CE2">
              <w:rPr>
                <w:rFonts w:ascii="Arial" w:hAnsi="Arial" w:cs="Arial"/>
                <w:sz w:val="22"/>
                <w:szCs w:val="22"/>
              </w:rPr>
              <w:t>-</w:t>
            </w:r>
          </w:p>
        </w:tc>
        <w:tc>
          <w:tcPr>
            <w:tcW w:w="1808" w:type="dxa"/>
            <w:tcBorders>
              <w:bottom w:val="single" w:sz="4" w:space="0" w:color="auto"/>
            </w:tcBorders>
            <w:shd w:val="clear" w:color="FFFFFF" w:fill="FFFFFF"/>
            <w:noWrap/>
          </w:tcPr>
          <w:p w14:paraId="75D86099" w14:textId="77777777" w:rsidR="00231F4C" w:rsidRPr="00750CE2" w:rsidRDefault="00231F4C" w:rsidP="009F4CF0">
            <w:pPr>
              <w:jc w:val="right"/>
              <w:rPr>
                <w:rFonts w:ascii="Arial" w:hAnsi="Arial" w:cs="Arial"/>
                <w:sz w:val="22"/>
                <w:szCs w:val="22"/>
              </w:rPr>
            </w:pPr>
          </w:p>
          <w:p w14:paraId="4072FC12" w14:textId="08FEC8C5" w:rsidR="00366069" w:rsidRPr="00750CE2" w:rsidRDefault="00366069" w:rsidP="009F4CF0">
            <w:pPr>
              <w:jc w:val="right"/>
              <w:rPr>
                <w:rFonts w:ascii="Arial" w:hAnsi="Arial" w:cs="Arial"/>
                <w:sz w:val="22"/>
                <w:szCs w:val="22"/>
              </w:rPr>
            </w:pPr>
            <w:r w:rsidRPr="00750CE2">
              <w:rPr>
                <w:rFonts w:ascii="Arial" w:hAnsi="Arial" w:cs="Arial"/>
                <w:sz w:val="22"/>
                <w:szCs w:val="22"/>
              </w:rPr>
              <w:t>-</w:t>
            </w:r>
          </w:p>
        </w:tc>
        <w:tc>
          <w:tcPr>
            <w:tcW w:w="1453" w:type="dxa"/>
            <w:tcBorders>
              <w:bottom w:val="single" w:sz="4" w:space="0" w:color="auto"/>
            </w:tcBorders>
            <w:shd w:val="clear" w:color="FFFFFF" w:fill="FFFFFF"/>
            <w:noWrap/>
          </w:tcPr>
          <w:p w14:paraId="75794A76" w14:textId="77777777" w:rsidR="00231F4C" w:rsidRPr="00750CE2" w:rsidRDefault="00231F4C" w:rsidP="009F4CF0">
            <w:pPr>
              <w:tabs>
                <w:tab w:val="left" w:pos="284"/>
              </w:tabs>
              <w:jc w:val="right"/>
              <w:rPr>
                <w:rFonts w:ascii="Arial" w:hAnsi="Arial" w:cs="Arial"/>
                <w:sz w:val="22"/>
                <w:szCs w:val="22"/>
              </w:rPr>
            </w:pPr>
          </w:p>
          <w:p w14:paraId="163D02E0" w14:textId="492A82E8" w:rsidR="00B0726D" w:rsidRPr="00750CE2" w:rsidRDefault="00B0726D" w:rsidP="009F4CF0">
            <w:pPr>
              <w:tabs>
                <w:tab w:val="left" w:pos="284"/>
              </w:tabs>
              <w:jc w:val="right"/>
              <w:rPr>
                <w:rFonts w:ascii="Arial" w:hAnsi="Arial" w:cs="Arial"/>
                <w:sz w:val="22"/>
                <w:szCs w:val="22"/>
              </w:rPr>
            </w:pPr>
            <w:r w:rsidRPr="00750CE2">
              <w:rPr>
                <w:rFonts w:ascii="Arial" w:hAnsi="Arial" w:cs="Arial"/>
                <w:sz w:val="22"/>
                <w:szCs w:val="22"/>
              </w:rPr>
              <w:t>-</w:t>
            </w:r>
          </w:p>
        </w:tc>
        <w:tc>
          <w:tcPr>
            <w:tcW w:w="1748" w:type="dxa"/>
            <w:tcBorders>
              <w:bottom w:val="single" w:sz="4" w:space="0" w:color="auto"/>
            </w:tcBorders>
            <w:shd w:val="clear" w:color="FFFFFF" w:fill="FFFFFF"/>
            <w:noWrap/>
          </w:tcPr>
          <w:p w14:paraId="7260FF13" w14:textId="77777777" w:rsidR="00366069" w:rsidRPr="005650E5" w:rsidRDefault="00366069" w:rsidP="009F4CF0">
            <w:pPr>
              <w:tabs>
                <w:tab w:val="left" w:pos="284"/>
              </w:tabs>
              <w:jc w:val="right"/>
              <w:rPr>
                <w:rFonts w:ascii="Arial" w:hAnsi="Arial" w:cs="Arial"/>
                <w:b/>
                <w:bCs/>
                <w:sz w:val="22"/>
                <w:szCs w:val="22"/>
              </w:rPr>
            </w:pPr>
          </w:p>
          <w:p w14:paraId="3DA41807" w14:textId="48D6C56F"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150</w:t>
            </w:r>
          </w:p>
        </w:tc>
      </w:tr>
      <w:tr w:rsidR="00DC5B6E" w:rsidRPr="00750CE2" w14:paraId="0AF07778" w14:textId="77777777" w:rsidTr="00B53577">
        <w:trPr>
          <w:trHeight w:val="83"/>
          <w:jc w:val="center"/>
        </w:trPr>
        <w:tc>
          <w:tcPr>
            <w:tcW w:w="2398" w:type="dxa"/>
            <w:shd w:val="clear" w:color="FFFFFF" w:fill="FFFFFF"/>
            <w:hideMark/>
          </w:tcPr>
          <w:p w14:paraId="71CF934C" w14:textId="026C6422" w:rsidR="00231F4C" w:rsidRPr="00750CE2" w:rsidRDefault="00231F4C" w:rsidP="009F4CF0">
            <w:pPr>
              <w:tabs>
                <w:tab w:val="left" w:pos="284"/>
              </w:tabs>
              <w:jc w:val="both"/>
              <w:rPr>
                <w:rFonts w:ascii="Arial" w:hAnsi="Arial" w:cs="Arial"/>
                <w:sz w:val="22"/>
                <w:szCs w:val="22"/>
              </w:rPr>
            </w:pPr>
            <w:r w:rsidRPr="00750CE2">
              <w:rPr>
                <w:rFonts w:ascii="Arial" w:hAnsi="Arial" w:cs="Arial"/>
                <w:sz w:val="22"/>
                <w:szCs w:val="22"/>
              </w:rPr>
              <w:t>Net Investment asset</w:t>
            </w:r>
            <w:r w:rsidR="00077D3E" w:rsidRPr="00750CE2">
              <w:rPr>
                <w:rFonts w:ascii="Arial" w:hAnsi="Arial" w:cs="Arial"/>
                <w:sz w:val="22"/>
                <w:szCs w:val="22"/>
              </w:rPr>
              <w:t>s</w:t>
            </w:r>
          </w:p>
        </w:tc>
        <w:tc>
          <w:tcPr>
            <w:tcW w:w="1453" w:type="dxa"/>
            <w:tcBorders>
              <w:top w:val="single" w:sz="4" w:space="0" w:color="auto"/>
              <w:left w:val="nil"/>
              <w:bottom w:val="single" w:sz="8" w:space="0" w:color="auto"/>
              <w:right w:val="nil"/>
            </w:tcBorders>
            <w:shd w:val="clear" w:color="000000" w:fill="FFFFFF"/>
            <w:noWrap/>
            <w:vAlign w:val="center"/>
          </w:tcPr>
          <w:p w14:paraId="4352C9FD"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1,311,868</w:t>
            </w:r>
          </w:p>
        </w:tc>
        <w:tc>
          <w:tcPr>
            <w:tcW w:w="1409" w:type="dxa"/>
            <w:tcBorders>
              <w:top w:val="single" w:sz="4" w:space="0" w:color="auto"/>
              <w:bottom w:val="single" w:sz="8" w:space="0" w:color="auto"/>
            </w:tcBorders>
            <w:shd w:val="clear" w:color="FFFFFF" w:fill="FFFFFF"/>
            <w:noWrap/>
          </w:tcPr>
          <w:p w14:paraId="5A1BC0A8" w14:textId="040F15D0"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13</w:t>
            </w:r>
            <w:r w:rsidR="00C2293F" w:rsidRPr="005650E5">
              <w:rPr>
                <w:rFonts w:ascii="Arial" w:hAnsi="Arial" w:cs="Arial"/>
                <w:b/>
                <w:bCs/>
                <w:sz w:val="22"/>
                <w:szCs w:val="22"/>
              </w:rPr>
              <w:t>2,824</w:t>
            </w:r>
          </w:p>
        </w:tc>
        <w:tc>
          <w:tcPr>
            <w:tcW w:w="1808" w:type="dxa"/>
            <w:tcBorders>
              <w:top w:val="single" w:sz="4" w:space="0" w:color="auto"/>
              <w:bottom w:val="single" w:sz="8" w:space="0" w:color="auto"/>
            </w:tcBorders>
            <w:shd w:val="clear" w:color="FFFFFF" w:fill="FFFFFF"/>
            <w:noWrap/>
          </w:tcPr>
          <w:p w14:paraId="75BACD63" w14:textId="62A66485"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(11</w:t>
            </w:r>
            <w:r w:rsidR="0015241F" w:rsidRPr="005650E5">
              <w:rPr>
                <w:rFonts w:ascii="Arial" w:hAnsi="Arial" w:cs="Arial"/>
                <w:b/>
                <w:bCs/>
                <w:sz w:val="22"/>
                <w:szCs w:val="22"/>
              </w:rPr>
              <w:t>8,816</w:t>
            </w:r>
            <w:r w:rsidRPr="005650E5">
              <w:rPr>
                <w:rFonts w:ascii="Arial" w:hAnsi="Arial" w:cs="Arial"/>
                <w:b/>
                <w:bCs/>
                <w:sz w:val="22"/>
                <w:szCs w:val="22"/>
              </w:rPr>
              <w:t>)</w:t>
            </w:r>
          </w:p>
        </w:tc>
        <w:tc>
          <w:tcPr>
            <w:tcW w:w="1453" w:type="dxa"/>
            <w:tcBorders>
              <w:top w:val="single" w:sz="4" w:space="0" w:color="auto"/>
              <w:bottom w:val="single" w:sz="8" w:space="0" w:color="auto"/>
            </w:tcBorders>
            <w:shd w:val="clear" w:color="FFFFFF" w:fill="FFFFFF"/>
            <w:noWrap/>
          </w:tcPr>
          <w:p w14:paraId="1A663F6F" w14:textId="639A0312"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121,</w:t>
            </w:r>
            <w:r w:rsidR="00840887" w:rsidRPr="005650E5">
              <w:rPr>
                <w:rFonts w:ascii="Arial" w:hAnsi="Arial" w:cs="Arial"/>
                <w:b/>
                <w:bCs/>
                <w:sz w:val="22"/>
                <w:szCs w:val="22"/>
              </w:rPr>
              <w:t>232</w:t>
            </w:r>
          </w:p>
        </w:tc>
        <w:tc>
          <w:tcPr>
            <w:tcW w:w="1748" w:type="dxa"/>
            <w:tcBorders>
              <w:top w:val="single" w:sz="4" w:space="0" w:color="auto"/>
              <w:bottom w:val="single" w:sz="8" w:space="0" w:color="auto"/>
            </w:tcBorders>
            <w:shd w:val="clear" w:color="FFFFFF" w:fill="FFFFFF"/>
            <w:noWrap/>
          </w:tcPr>
          <w:p w14:paraId="5F9C5186" w14:textId="77777777" w:rsidR="00231F4C" w:rsidRPr="005650E5" w:rsidRDefault="00231F4C" w:rsidP="009F4CF0">
            <w:pPr>
              <w:tabs>
                <w:tab w:val="left" w:pos="284"/>
              </w:tabs>
              <w:jc w:val="right"/>
              <w:rPr>
                <w:rFonts w:ascii="Arial" w:hAnsi="Arial" w:cs="Arial"/>
                <w:b/>
                <w:bCs/>
                <w:sz w:val="22"/>
                <w:szCs w:val="22"/>
              </w:rPr>
            </w:pPr>
            <w:r w:rsidRPr="005650E5">
              <w:rPr>
                <w:rFonts w:ascii="Arial" w:hAnsi="Arial" w:cs="Arial"/>
                <w:b/>
                <w:bCs/>
                <w:sz w:val="22"/>
                <w:szCs w:val="22"/>
              </w:rPr>
              <w:t>1,447,108</w:t>
            </w:r>
          </w:p>
        </w:tc>
      </w:tr>
    </w:tbl>
    <w:p w14:paraId="0F32997A" w14:textId="77777777" w:rsidR="006B1106" w:rsidRDefault="006B1106" w:rsidP="00B8060E">
      <w:pPr>
        <w:ind w:left="-142"/>
        <w:jc w:val="both"/>
        <w:rPr>
          <w:rFonts w:ascii="Arial" w:hAnsi="Arial" w:cs="Arial"/>
          <w:sz w:val="22"/>
          <w:szCs w:val="22"/>
        </w:rPr>
      </w:pPr>
    </w:p>
    <w:p w14:paraId="025D3141" w14:textId="77777777" w:rsidR="006B1106" w:rsidRDefault="006B1106" w:rsidP="00B8060E">
      <w:pPr>
        <w:ind w:left="-142"/>
        <w:jc w:val="both"/>
        <w:rPr>
          <w:rFonts w:ascii="Arial" w:hAnsi="Arial" w:cs="Arial"/>
          <w:sz w:val="22"/>
          <w:szCs w:val="22"/>
        </w:rPr>
      </w:pPr>
    </w:p>
    <w:p w14:paraId="105750AE" w14:textId="4C3749DA" w:rsidR="003C45DA" w:rsidRPr="008A0A4E" w:rsidRDefault="003C45DA" w:rsidP="00B8060E">
      <w:pPr>
        <w:ind w:left="-142"/>
        <w:jc w:val="both"/>
        <w:rPr>
          <w:rFonts w:ascii="Arial" w:hAnsi="Arial" w:cs="Arial"/>
          <w:sz w:val="22"/>
          <w:szCs w:val="22"/>
        </w:rPr>
      </w:pPr>
      <w:r w:rsidRPr="008A0A4E">
        <w:rPr>
          <w:rFonts w:ascii="Arial" w:hAnsi="Arial" w:cs="Arial"/>
          <w:sz w:val="22"/>
          <w:szCs w:val="22"/>
        </w:rPr>
        <w:t>The change in fair value of investments during the year comprises all increases and decreases in the value of investments held at any time during the year, including profits and losses realised on sales of investment and changes in the sterling value of assets caused by changes in exchange rates. In the case of pooled investment vehicles changes in market value also includes income, net of withholding tax, which is reinvested in the Fund.</w:t>
      </w:r>
    </w:p>
    <w:p w14:paraId="00BEEC45" w14:textId="77777777" w:rsidR="003C45DA" w:rsidRPr="008A0A4E" w:rsidRDefault="003C45DA" w:rsidP="00234261">
      <w:pPr>
        <w:pStyle w:val="ListParagraph"/>
        <w:tabs>
          <w:tab w:val="left" w:pos="284"/>
        </w:tabs>
        <w:spacing w:after="0" w:line="240" w:lineRule="auto"/>
        <w:ind w:left="-142"/>
        <w:jc w:val="both"/>
        <w:rPr>
          <w:rFonts w:ascii="Arial" w:hAnsi="Arial" w:cs="Arial"/>
        </w:rPr>
      </w:pPr>
    </w:p>
    <w:p w14:paraId="292C7AF2" w14:textId="3AC7B35E" w:rsidR="003C45DA" w:rsidRPr="008A0A4E" w:rsidRDefault="003C45DA" w:rsidP="00766107">
      <w:pPr>
        <w:tabs>
          <w:tab w:val="left" w:pos="284"/>
        </w:tabs>
        <w:ind w:left="-142"/>
        <w:jc w:val="both"/>
        <w:rPr>
          <w:rFonts w:ascii="Arial" w:hAnsi="Arial" w:cs="Arial"/>
          <w:sz w:val="22"/>
          <w:szCs w:val="22"/>
        </w:rPr>
      </w:pPr>
      <w:r w:rsidRPr="008A0A4E">
        <w:rPr>
          <w:rFonts w:ascii="Arial" w:hAnsi="Arial" w:cs="Arial"/>
          <w:sz w:val="22"/>
          <w:szCs w:val="22"/>
        </w:rPr>
        <w:t xml:space="preserve">The cost of purchases and the sales proceeds are inclusive of transaction costs, such as broker fees and taxes. In addition to transaction costs, indirect costs are incurred through the bid offer spread on investments within pooled investment vehicles. The amount of indirect cost is not separately provided to the Fund. The Fund employs specialist investment managers with mandates corresponding to the </w:t>
      </w:r>
      <w:r w:rsidR="00E21BE7" w:rsidRPr="008A0A4E">
        <w:rPr>
          <w:rFonts w:ascii="Arial" w:hAnsi="Arial" w:cs="Arial"/>
          <w:sz w:val="22"/>
          <w:szCs w:val="22"/>
        </w:rPr>
        <w:t>principal</w:t>
      </w:r>
      <w:r w:rsidRPr="008A0A4E">
        <w:rPr>
          <w:rFonts w:ascii="Arial" w:hAnsi="Arial" w:cs="Arial"/>
          <w:sz w:val="22"/>
          <w:szCs w:val="22"/>
        </w:rPr>
        <w:t xml:space="preserve"> asset classes.  A list of the Fund’s Fund Manager, their mandate and the asset type </w:t>
      </w:r>
      <w:r w:rsidR="00E21BE7" w:rsidRPr="008A0A4E">
        <w:rPr>
          <w:rFonts w:ascii="Arial" w:hAnsi="Arial" w:cs="Arial"/>
          <w:sz w:val="22"/>
          <w:szCs w:val="22"/>
        </w:rPr>
        <w:t>are</w:t>
      </w:r>
      <w:r w:rsidRPr="008A0A4E">
        <w:rPr>
          <w:rFonts w:ascii="Arial" w:hAnsi="Arial" w:cs="Arial"/>
          <w:sz w:val="22"/>
          <w:szCs w:val="22"/>
        </w:rPr>
        <w:t xml:space="preserve"> outlined in the table below:</w:t>
      </w:r>
    </w:p>
    <w:p w14:paraId="2A756424" w14:textId="77777777" w:rsidR="003C45DA" w:rsidRPr="008A0A4E" w:rsidRDefault="003C45DA" w:rsidP="003C45DA">
      <w:pPr>
        <w:ind w:left="284"/>
        <w:jc w:val="both"/>
        <w:rPr>
          <w:rFonts w:ascii="Arial" w:hAnsi="Arial" w:cs="Arial"/>
          <w:b/>
          <w:sz w:val="22"/>
          <w:szCs w:val="22"/>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9"/>
        <w:gridCol w:w="1287"/>
        <w:gridCol w:w="4447"/>
      </w:tblGrid>
      <w:tr w:rsidR="003C45DA" w:rsidRPr="00B64150" w14:paraId="776E8BCF" w14:textId="77777777" w:rsidTr="00C82ECF">
        <w:trPr>
          <w:trHeight w:val="259"/>
          <w:jc w:val="center"/>
        </w:trPr>
        <w:tc>
          <w:tcPr>
            <w:tcW w:w="3459" w:type="dxa"/>
            <w:vAlign w:val="center"/>
          </w:tcPr>
          <w:p w14:paraId="748F84D4" w14:textId="77777777" w:rsidR="003C45DA" w:rsidRPr="008A0A4E" w:rsidRDefault="003C45DA" w:rsidP="00DF3ECC">
            <w:pPr>
              <w:autoSpaceDE w:val="0"/>
              <w:autoSpaceDN w:val="0"/>
              <w:adjustRightInd w:val="0"/>
              <w:jc w:val="center"/>
              <w:rPr>
                <w:rFonts w:ascii="Arial" w:hAnsi="Arial" w:cs="Arial"/>
                <w:b/>
                <w:bCs/>
                <w:color w:val="000000"/>
                <w:sz w:val="22"/>
                <w:szCs w:val="22"/>
              </w:rPr>
            </w:pPr>
            <w:r w:rsidRPr="008A0A4E">
              <w:rPr>
                <w:rFonts w:ascii="Arial" w:hAnsi="Arial" w:cs="Arial"/>
                <w:b/>
                <w:bCs/>
                <w:color w:val="000000"/>
                <w:sz w:val="22"/>
                <w:szCs w:val="22"/>
              </w:rPr>
              <w:t>Investment Manager</w:t>
            </w:r>
          </w:p>
        </w:tc>
        <w:tc>
          <w:tcPr>
            <w:tcW w:w="1287" w:type="dxa"/>
            <w:vAlign w:val="center"/>
          </w:tcPr>
          <w:p w14:paraId="40E7AB5B" w14:textId="77777777" w:rsidR="003C45DA" w:rsidRPr="008A0A4E" w:rsidRDefault="003C45DA" w:rsidP="00DF3ECC">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Mandate</w:t>
            </w:r>
          </w:p>
        </w:tc>
        <w:tc>
          <w:tcPr>
            <w:tcW w:w="4447" w:type="dxa"/>
            <w:vAlign w:val="center"/>
          </w:tcPr>
          <w:p w14:paraId="12A5A318" w14:textId="77777777" w:rsidR="003C45DA" w:rsidRPr="008A0A4E" w:rsidRDefault="003C45DA" w:rsidP="00DF3ECC">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Asset Type</w:t>
            </w:r>
          </w:p>
        </w:tc>
      </w:tr>
      <w:tr w:rsidR="003C45DA" w:rsidRPr="00B64150" w14:paraId="301DB1D8" w14:textId="77777777" w:rsidTr="00C82ECF">
        <w:trPr>
          <w:trHeight w:val="259"/>
          <w:jc w:val="center"/>
        </w:trPr>
        <w:tc>
          <w:tcPr>
            <w:tcW w:w="3459" w:type="dxa"/>
            <w:vAlign w:val="bottom"/>
          </w:tcPr>
          <w:p w14:paraId="66F677F6" w14:textId="72B0372A"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Ab</w:t>
            </w:r>
            <w:r w:rsidR="002E3492">
              <w:rPr>
                <w:rFonts w:ascii="Arial" w:hAnsi="Arial" w:cs="Arial"/>
                <w:color w:val="000000"/>
                <w:sz w:val="22"/>
                <w:szCs w:val="22"/>
              </w:rPr>
              <w:t>erdeen</w:t>
            </w:r>
            <w:r w:rsidRPr="008A0A4E">
              <w:rPr>
                <w:rFonts w:ascii="Arial" w:hAnsi="Arial" w:cs="Arial"/>
                <w:color w:val="000000"/>
                <w:sz w:val="22"/>
                <w:szCs w:val="22"/>
              </w:rPr>
              <w:t xml:space="preserve"> Asset Management</w:t>
            </w:r>
          </w:p>
        </w:tc>
        <w:tc>
          <w:tcPr>
            <w:tcW w:w="1287" w:type="dxa"/>
            <w:vAlign w:val="bottom"/>
          </w:tcPr>
          <w:p w14:paraId="18650AA3" w14:textId="363F642D" w:rsidR="003C45DA" w:rsidRPr="008A0A4E" w:rsidRDefault="007B6706"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755C2C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Diversified Alternatives</w:t>
            </w:r>
          </w:p>
        </w:tc>
      </w:tr>
      <w:tr w:rsidR="002E3492" w:rsidRPr="00B64150" w14:paraId="113388AC" w14:textId="77777777" w:rsidTr="00C82ECF">
        <w:trPr>
          <w:trHeight w:val="259"/>
          <w:jc w:val="center"/>
        </w:trPr>
        <w:tc>
          <w:tcPr>
            <w:tcW w:w="3459" w:type="dxa"/>
            <w:vAlign w:val="bottom"/>
          </w:tcPr>
          <w:p w14:paraId="3F3DE0E0" w14:textId="70804C00" w:rsidR="002E3492" w:rsidRDefault="002E3492" w:rsidP="00DF3ECC">
            <w:pPr>
              <w:rPr>
                <w:rFonts w:ascii="Arial" w:hAnsi="Arial" w:cs="Arial"/>
                <w:color w:val="000000"/>
                <w:sz w:val="22"/>
                <w:szCs w:val="22"/>
              </w:rPr>
            </w:pPr>
            <w:r>
              <w:rPr>
                <w:rFonts w:ascii="Arial" w:hAnsi="Arial" w:cs="Arial"/>
                <w:color w:val="000000"/>
                <w:sz w:val="22"/>
                <w:szCs w:val="22"/>
              </w:rPr>
              <w:t>Patria</w:t>
            </w:r>
          </w:p>
        </w:tc>
        <w:tc>
          <w:tcPr>
            <w:tcW w:w="1287" w:type="dxa"/>
            <w:vAlign w:val="bottom"/>
          </w:tcPr>
          <w:p w14:paraId="43E8CD89" w14:textId="2B7F92C6" w:rsidR="002E3492" w:rsidRPr="008A0A4E" w:rsidRDefault="002E3492"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5521EAA4" w14:textId="628D3F03" w:rsidR="002E3492" w:rsidRPr="008A0A4E" w:rsidRDefault="002E3492" w:rsidP="00DF3ECC">
            <w:pPr>
              <w:rPr>
                <w:rFonts w:ascii="Arial" w:hAnsi="Arial" w:cs="Arial"/>
                <w:color w:val="000000"/>
                <w:sz w:val="22"/>
                <w:szCs w:val="22"/>
              </w:rPr>
            </w:pPr>
            <w:r w:rsidRPr="008A0A4E">
              <w:rPr>
                <w:rFonts w:ascii="Arial" w:hAnsi="Arial" w:cs="Arial"/>
                <w:color w:val="000000"/>
                <w:sz w:val="22"/>
                <w:szCs w:val="22"/>
              </w:rPr>
              <w:t>Diversified Alternatives</w:t>
            </w:r>
          </w:p>
        </w:tc>
      </w:tr>
      <w:tr w:rsidR="003C45DA" w:rsidRPr="00B64150" w14:paraId="63C181CB" w14:textId="77777777" w:rsidTr="00C82ECF">
        <w:trPr>
          <w:trHeight w:val="259"/>
          <w:jc w:val="center"/>
        </w:trPr>
        <w:tc>
          <w:tcPr>
            <w:tcW w:w="3459" w:type="dxa"/>
            <w:vAlign w:val="bottom"/>
          </w:tcPr>
          <w:p w14:paraId="7E3C80CF" w14:textId="0106C7C8" w:rsidR="003C45DA" w:rsidRPr="008A0A4E" w:rsidRDefault="006F4751" w:rsidP="00DF3ECC">
            <w:pPr>
              <w:rPr>
                <w:rFonts w:ascii="Arial" w:hAnsi="Arial" w:cs="Arial"/>
                <w:color w:val="000000"/>
                <w:sz w:val="22"/>
                <w:szCs w:val="22"/>
              </w:rPr>
            </w:pPr>
            <w:r>
              <w:rPr>
                <w:rFonts w:ascii="Arial" w:hAnsi="Arial" w:cs="Arial"/>
                <w:color w:val="000000"/>
                <w:sz w:val="22"/>
                <w:szCs w:val="22"/>
              </w:rPr>
              <w:t>Insight</w:t>
            </w:r>
          </w:p>
        </w:tc>
        <w:tc>
          <w:tcPr>
            <w:tcW w:w="1287" w:type="dxa"/>
            <w:vAlign w:val="bottom"/>
          </w:tcPr>
          <w:p w14:paraId="72268121"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A34B99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Credit</w:t>
            </w:r>
          </w:p>
        </w:tc>
      </w:tr>
      <w:tr w:rsidR="003C45DA" w:rsidRPr="00B64150" w14:paraId="304B53AF" w14:textId="77777777" w:rsidTr="00C82ECF">
        <w:trPr>
          <w:trHeight w:val="259"/>
          <w:jc w:val="center"/>
        </w:trPr>
        <w:tc>
          <w:tcPr>
            <w:tcW w:w="3459" w:type="dxa"/>
            <w:vAlign w:val="bottom"/>
          </w:tcPr>
          <w:p w14:paraId="119D26B6"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London CIV: Baillie Gifford</w:t>
            </w:r>
          </w:p>
        </w:tc>
        <w:tc>
          <w:tcPr>
            <w:tcW w:w="1287" w:type="dxa"/>
            <w:vAlign w:val="bottom"/>
          </w:tcPr>
          <w:p w14:paraId="54E2BF0D"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19C832A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3ADE747B" w14:textId="77777777" w:rsidTr="00C82ECF">
        <w:trPr>
          <w:trHeight w:val="259"/>
          <w:jc w:val="center"/>
        </w:trPr>
        <w:tc>
          <w:tcPr>
            <w:tcW w:w="3459" w:type="dxa"/>
            <w:vAlign w:val="bottom"/>
          </w:tcPr>
          <w:p w14:paraId="54D62A74"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xml:space="preserve">London CIV: </w:t>
            </w:r>
            <w:proofErr w:type="spellStart"/>
            <w:r w:rsidRPr="008A0A4E">
              <w:rPr>
                <w:rFonts w:ascii="Arial" w:hAnsi="Arial" w:cs="Arial"/>
                <w:color w:val="000000"/>
                <w:sz w:val="22"/>
                <w:szCs w:val="22"/>
              </w:rPr>
              <w:t>Pyrford</w:t>
            </w:r>
            <w:proofErr w:type="spellEnd"/>
          </w:p>
        </w:tc>
        <w:tc>
          <w:tcPr>
            <w:tcW w:w="1287" w:type="dxa"/>
            <w:vAlign w:val="bottom"/>
          </w:tcPr>
          <w:p w14:paraId="372781BA"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01A8916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Absolute Return</w:t>
            </w:r>
          </w:p>
        </w:tc>
      </w:tr>
      <w:tr w:rsidR="003C45DA" w:rsidRPr="00B64150" w14:paraId="0E942DC2" w14:textId="77777777" w:rsidTr="00C82ECF">
        <w:trPr>
          <w:trHeight w:val="259"/>
          <w:jc w:val="center"/>
        </w:trPr>
        <w:tc>
          <w:tcPr>
            <w:tcW w:w="3459" w:type="dxa"/>
            <w:vAlign w:val="bottom"/>
          </w:tcPr>
          <w:p w14:paraId="032773A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London CIV: Newton</w:t>
            </w:r>
          </w:p>
        </w:tc>
        <w:tc>
          <w:tcPr>
            <w:tcW w:w="1287" w:type="dxa"/>
            <w:vAlign w:val="bottom"/>
          </w:tcPr>
          <w:p w14:paraId="1B8C4188"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EBAC7E9"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Absolute Return</w:t>
            </w:r>
          </w:p>
        </w:tc>
      </w:tr>
      <w:tr w:rsidR="0034102F" w:rsidRPr="00B64150" w14:paraId="6A2BBEBF" w14:textId="77777777" w:rsidTr="00C82ECF">
        <w:trPr>
          <w:trHeight w:val="259"/>
          <w:jc w:val="center"/>
        </w:trPr>
        <w:tc>
          <w:tcPr>
            <w:tcW w:w="3459" w:type="dxa"/>
            <w:vAlign w:val="bottom"/>
          </w:tcPr>
          <w:p w14:paraId="68B4E9FE" w14:textId="6F9732CF" w:rsidR="0034102F" w:rsidRPr="008A0A4E" w:rsidRDefault="0034102F" w:rsidP="00DF3ECC">
            <w:pPr>
              <w:rPr>
                <w:rFonts w:ascii="Arial" w:hAnsi="Arial" w:cs="Arial"/>
                <w:color w:val="000000"/>
                <w:sz w:val="22"/>
                <w:szCs w:val="22"/>
              </w:rPr>
            </w:pPr>
            <w:r>
              <w:rPr>
                <w:rFonts w:ascii="Arial" w:hAnsi="Arial" w:cs="Arial"/>
                <w:color w:val="000000"/>
                <w:sz w:val="22"/>
                <w:szCs w:val="22"/>
              </w:rPr>
              <w:t xml:space="preserve">London CIV: </w:t>
            </w:r>
            <w:r w:rsidR="00760844">
              <w:rPr>
                <w:rFonts w:ascii="Arial" w:hAnsi="Arial" w:cs="Arial"/>
                <w:color w:val="000000"/>
                <w:sz w:val="22"/>
                <w:szCs w:val="22"/>
              </w:rPr>
              <w:t>Pimco</w:t>
            </w:r>
          </w:p>
        </w:tc>
        <w:tc>
          <w:tcPr>
            <w:tcW w:w="1287" w:type="dxa"/>
            <w:vAlign w:val="bottom"/>
          </w:tcPr>
          <w:p w14:paraId="7F81ADFB" w14:textId="12A22492" w:rsidR="0034102F" w:rsidRPr="008A0A4E" w:rsidRDefault="00EB7A4F" w:rsidP="00DF3ECC">
            <w:pPr>
              <w:jc w:val="center"/>
              <w:rPr>
                <w:rFonts w:ascii="Arial" w:hAnsi="Arial" w:cs="Arial"/>
                <w:color w:val="000000"/>
                <w:sz w:val="22"/>
                <w:szCs w:val="22"/>
              </w:rPr>
            </w:pPr>
            <w:r>
              <w:rPr>
                <w:rFonts w:ascii="Arial" w:hAnsi="Arial" w:cs="Arial"/>
                <w:color w:val="000000"/>
                <w:sz w:val="22"/>
                <w:szCs w:val="22"/>
              </w:rPr>
              <w:t>Active</w:t>
            </w:r>
          </w:p>
        </w:tc>
        <w:tc>
          <w:tcPr>
            <w:tcW w:w="4447" w:type="dxa"/>
            <w:vAlign w:val="bottom"/>
          </w:tcPr>
          <w:p w14:paraId="2CFC67ED" w14:textId="0479EFE7" w:rsidR="0034102F" w:rsidRPr="008A0A4E" w:rsidRDefault="00EB7A4F" w:rsidP="00DF3ECC">
            <w:pPr>
              <w:rPr>
                <w:rFonts w:ascii="Arial" w:hAnsi="Arial" w:cs="Arial"/>
                <w:color w:val="000000"/>
                <w:sz w:val="22"/>
                <w:szCs w:val="22"/>
              </w:rPr>
            </w:pPr>
            <w:r w:rsidRPr="00155A20">
              <w:rPr>
                <w:rFonts w:ascii="Arial" w:hAnsi="Arial" w:cs="Arial"/>
                <w:color w:val="000000"/>
                <w:sz w:val="22"/>
                <w:szCs w:val="22"/>
              </w:rPr>
              <w:t>Global Credit</w:t>
            </w:r>
          </w:p>
        </w:tc>
      </w:tr>
      <w:tr w:rsidR="003C45DA" w:rsidRPr="00B64150" w14:paraId="1214BDEE" w14:textId="77777777" w:rsidTr="00C82ECF">
        <w:trPr>
          <w:trHeight w:val="259"/>
          <w:jc w:val="center"/>
        </w:trPr>
        <w:tc>
          <w:tcPr>
            <w:tcW w:w="3459" w:type="dxa"/>
            <w:vAlign w:val="bottom"/>
          </w:tcPr>
          <w:p w14:paraId="6217C85F"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BlackRock</w:t>
            </w:r>
          </w:p>
        </w:tc>
        <w:tc>
          <w:tcPr>
            <w:tcW w:w="1287" w:type="dxa"/>
            <w:vAlign w:val="bottom"/>
          </w:tcPr>
          <w:p w14:paraId="456ED820"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86627E1"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Property Investments (UK)</w:t>
            </w:r>
          </w:p>
        </w:tc>
      </w:tr>
      <w:tr w:rsidR="003C45DA" w:rsidRPr="00B64150" w14:paraId="6EF0F42A" w14:textId="77777777" w:rsidTr="00C82ECF">
        <w:trPr>
          <w:trHeight w:val="259"/>
          <w:jc w:val="center"/>
        </w:trPr>
        <w:tc>
          <w:tcPr>
            <w:tcW w:w="3459" w:type="dxa"/>
            <w:vAlign w:val="bottom"/>
          </w:tcPr>
          <w:p w14:paraId="40C7091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Hermes</w:t>
            </w:r>
          </w:p>
        </w:tc>
        <w:tc>
          <w:tcPr>
            <w:tcW w:w="1287" w:type="dxa"/>
            <w:vAlign w:val="bottom"/>
          </w:tcPr>
          <w:p w14:paraId="2EB5531C"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D422E2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Infrastructure (LLP)</w:t>
            </w:r>
          </w:p>
        </w:tc>
      </w:tr>
      <w:tr w:rsidR="003C45DA" w:rsidRPr="00B64150" w14:paraId="6FC11FF4" w14:textId="77777777" w:rsidTr="00C82ECF">
        <w:trPr>
          <w:trHeight w:val="259"/>
          <w:jc w:val="center"/>
        </w:trPr>
        <w:tc>
          <w:tcPr>
            <w:tcW w:w="3459" w:type="dxa"/>
            <w:vAlign w:val="bottom"/>
          </w:tcPr>
          <w:p w14:paraId="2CD3EE6A"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Kempen</w:t>
            </w:r>
          </w:p>
        </w:tc>
        <w:tc>
          <w:tcPr>
            <w:tcW w:w="1287" w:type="dxa"/>
            <w:vAlign w:val="bottom"/>
          </w:tcPr>
          <w:p w14:paraId="596E156C"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F38C3E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42ECF839" w14:textId="77777777" w:rsidTr="00C82ECF">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7D4D8890"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227CEC2F"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2D7D81E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7081925E" w14:textId="77777777" w:rsidTr="00C82ECF">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17FB67DE"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22CC7C3A"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19C688FA"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All Share Fixed Income (Pooled)</w:t>
            </w:r>
          </w:p>
        </w:tc>
      </w:tr>
    </w:tbl>
    <w:p w14:paraId="18098AA0" w14:textId="77777777" w:rsidR="003C45DA" w:rsidRPr="008A0A4E" w:rsidRDefault="003C45DA" w:rsidP="00866A15">
      <w:pPr>
        <w:rPr>
          <w:rFonts w:ascii="Arial" w:hAnsi="Arial" w:cs="Arial"/>
          <w:sz w:val="22"/>
          <w:szCs w:val="22"/>
        </w:rPr>
      </w:pPr>
    </w:p>
    <w:p w14:paraId="3BBAA08D" w14:textId="77777777" w:rsidR="004D0F12" w:rsidRDefault="004D0F12" w:rsidP="005E6A09">
      <w:pPr>
        <w:rPr>
          <w:rFonts w:ascii="Arial" w:hAnsi="Arial" w:cs="Arial"/>
          <w:sz w:val="22"/>
          <w:szCs w:val="22"/>
        </w:rPr>
      </w:pPr>
    </w:p>
    <w:p w14:paraId="658CF082" w14:textId="117A31DA" w:rsidR="003C45DA" w:rsidRPr="008A0A4E" w:rsidRDefault="003C45DA" w:rsidP="005E6A09">
      <w:pPr>
        <w:rPr>
          <w:rFonts w:ascii="Arial" w:hAnsi="Arial" w:cs="Arial"/>
          <w:sz w:val="22"/>
          <w:szCs w:val="22"/>
        </w:rPr>
      </w:pPr>
      <w:r w:rsidRPr="008A0A4E">
        <w:rPr>
          <w:rFonts w:ascii="Arial" w:hAnsi="Arial" w:cs="Arial"/>
          <w:sz w:val="22"/>
          <w:szCs w:val="22"/>
        </w:rPr>
        <w:t xml:space="preserve">The value of the Fund, by manager,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324008" w:rsidRPr="008A0A4E">
        <w:rPr>
          <w:rFonts w:ascii="Arial" w:hAnsi="Arial" w:cs="Arial"/>
          <w:sz w:val="22"/>
          <w:szCs w:val="22"/>
        </w:rPr>
        <w:t>2</w:t>
      </w:r>
      <w:r w:rsidR="002E3492">
        <w:rPr>
          <w:rFonts w:ascii="Arial" w:hAnsi="Arial" w:cs="Arial"/>
          <w:sz w:val="22"/>
          <w:szCs w:val="22"/>
        </w:rPr>
        <w:t>5</w:t>
      </w:r>
      <w:r w:rsidRPr="008A0A4E">
        <w:rPr>
          <w:rFonts w:ascii="Arial" w:hAnsi="Arial" w:cs="Arial"/>
          <w:sz w:val="22"/>
          <w:szCs w:val="22"/>
        </w:rPr>
        <w:t xml:space="preserve"> was as follows:</w:t>
      </w:r>
    </w:p>
    <w:p w14:paraId="7021AB4F" w14:textId="56B5DED3" w:rsidR="00BF3475" w:rsidRPr="00A04EE1" w:rsidRDefault="00BF3475" w:rsidP="00A04EE1">
      <w:pPr>
        <w:tabs>
          <w:tab w:val="left" w:pos="426"/>
          <w:tab w:val="left" w:pos="1134"/>
        </w:tabs>
        <w:jc w:val="both"/>
        <w:rPr>
          <w:rFonts w:ascii="Arial" w:hAnsi="Arial" w:cs="Arial"/>
        </w:rPr>
      </w:pPr>
    </w:p>
    <w:tbl>
      <w:tblPr>
        <w:tblW w:w="10409" w:type="dxa"/>
        <w:tblInd w:w="-572" w:type="dxa"/>
        <w:tblLook w:val="04A0" w:firstRow="1" w:lastRow="0" w:firstColumn="1" w:lastColumn="0" w:noHBand="0" w:noVBand="1"/>
      </w:tblPr>
      <w:tblGrid>
        <w:gridCol w:w="5245"/>
        <w:gridCol w:w="1195"/>
        <w:gridCol w:w="1276"/>
        <w:gridCol w:w="1417"/>
        <w:gridCol w:w="1276"/>
      </w:tblGrid>
      <w:tr w:rsidR="00CA67E0" w14:paraId="7F8527AE" w14:textId="77777777" w:rsidTr="00295F31">
        <w:trPr>
          <w:trHeight w:val="255"/>
        </w:trPr>
        <w:tc>
          <w:tcPr>
            <w:tcW w:w="52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1B116"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Fund by Investment Manager</w:t>
            </w:r>
          </w:p>
        </w:tc>
        <w:tc>
          <w:tcPr>
            <w:tcW w:w="24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39751" w14:textId="448792BD" w:rsidR="00CA67E0" w:rsidRPr="00750CE2" w:rsidRDefault="002E3492">
            <w:pPr>
              <w:jc w:val="center"/>
              <w:rPr>
                <w:rFonts w:ascii="Arial" w:hAnsi="Arial" w:cs="Arial"/>
                <w:color w:val="000000"/>
                <w:sz w:val="22"/>
                <w:szCs w:val="22"/>
              </w:rPr>
            </w:pPr>
            <w:r w:rsidRPr="00750CE2">
              <w:rPr>
                <w:rFonts w:ascii="Arial" w:hAnsi="Arial" w:cs="Arial"/>
                <w:color w:val="000000"/>
                <w:sz w:val="22"/>
                <w:szCs w:val="22"/>
              </w:rPr>
              <w:t>31 March 2024</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610839" w14:textId="7F708DF7" w:rsidR="00CA67E0" w:rsidRDefault="002E3492">
            <w:pPr>
              <w:jc w:val="center"/>
              <w:rPr>
                <w:rFonts w:ascii="Arial" w:hAnsi="Arial" w:cs="Arial"/>
                <w:b/>
                <w:bCs/>
                <w:color w:val="000000"/>
                <w:sz w:val="22"/>
                <w:szCs w:val="22"/>
              </w:rPr>
            </w:pPr>
            <w:r>
              <w:rPr>
                <w:rFonts w:ascii="Arial" w:hAnsi="Arial" w:cs="Arial"/>
                <w:b/>
                <w:bCs/>
                <w:color w:val="000000"/>
                <w:sz w:val="22"/>
                <w:szCs w:val="22"/>
              </w:rPr>
              <w:t>31 March 2025</w:t>
            </w:r>
          </w:p>
        </w:tc>
      </w:tr>
      <w:tr w:rsidR="00CA67E0" w14:paraId="4425A4AA" w14:textId="77777777" w:rsidTr="00295F31">
        <w:trPr>
          <w:trHeight w:val="255"/>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32502829" w14:textId="77777777" w:rsidR="00CA67E0" w:rsidRDefault="00CA67E0">
            <w:pPr>
              <w:rPr>
                <w:rFonts w:ascii="Arial" w:hAnsi="Arial" w:cs="Arial"/>
                <w:b/>
                <w:bCs/>
                <w:color w:val="000000"/>
                <w:sz w:val="22"/>
                <w:szCs w:val="22"/>
              </w:rPr>
            </w:pPr>
          </w:p>
        </w:tc>
        <w:tc>
          <w:tcPr>
            <w:tcW w:w="1195" w:type="dxa"/>
            <w:tcBorders>
              <w:top w:val="nil"/>
              <w:left w:val="nil"/>
              <w:bottom w:val="single" w:sz="4" w:space="0" w:color="auto"/>
              <w:right w:val="single" w:sz="4" w:space="0" w:color="auto"/>
            </w:tcBorders>
            <w:shd w:val="clear" w:color="000000" w:fill="FFFFFF"/>
            <w:noWrap/>
            <w:vAlign w:val="center"/>
            <w:hideMark/>
          </w:tcPr>
          <w:p w14:paraId="482180BD" w14:textId="77777777" w:rsidR="00CA67E0" w:rsidRPr="00750CE2" w:rsidRDefault="00CA67E0">
            <w:pPr>
              <w:jc w:val="center"/>
              <w:rPr>
                <w:rFonts w:ascii="Arial" w:hAnsi="Arial" w:cs="Arial"/>
                <w:color w:val="000000"/>
                <w:sz w:val="22"/>
                <w:szCs w:val="22"/>
              </w:rPr>
            </w:pPr>
            <w:r w:rsidRPr="00750CE2">
              <w:rPr>
                <w:rFonts w:ascii="Arial" w:hAnsi="Arial" w:cs="Arial"/>
                <w:color w:val="000000"/>
                <w:sz w:val="22"/>
                <w:szCs w:val="22"/>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854B651" w14:textId="77777777" w:rsidR="00CA67E0" w:rsidRPr="00750CE2" w:rsidRDefault="00CA67E0">
            <w:pPr>
              <w:jc w:val="center"/>
              <w:rPr>
                <w:rFonts w:ascii="Arial" w:hAnsi="Arial" w:cs="Arial"/>
                <w:color w:val="000000"/>
                <w:sz w:val="22"/>
                <w:szCs w:val="22"/>
              </w:rPr>
            </w:pPr>
            <w:r w:rsidRPr="00750CE2">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4E30B3A"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32AD0D"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w:t>
            </w:r>
          </w:p>
        </w:tc>
      </w:tr>
      <w:tr w:rsidR="001F174B" w14:paraId="2E046827" w14:textId="77777777" w:rsidTr="00295F31">
        <w:trPr>
          <w:trHeight w:val="255"/>
        </w:trPr>
        <w:tc>
          <w:tcPr>
            <w:tcW w:w="5245" w:type="dxa"/>
            <w:tcBorders>
              <w:top w:val="nil"/>
              <w:left w:val="single" w:sz="4" w:space="0" w:color="auto"/>
              <w:bottom w:val="single" w:sz="4" w:space="0" w:color="auto"/>
              <w:right w:val="nil"/>
            </w:tcBorders>
            <w:shd w:val="clear" w:color="auto" w:fill="auto"/>
            <w:noWrap/>
            <w:vAlign w:val="bottom"/>
          </w:tcPr>
          <w:p w14:paraId="0C9518BE" w14:textId="67CE6BB0" w:rsidR="001F174B" w:rsidRPr="001F174B" w:rsidRDefault="001F174B" w:rsidP="00B44E55">
            <w:pPr>
              <w:rPr>
                <w:rFonts w:ascii="Arial" w:hAnsi="Arial" w:cs="Arial"/>
                <w:b/>
                <w:bCs/>
                <w:color w:val="000000"/>
                <w:sz w:val="22"/>
                <w:szCs w:val="22"/>
              </w:rPr>
            </w:pPr>
            <w:r w:rsidRPr="001F174B">
              <w:rPr>
                <w:rFonts w:ascii="Arial" w:hAnsi="Arial" w:cs="Arial"/>
                <w:b/>
                <w:bCs/>
                <w:color w:val="000000"/>
                <w:sz w:val="22"/>
                <w:szCs w:val="22"/>
              </w:rPr>
              <w:t>Investments managed by the London CIV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2F31C" w14:textId="77777777" w:rsidR="001F174B" w:rsidRPr="00C634DF" w:rsidRDefault="001F174B" w:rsidP="00B44E55">
            <w:pPr>
              <w:jc w:val="right"/>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955AF3" w14:textId="77777777" w:rsidR="001F174B" w:rsidRPr="00C634DF" w:rsidRDefault="001F174B" w:rsidP="00B44E55">
            <w:pPr>
              <w:jc w:val="right"/>
              <w:rPr>
                <w:rFonts w:ascii="Arial" w:hAnsi="Arial"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F1E0E" w14:textId="77777777" w:rsidR="001F174B" w:rsidRDefault="001F174B" w:rsidP="00B44E55">
            <w:pPr>
              <w:jc w:val="right"/>
              <w:rPr>
                <w:rFonts w:ascii="Arial" w:hAnsi="Arial" w:cs="Arial"/>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C0C9A3" w14:textId="77777777" w:rsidR="001F174B" w:rsidRDefault="001F174B" w:rsidP="00B44E55">
            <w:pPr>
              <w:jc w:val="right"/>
              <w:rPr>
                <w:rFonts w:ascii="Arial" w:hAnsi="Arial" w:cs="Arial"/>
                <w:b/>
                <w:bCs/>
                <w:color w:val="000000"/>
                <w:sz w:val="22"/>
                <w:szCs w:val="22"/>
              </w:rPr>
            </w:pPr>
          </w:p>
        </w:tc>
      </w:tr>
      <w:tr w:rsidR="00C15FE0" w14:paraId="454C73FE"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tcPr>
          <w:p w14:paraId="590D4E95" w14:textId="636D5489" w:rsidR="00C15FE0" w:rsidRPr="003F1683" w:rsidRDefault="00C15FE0" w:rsidP="00C15FE0">
            <w:pPr>
              <w:rPr>
                <w:rFonts w:ascii="Arial" w:hAnsi="Arial" w:cs="Arial"/>
                <w:color w:val="000000"/>
                <w:sz w:val="22"/>
                <w:szCs w:val="22"/>
              </w:rPr>
            </w:pPr>
            <w:r>
              <w:rPr>
                <w:rFonts w:ascii="Arial" w:hAnsi="Arial" w:cs="Arial"/>
                <w:color w:val="000000"/>
                <w:sz w:val="22"/>
                <w:szCs w:val="22"/>
              </w:rPr>
              <w:t>London CIV Cash</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6E8C91C1" w14:textId="3C39AD5D" w:rsidR="00C15FE0" w:rsidRPr="00CA7B0A" w:rsidRDefault="00C15FE0" w:rsidP="00C15FE0">
            <w:pPr>
              <w:jc w:val="right"/>
              <w:rPr>
                <w:rFonts w:ascii="Arial" w:hAnsi="Arial" w:cs="Arial"/>
                <w:color w:val="000000"/>
                <w:sz w:val="22"/>
                <w:szCs w:val="22"/>
              </w:rPr>
            </w:pPr>
            <w:r>
              <w:rPr>
                <w:rFonts w:ascii="Arial" w:hAnsi="Arial" w:cs="Arial"/>
                <w:color w:val="000000"/>
                <w:sz w:val="22"/>
                <w:szCs w:val="22"/>
              </w:rPr>
              <w:t>150</w:t>
            </w:r>
          </w:p>
        </w:tc>
        <w:tc>
          <w:tcPr>
            <w:tcW w:w="1276" w:type="dxa"/>
            <w:tcBorders>
              <w:top w:val="nil"/>
              <w:left w:val="nil"/>
              <w:bottom w:val="single" w:sz="4" w:space="0" w:color="auto"/>
              <w:right w:val="single" w:sz="4" w:space="0" w:color="auto"/>
            </w:tcBorders>
            <w:shd w:val="clear" w:color="000000" w:fill="FFFFFF"/>
            <w:noWrap/>
            <w:vAlign w:val="center"/>
          </w:tcPr>
          <w:p w14:paraId="21C07AF9" w14:textId="5B08D037" w:rsidR="00C15FE0" w:rsidRPr="00CA7B0A" w:rsidRDefault="00C15FE0" w:rsidP="00C15FE0">
            <w:pPr>
              <w:jc w:val="right"/>
              <w:rPr>
                <w:rFonts w:ascii="Arial" w:hAnsi="Arial" w:cs="Arial"/>
                <w:color w:val="000000"/>
                <w:sz w:val="22"/>
                <w:szCs w:val="22"/>
              </w:rPr>
            </w:pPr>
            <w:r>
              <w:rPr>
                <w:rFonts w:ascii="Arial" w:hAnsi="Arial" w:cs="Arial"/>
                <w:color w:val="000000"/>
                <w:sz w:val="22"/>
                <w:szCs w:val="22"/>
              </w:rPr>
              <w:t>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03A5E9F" w14:textId="69FD4B7B" w:rsidR="00C15FE0" w:rsidRPr="00FE69B9" w:rsidRDefault="00C15FE0" w:rsidP="00C15FE0">
            <w:pPr>
              <w:jc w:val="right"/>
              <w:rPr>
                <w:rFonts w:ascii="Arial" w:hAnsi="Arial" w:cs="Arial"/>
                <w:b/>
                <w:bCs/>
                <w:color w:val="000000"/>
                <w:sz w:val="22"/>
                <w:szCs w:val="22"/>
              </w:rPr>
            </w:pPr>
            <w:r w:rsidRPr="00FE69B9">
              <w:rPr>
                <w:rFonts w:ascii="Arial" w:hAnsi="Arial" w:cs="Arial"/>
                <w:b/>
                <w:bCs/>
                <w:color w:val="000000"/>
                <w:sz w:val="22"/>
                <w:szCs w:val="22"/>
              </w:rPr>
              <w:t xml:space="preserve">           150 </w:t>
            </w:r>
          </w:p>
        </w:tc>
        <w:tc>
          <w:tcPr>
            <w:tcW w:w="1276" w:type="dxa"/>
            <w:tcBorders>
              <w:top w:val="nil"/>
              <w:left w:val="nil"/>
              <w:bottom w:val="single" w:sz="4" w:space="0" w:color="auto"/>
              <w:right w:val="single" w:sz="4" w:space="0" w:color="auto"/>
            </w:tcBorders>
            <w:shd w:val="clear" w:color="000000" w:fill="FFFFFF"/>
            <w:noWrap/>
            <w:vAlign w:val="center"/>
          </w:tcPr>
          <w:p w14:paraId="0A4CF47F" w14:textId="4002A638" w:rsidR="00C15FE0" w:rsidRPr="00FE69B9" w:rsidRDefault="00C15FE0" w:rsidP="00C15FE0">
            <w:pPr>
              <w:jc w:val="right"/>
              <w:rPr>
                <w:rFonts w:ascii="Arial" w:hAnsi="Arial" w:cs="Arial"/>
                <w:b/>
                <w:bCs/>
                <w:color w:val="000000"/>
                <w:sz w:val="22"/>
                <w:szCs w:val="22"/>
              </w:rPr>
            </w:pPr>
            <w:r w:rsidRPr="00FE69B9">
              <w:rPr>
                <w:rFonts w:ascii="Arial" w:hAnsi="Arial" w:cs="Arial"/>
                <w:b/>
                <w:bCs/>
                <w:color w:val="000000"/>
                <w:sz w:val="22"/>
                <w:szCs w:val="22"/>
              </w:rPr>
              <w:t>0.0%</w:t>
            </w:r>
          </w:p>
        </w:tc>
      </w:tr>
      <w:tr w:rsidR="00F67136" w14:paraId="164D2AB9"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tcPr>
          <w:p w14:paraId="37682959" w14:textId="654BC028" w:rsidR="00F67136" w:rsidRPr="003F1683" w:rsidRDefault="00F67136" w:rsidP="00F67136">
            <w:pPr>
              <w:rPr>
                <w:rFonts w:ascii="Arial" w:hAnsi="Arial" w:cs="Arial"/>
                <w:color w:val="000000"/>
                <w:sz w:val="22"/>
                <w:szCs w:val="22"/>
              </w:rPr>
            </w:pPr>
            <w:r>
              <w:rPr>
                <w:rFonts w:ascii="Arial" w:hAnsi="Arial" w:cs="Arial"/>
                <w:color w:val="000000"/>
                <w:sz w:val="22"/>
                <w:szCs w:val="22"/>
              </w:rPr>
              <w:t xml:space="preserve">London CIV- Newton, </w:t>
            </w:r>
            <w:proofErr w:type="spellStart"/>
            <w:r>
              <w:rPr>
                <w:rFonts w:ascii="Arial" w:hAnsi="Arial" w:cs="Arial"/>
                <w:color w:val="000000"/>
                <w:sz w:val="22"/>
                <w:szCs w:val="22"/>
              </w:rPr>
              <w:t>Pyrford</w:t>
            </w:r>
            <w:proofErr w:type="spellEnd"/>
            <w:r>
              <w:rPr>
                <w:rFonts w:ascii="Arial" w:hAnsi="Arial" w:cs="Arial"/>
                <w:color w:val="000000"/>
                <w:sz w:val="22"/>
                <w:szCs w:val="22"/>
              </w:rPr>
              <w:t xml:space="preserve"> and Baillie Gifford</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32070DAE" w14:textId="3B8EF54F" w:rsidR="00F67136" w:rsidRPr="00CA7B0A" w:rsidRDefault="00F67136" w:rsidP="00F67136">
            <w:pPr>
              <w:jc w:val="right"/>
              <w:rPr>
                <w:rFonts w:ascii="Arial" w:hAnsi="Arial" w:cs="Arial"/>
                <w:color w:val="000000"/>
                <w:sz w:val="22"/>
                <w:szCs w:val="22"/>
              </w:rPr>
            </w:pPr>
            <w:r>
              <w:rPr>
                <w:rFonts w:ascii="Arial" w:hAnsi="Arial" w:cs="Arial"/>
                <w:color w:val="000000"/>
                <w:sz w:val="22"/>
                <w:szCs w:val="22"/>
              </w:rPr>
              <w:t>415,161</w:t>
            </w:r>
          </w:p>
        </w:tc>
        <w:tc>
          <w:tcPr>
            <w:tcW w:w="1276" w:type="dxa"/>
            <w:tcBorders>
              <w:top w:val="nil"/>
              <w:left w:val="nil"/>
              <w:bottom w:val="single" w:sz="4" w:space="0" w:color="auto"/>
              <w:right w:val="single" w:sz="4" w:space="0" w:color="auto"/>
            </w:tcBorders>
            <w:shd w:val="clear" w:color="000000" w:fill="FFFFFF"/>
            <w:noWrap/>
            <w:vAlign w:val="center"/>
          </w:tcPr>
          <w:p w14:paraId="53A49797" w14:textId="37A63DCE" w:rsidR="00F67136" w:rsidRPr="00CA7B0A" w:rsidRDefault="00F67136" w:rsidP="00F67136">
            <w:pPr>
              <w:jc w:val="right"/>
              <w:rPr>
                <w:rFonts w:ascii="Arial" w:hAnsi="Arial" w:cs="Arial"/>
                <w:color w:val="000000"/>
                <w:sz w:val="22"/>
                <w:szCs w:val="22"/>
              </w:rPr>
            </w:pPr>
            <w:r>
              <w:rPr>
                <w:rFonts w:ascii="Arial" w:hAnsi="Arial" w:cs="Arial"/>
                <w:color w:val="000000"/>
                <w:sz w:val="22"/>
                <w:szCs w:val="22"/>
              </w:rPr>
              <w:t>28.7%</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C584B5A" w14:textId="60303463" w:rsidR="00F67136" w:rsidRPr="00FE69B9" w:rsidRDefault="00F67136" w:rsidP="00F67136">
            <w:pPr>
              <w:jc w:val="right"/>
              <w:rPr>
                <w:rFonts w:ascii="Arial" w:hAnsi="Arial" w:cs="Arial"/>
                <w:b/>
                <w:bCs/>
                <w:color w:val="000000"/>
                <w:sz w:val="22"/>
                <w:szCs w:val="22"/>
              </w:rPr>
            </w:pPr>
            <w:r w:rsidRPr="00FE69B9">
              <w:rPr>
                <w:rFonts w:ascii="Arial" w:hAnsi="Arial" w:cs="Arial"/>
                <w:b/>
                <w:bCs/>
                <w:color w:val="000000"/>
                <w:sz w:val="22"/>
                <w:szCs w:val="22"/>
              </w:rPr>
              <w:t xml:space="preserve">      373,303 </w:t>
            </w:r>
          </w:p>
        </w:tc>
        <w:tc>
          <w:tcPr>
            <w:tcW w:w="1276" w:type="dxa"/>
            <w:tcBorders>
              <w:top w:val="nil"/>
              <w:left w:val="nil"/>
              <w:bottom w:val="single" w:sz="4" w:space="0" w:color="auto"/>
              <w:right w:val="single" w:sz="4" w:space="0" w:color="auto"/>
            </w:tcBorders>
            <w:shd w:val="clear" w:color="000000" w:fill="FFFFFF"/>
            <w:noWrap/>
            <w:vAlign w:val="center"/>
          </w:tcPr>
          <w:p w14:paraId="124FB130" w14:textId="64359A8E" w:rsidR="00F67136" w:rsidRPr="00FE69B9" w:rsidRDefault="00F67136" w:rsidP="00F67136">
            <w:pPr>
              <w:jc w:val="right"/>
              <w:rPr>
                <w:rFonts w:ascii="Arial" w:hAnsi="Arial" w:cs="Arial"/>
                <w:b/>
                <w:bCs/>
                <w:color w:val="000000"/>
                <w:sz w:val="22"/>
                <w:szCs w:val="22"/>
              </w:rPr>
            </w:pPr>
            <w:r w:rsidRPr="00FE69B9">
              <w:rPr>
                <w:rFonts w:ascii="Arial" w:hAnsi="Arial" w:cs="Arial"/>
                <w:b/>
                <w:bCs/>
                <w:color w:val="000000"/>
                <w:sz w:val="22"/>
                <w:szCs w:val="22"/>
              </w:rPr>
              <w:t>24.7%</w:t>
            </w:r>
          </w:p>
        </w:tc>
      </w:tr>
      <w:tr w:rsidR="00827721" w14:paraId="38EB09DE"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tcPr>
          <w:p w14:paraId="50B7D924" w14:textId="6EA28C8C" w:rsidR="00827721" w:rsidRPr="003F1683" w:rsidRDefault="00827721" w:rsidP="00827721">
            <w:pPr>
              <w:rPr>
                <w:rFonts w:ascii="Arial" w:hAnsi="Arial" w:cs="Arial"/>
                <w:color w:val="000000"/>
                <w:sz w:val="22"/>
                <w:szCs w:val="22"/>
              </w:rPr>
            </w:pPr>
            <w:r>
              <w:rPr>
                <w:rFonts w:ascii="Arial" w:hAnsi="Arial" w:cs="Arial"/>
                <w:color w:val="000000"/>
                <w:sz w:val="22"/>
                <w:szCs w:val="22"/>
              </w:rPr>
              <w:t>London CIV - Pimco</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38120CE0" w14:textId="7790DBB1" w:rsidR="00827721" w:rsidRPr="00CA7B0A" w:rsidRDefault="00827721" w:rsidP="00827721">
            <w:pPr>
              <w:jc w:val="right"/>
              <w:rPr>
                <w:rFonts w:ascii="Arial" w:hAnsi="Arial" w:cs="Arial"/>
                <w:color w:val="000000"/>
                <w:sz w:val="22"/>
                <w:szCs w:val="22"/>
              </w:rPr>
            </w:pPr>
            <w:r>
              <w:rPr>
                <w:rFonts w:ascii="Arial" w:hAnsi="Arial" w:cs="Arial"/>
                <w:color w:val="000000"/>
                <w:sz w:val="22"/>
                <w:szCs w:val="22"/>
              </w:rPr>
              <w:t>74,269</w:t>
            </w:r>
          </w:p>
        </w:tc>
        <w:tc>
          <w:tcPr>
            <w:tcW w:w="1276" w:type="dxa"/>
            <w:tcBorders>
              <w:top w:val="nil"/>
              <w:left w:val="nil"/>
              <w:bottom w:val="single" w:sz="4" w:space="0" w:color="auto"/>
              <w:right w:val="single" w:sz="4" w:space="0" w:color="auto"/>
            </w:tcBorders>
            <w:shd w:val="clear" w:color="000000" w:fill="FFFFFF"/>
            <w:noWrap/>
            <w:vAlign w:val="center"/>
          </w:tcPr>
          <w:p w14:paraId="2784BC34" w14:textId="0D0FF018" w:rsidR="00827721" w:rsidRPr="00CA7B0A" w:rsidRDefault="00827721" w:rsidP="00827721">
            <w:pPr>
              <w:jc w:val="right"/>
              <w:rPr>
                <w:rFonts w:ascii="Arial" w:hAnsi="Arial" w:cs="Arial"/>
                <w:color w:val="000000"/>
                <w:sz w:val="22"/>
                <w:szCs w:val="22"/>
              </w:rPr>
            </w:pPr>
            <w:r>
              <w:rPr>
                <w:rFonts w:ascii="Arial" w:hAnsi="Arial" w:cs="Arial"/>
                <w:color w:val="000000"/>
                <w:sz w:val="22"/>
                <w:szCs w:val="22"/>
              </w:rPr>
              <w:t>5.1%</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A34CDAA" w14:textId="476C8DE7" w:rsidR="00827721" w:rsidRPr="00FE69B9" w:rsidRDefault="00827721" w:rsidP="00827721">
            <w:pPr>
              <w:jc w:val="right"/>
              <w:rPr>
                <w:rFonts w:ascii="Arial" w:hAnsi="Arial" w:cs="Arial"/>
                <w:b/>
                <w:bCs/>
                <w:color w:val="000000"/>
                <w:sz w:val="22"/>
                <w:szCs w:val="22"/>
              </w:rPr>
            </w:pPr>
            <w:r w:rsidRPr="00FE69B9">
              <w:rPr>
                <w:rFonts w:ascii="Arial" w:hAnsi="Arial" w:cs="Arial"/>
                <w:b/>
                <w:bCs/>
                <w:color w:val="000000"/>
                <w:sz w:val="22"/>
                <w:szCs w:val="22"/>
              </w:rPr>
              <w:t xml:space="preserve">        78,416 </w:t>
            </w:r>
          </w:p>
        </w:tc>
        <w:tc>
          <w:tcPr>
            <w:tcW w:w="1276" w:type="dxa"/>
            <w:tcBorders>
              <w:top w:val="nil"/>
              <w:left w:val="nil"/>
              <w:bottom w:val="single" w:sz="4" w:space="0" w:color="auto"/>
              <w:right w:val="single" w:sz="4" w:space="0" w:color="auto"/>
            </w:tcBorders>
            <w:shd w:val="clear" w:color="000000" w:fill="FFFFFF"/>
            <w:noWrap/>
            <w:vAlign w:val="center"/>
          </w:tcPr>
          <w:p w14:paraId="46C2C421" w14:textId="72E6E5B8" w:rsidR="00827721" w:rsidRPr="00FE69B9" w:rsidRDefault="00827721" w:rsidP="00827721">
            <w:pPr>
              <w:jc w:val="right"/>
              <w:rPr>
                <w:rFonts w:ascii="Arial" w:hAnsi="Arial" w:cs="Arial"/>
                <w:b/>
                <w:bCs/>
                <w:color w:val="000000"/>
                <w:sz w:val="22"/>
                <w:szCs w:val="22"/>
              </w:rPr>
            </w:pPr>
            <w:r w:rsidRPr="00FE69B9">
              <w:rPr>
                <w:rFonts w:ascii="Arial" w:hAnsi="Arial" w:cs="Arial"/>
                <w:b/>
                <w:bCs/>
                <w:color w:val="000000"/>
                <w:sz w:val="22"/>
                <w:szCs w:val="22"/>
              </w:rPr>
              <w:t>5.2%</w:t>
            </w:r>
          </w:p>
        </w:tc>
      </w:tr>
      <w:tr w:rsidR="002E3492" w14:paraId="4B9E4344" w14:textId="77777777" w:rsidTr="00295F31">
        <w:trPr>
          <w:trHeight w:val="255"/>
        </w:trPr>
        <w:tc>
          <w:tcPr>
            <w:tcW w:w="5245" w:type="dxa"/>
            <w:tcBorders>
              <w:top w:val="single" w:sz="4" w:space="0" w:color="auto"/>
              <w:left w:val="single" w:sz="4" w:space="0" w:color="auto"/>
              <w:bottom w:val="nil"/>
              <w:right w:val="nil"/>
            </w:tcBorders>
            <w:shd w:val="clear" w:color="auto" w:fill="auto"/>
            <w:noWrap/>
            <w:vAlign w:val="bottom"/>
          </w:tcPr>
          <w:p w14:paraId="052C209D" w14:textId="77777777" w:rsidR="002E3492" w:rsidRDefault="002E3492" w:rsidP="002E3492">
            <w:pPr>
              <w:rPr>
                <w:rFonts w:ascii="Arial" w:hAnsi="Arial" w:cs="Arial"/>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CB01" w14:textId="77777777" w:rsidR="002E3492" w:rsidRPr="00CA7B0A" w:rsidRDefault="002E3492" w:rsidP="002E3492">
            <w:pPr>
              <w:jc w:val="right"/>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D7A008" w14:textId="77777777" w:rsidR="002E3492" w:rsidRPr="00CA7B0A" w:rsidRDefault="002E3492" w:rsidP="002E3492">
            <w:pPr>
              <w:jc w:val="right"/>
              <w:rPr>
                <w:rFonts w:ascii="Arial" w:hAnsi="Arial"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3355C" w14:textId="77777777" w:rsidR="002E3492" w:rsidRPr="00FE69B9" w:rsidRDefault="002E3492" w:rsidP="002E3492">
            <w:pPr>
              <w:jc w:val="right"/>
              <w:rPr>
                <w:rFonts w:ascii="Arial" w:hAnsi="Arial" w:cs="Arial"/>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C2FE2F" w14:textId="77777777" w:rsidR="002E3492" w:rsidRPr="00FE69B9" w:rsidRDefault="002E3492" w:rsidP="002E3492">
            <w:pPr>
              <w:jc w:val="right"/>
              <w:rPr>
                <w:rFonts w:ascii="Arial" w:hAnsi="Arial" w:cs="Arial"/>
                <w:b/>
                <w:bCs/>
                <w:color w:val="000000"/>
                <w:sz w:val="22"/>
                <w:szCs w:val="22"/>
              </w:rPr>
            </w:pPr>
          </w:p>
        </w:tc>
      </w:tr>
      <w:tr w:rsidR="002E3492" w14:paraId="08950DAB" w14:textId="77777777" w:rsidTr="00295F31">
        <w:trPr>
          <w:trHeight w:val="255"/>
        </w:trPr>
        <w:tc>
          <w:tcPr>
            <w:tcW w:w="5245" w:type="dxa"/>
            <w:tcBorders>
              <w:top w:val="single" w:sz="4" w:space="0" w:color="auto"/>
              <w:left w:val="single" w:sz="4" w:space="0" w:color="auto"/>
              <w:bottom w:val="nil"/>
              <w:right w:val="nil"/>
            </w:tcBorders>
            <w:shd w:val="clear" w:color="auto" w:fill="auto"/>
            <w:noWrap/>
            <w:vAlign w:val="bottom"/>
          </w:tcPr>
          <w:p w14:paraId="057516A5" w14:textId="103CE04C" w:rsidR="002E3492" w:rsidRPr="00097158" w:rsidRDefault="002E3492" w:rsidP="002E3492">
            <w:pPr>
              <w:rPr>
                <w:rFonts w:ascii="Arial" w:hAnsi="Arial" w:cs="Arial"/>
                <w:b/>
                <w:bCs/>
                <w:color w:val="000000"/>
                <w:sz w:val="22"/>
                <w:szCs w:val="22"/>
              </w:rPr>
            </w:pPr>
            <w:r w:rsidRPr="00097158">
              <w:rPr>
                <w:rFonts w:ascii="Arial" w:hAnsi="Arial" w:cs="Arial"/>
                <w:b/>
                <w:bCs/>
                <w:color w:val="000000"/>
                <w:sz w:val="22"/>
                <w:szCs w:val="22"/>
              </w:rPr>
              <w:t>Investments managed outside the London CIV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5C81" w14:textId="77777777" w:rsidR="002E3492" w:rsidRPr="00CA7B0A" w:rsidRDefault="002E3492" w:rsidP="002E3492">
            <w:pPr>
              <w:jc w:val="right"/>
              <w:rPr>
                <w:rFonts w:ascii="Arial" w:hAnsi="Arial"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7D3B348" w14:textId="77777777" w:rsidR="002E3492" w:rsidRPr="00CA7B0A" w:rsidRDefault="002E3492" w:rsidP="002E3492">
            <w:pPr>
              <w:jc w:val="right"/>
              <w:rPr>
                <w:rFonts w:ascii="Arial" w:hAnsi="Arial"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92B7" w14:textId="77777777" w:rsidR="002E3492" w:rsidRPr="00FE69B9" w:rsidRDefault="002E3492" w:rsidP="002E3492">
            <w:pPr>
              <w:jc w:val="right"/>
              <w:rPr>
                <w:rFonts w:ascii="Arial" w:hAnsi="Arial" w:cs="Arial"/>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B67437" w14:textId="77777777" w:rsidR="002E3492" w:rsidRPr="00FE69B9" w:rsidRDefault="002E3492" w:rsidP="002E3492">
            <w:pPr>
              <w:jc w:val="right"/>
              <w:rPr>
                <w:rFonts w:ascii="Arial" w:hAnsi="Arial" w:cs="Arial"/>
                <w:b/>
                <w:bCs/>
                <w:color w:val="000000"/>
                <w:sz w:val="22"/>
                <w:szCs w:val="22"/>
              </w:rPr>
            </w:pPr>
          </w:p>
        </w:tc>
      </w:tr>
      <w:tr w:rsidR="00827721" w14:paraId="6C2881A8" w14:textId="77777777" w:rsidTr="00295F31">
        <w:trPr>
          <w:trHeight w:val="255"/>
        </w:trPr>
        <w:tc>
          <w:tcPr>
            <w:tcW w:w="5245" w:type="dxa"/>
            <w:tcBorders>
              <w:top w:val="single" w:sz="4" w:space="0" w:color="auto"/>
              <w:left w:val="single" w:sz="4" w:space="0" w:color="auto"/>
              <w:bottom w:val="nil"/>
              <w:right w:val="nil"/>
            </w:tcBorders>
            <w:shd w:val="clear" w:color="auto" w:fill="auto"/>
            <w:noWrap/>
            <w:vAlign w:val="bottom"/>
            <w:hideMark/>
          </w:tcPr>
          <w:p w14:paraId="732AD889" w14:textId="5A3376FA" w:rsidR="00827721" w:rsidRDefault="00827721" w:rsidP="00827721">
            <w:pPr>
              <w:rPr>
                <w:rFonts w:ascii="Arial" w:hAnsi="Arial" w:cs="Arial"/>
                <w:color w:val="000000"/>
                <w:sz w:val="22"/>
                <w:szCs w:val="22"/>
              </w:rPr>
            </w:pPr>
            <w:r>
              <w:rPr>
                <w:rFonts w:ascii="Arial" w:hAnsi="Arial" w:cs="Arial"/>
                <w:color w:val="000000"/>
                <w:sz w:val="22"/>
                <w:szCs w:val="22"/>
              </w:rPr>
              <w:t>Aberdeen Asset Management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E43F" w14:textId="0C992E06" w:rsidR="00827721" w:rsidRPr="00CA7B0A" w:rsidRDefault="00827721" w:rsidP="00B97D9D">
            <w:pPr>
              <w:jc w:val="right"/>
              <w:rPr>
                <w:rFonts w:ascii="Arial" w:hAnsi="Arial" w:cs="Arial"/>
                <w:color w:val="000000"/>
                <w:sz w:val="22"/>
                <w:szCs w:val="22"/>
              </w:rPr>
            </w:pPr>
            <w:r>
              <w:rPr>
                <w:rFonts w:ascii="Arial" w:hAnsi="Arial" w:cs="Arial"/>
                <w:color w:val="000000"/>
                <w:sz w:val="22"/>
                <w:szCs w:val="22"/>
              </w:rPr>
              <w:t>142,127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25E350E" w14:textId="428BC03F" w:rsidR="00827721" w:rsidRPr="00CA7B0A" w:rsidRDefault="00827721" w:rsidP="00B97D9D">
            <w:pPr>
              <w:jc w:val="right"/>
              <w:rPr>
                <w:rFonts w:ascii="Arial" w:hAnsi="Arial" w:cs="Arial"/>
                <w:color w:val="000000"/>
                <w:sz w:val="22"/>
                <w:szCs w:val="22"/>
              </w:rPr>
            </w:pPr>
            <w:r>
              <w:rPr>
                <w:rFonts w:ascii="Arial" w:hAnsi="Arial" w:cs="Arial"/>
                <w:color w:val="000000"/>
                <w:sz w:val="22"/>
                <w:szCs w:val="22"/>
              </w:rPr>
              <w:t>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30B5" w14:textId="6C2D82B3" w:rsidR="00827721" w:rsidRPr="00FE69B9" w:rsidRDefault="00827721"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145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B274255" w14:textId="6AC63520" w:rsidR="00827721" w:rsidRPr="00FE69B9" w:rsidRDefault="00827721" w:rsidP="00B97D9D">
            <w:pPr>
              <w:jc w:val="right"/>
              <w:rPr>
                <w:rFonts w:ascii="Arial" w:hAnsi="Arial" w:cs="Arial"/>
                <w:b/>
                <w:bCs/>
                <w:color w:val="000000"/>
                <w:sz w:val="22"/>
                <w:szCs w:val="22"/>
              </w:rPr>
            </w:pPr>
            <w:r w:rsidRPr="00FE69B9">
              <w:rPr>
                <w:rFonts w:ascii="Arial" w:hAnsi="Arial" w:cs="Arial"/>
                <w:b/>
                <w:bCs/>
                <w:color w:val="000000"/>
                <w:sz w:val="22"/>
                <w:szCs w:val="22"/>
              </w:rPr>
              <w:t>0.0%</w:t>
            </w:r>
          </w:p>
        </w:tc>
      </w:tr>
      <w:tr w:rsidR="009C4D18" w14:paraId="1B7F5A62" w14:textId="77777777" w:rsidTr="00295F31">
        <w:trPr>
          <w:trHeight w:val="266"/>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9A050" w14:textId="243582E0" w:rsidR="009C4D18" w:rsidRDefault="009C4D18" w:rsidP="009C4D18">
            <w:pPr>
              <w:rPr>
                <w:rFonts w:ascii="Arial" w:hAnsi="Arial" w:cs="Arial"/>
                <w:color w:val="000000"/>
                <w:sz w:val="22"/>
                <w:szCs w:val="22"/>
              </w:rPr>
            </w:pPr>
            <w:r>
              <w:rPr>
                <w:rFonts w:ascii="Arial" w:hAnsi="Arial" w:cs="Arial"/>
                <w:color w:val="000000"/>
                <w:sz w:val="22"/>
                <w:szCs w:val="22"/>
              </w:rPr>
              <w:t>Patria</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76D80546" w14:textId="61654A10" w:rsidR="009C4D18" w:rsidRPr="00CA7B0A" w:rsidRDefault="00295F31" w:rsidP="00B97D9D">
            <w:pPr>
              <w:jc w:val="right"/>
              <w:rPr>
                <w:rFonts w:ascii="Arial" w:hAnsi="Arial" w:cs="Arial"/>
                <w:color w:val="000000"/>
                <w:sz w:val="22"/>
                <w:szCs w:val="22"/>
              </w:rPr>
            </w:pPr>
            <w:r>
              <w:rPr>
                <w:rFonts w:ascii="Arial" w:hAnsi="Arial" w:cs="Arial"/>
                <w:color w:val="000000"/>
                <w:sz w:val="22"/>
                <w:szCs w:val="22"/>
              </w:rPr>
              <w:t>-</w:t>
            </w:r>
          </w:p>
        </w:tc>
        <w:tc>
          <w:tcPr>
            <w:tcW w:w="1276" w:type="dxa"/>
            <w:tcBorders>
              <w:top w:val="nil"/>
              <w:left w:val="nil"/>
              <w:bottom w:val="single" w:sz="4" w:space="0" w:color="auto"/>
              <w:right w:val="single" w:sz="4" w:space="0" w:color="auto"/>
            </w:tcBorders>
            <w:shd w:val="clear" w:color="000000" w:fill="FFFFFF"/>
            <w:noWrap/>
            <w:vAlign w:val="center"/>
          </w:tcPr>
          <w:p w14:paraId="584F58D2" w14:textId="17CC9A1E" w:rsidR="009C4D18" w:rsidRPr="00F917D5" w:rsidRDefault="009C4D18" w:rsidP="00B97D9D">
            <w:pPr>
              <w:jc w:val="right"/>
              <w:rPr>
                <w:rFonts w:ascii="Arial" w:hAnsi="Arial" w:cs="Arial"/>
                <w:color w:val="000000"/>
                <w:sz w:val="22"/>
                <w:szCs w:val="22"/>
              </w:rPr>
            </w:pPr>
            <w:r>
              <w:rPr>
                <w:rFonts w:ascii="Arial" w:hAnsi="Arial" w:cs="Arial"/>
                <w:color w:val="000000"/>
                <w:sz w:val="22"/>
                <w:szCs w:val="22"/>
              </w:rPr>
              <w:t>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70F5D02" w14:textId="5DD63690"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140,714 </w:t>
            </w:r>
          </w:p>
        </w:tc>
        <w:tc>
          <w:tcPr>
            <w:tcW w:w="1276" w:type="dxa"/>
            <w:tcBorders>
              <w:top w:val="nil"/>
              <w:left w:val="nil"/>
              <w:bottom w:val="single" w:sz="4" w:space="0" w:color="auto"/>
              <w:right w:val="single" w:sz="4" w:space="0" w:color="auto"/>
            </w:tcBorders>
            <w:shd w:val="clear" w:color="000000" w:fill="FFFFFF"/>
            <w:noWrap/>
            <w:vAlign w:val="center"/>
          </w:tcPr>
          <w:p w14:paraId="23700512" w14:textId="252AF9DD"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9.3%</w:t>
            </w:r>
          </w:p>
        </w:tc>
      </w:tr>
      <w:tr w:rsidR="009C4D18" w14:paraId="644F8268" w14:textId="77777777" w:rsidTr="00295F31">
        <w:trPr>
          <w:trHeight w:val="266"/>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2EE82" w14:textId="74BF111A" w:rsidR="009C4D18" w:rsidRDefault="009C4D18" w:rsidP="009C4D18">
            <w:pPr>
              <w:rPr>
                <w:rFonts w:ascii="Arial" w:hAnsi="Arial" w:cs="Arial"/>
                <w:color w:val="000000"/>
                <w:sz w:val="22"/>
                <w:szCs w:val="22"/>
              </w:rPr>
            </w:pPr>
            <w:r>
              <w:rPr>
                <w:rFonts w:ascii="Arial" w:hAnsi="Arial" w:cs="Arial"/>
                <w:color w:val="000000"/>
                <w:sz w:val="22"/>
                <w:szCs w:val="22"/>
              </w:rPr>
              <w:t>BlackRock</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084E165" w14:textId="5B7934CF" w:rsidR="009C4D18" w:rsidRPr="00CA7B0A" w:rsidRDefault="009C4D18" w:rsidP="00B97D9D">
            <w:pPr>
              <w:jc w:val="right"/>
              <w:rPr>
                <w:rFonts w:ascii="Arial" w:hAnsi="Arial" w:cs="Arial"/>
                <w:color w:val="000000"/>
                <w:sz w:val="22"/>
                <w:szCs w:val="22"/>
              </w:rPr>
            </w:pPr>
            <w:r>
              <w:rPr>
                <w:rFonts w:ascii="Arial" w:hAnsi="Arial" w:cs="Arial"/>
                <w:color w:val="000000"/>
                <w:sz w:val="22"/>
                <w:szCs w:val="22"/>
              </w:rPr>
              <w:t>47,850</w:t>
            </w:r>
          </w:p>
        </w:tc>
        <w:tc>
          <w:tcPr>
            <w:tcW w:w="1276" w:type="dxa"/>
            <w:tcBorders>
              <w:top w:val="nil"/>
              <w:left w:val="nil"/>
              <w:bottom w:val="single" w:sz="4" w:space="0" w:color="auto"/>
              <w:right w:val="single" w:sz="4" w:space="0" w:color="auto"/>
            </w:tcBorders>
            <w:shd w:val="clear" w:color="000000" w:fill="FFFFFF"/>
            <w:noWrap/>
            <w:vAlign w:val="center"/>
            <w:hideMark/>
          </w:tcPr>
          <w:p w14:paraId="74C7B64E" w14:textId="17893E17" w:rsidR="009C4D18" w:rsidRPr="00CA7B0A" w:rsidRDefault="009C4D18" w:rsidP="00B97D9D">
            <w:pPr>
              <w:jc w:val="right"/>
              <w:rPr>
                <w:rFonts w:ascii="Arial" w:hAnsi="Arial" w:cs="Arial"/>
                <w:color w:val="000000"/>
                <w:sz w:val="22"/>
                <w:szCs w:val="22"/>
              </w:rPr>
            </w:pPr>
            <w:r>
              <w:rPr>
                <w:rFonts w:ascii="Arial" w:hAnsi="Arial" w:cs="Arial"/>
                <w:color w:val="000000"/>
                <w:sz w:val="22"/>
                <w:szCs w:val="22"/>
              </w:rPr>
              <w:t>3.3%</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CA9CDA4" w14:textId="074FB66B"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96,880 </w:t>
            </w:r>
          </w:p>
        </w:tc>
        <w:tc>
          <w:tcPr>
            <w:tcW w:w="1276" w:type="dxa"/>
            <w:tcBorders>
              <w:top w:val="nil"/>
              <w:left w:val="nil"/>
              <w:bottom w:val="single" w:sz="4" w:space="0" w:color="auto"/>
              <w:right w:val="single" w:sz="4" w:space="0" w:color="auto"/>
            </w:tcBorders>
            <w:shd w:val="clear" w:color="000000" w:fill="FFFFFF"/>
            <w:noWrap/>
            <w:vAlign w:val="center"/>
          </w:tcPr>
          <w:p w14:paraId="0942D76F" w14:textId="67F29AD0"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6.4%</w:t>
            </w:r>
          </w:p>
        </w:tc>
      </w:tr>
      <w:tr w:rsidR="009C4D18" w14:paraId="75CEC04D" w14:textId="77777777" w:rsidTr="00295F31">
        <w:trPr>
          <w:trHeight w:val="266"/>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594ABBC0" w14:textId="3A48C042" w:rsidR="009C4D18" w:rsidRDefault="009C4D18" w:rsidP="009C4D18">
            <w:pPr>
              <w:rPr>
                <w:rFonts w:ascii="Arial" w:hAnsi="Arial" w:cs="Arial"/>
                <w:color w:val="000000"/>
                <w:sz w:val="22"/>
                <w:szCs w:val="22"/>
              </w:rPr>
            </w:pPr>
            <w:r>
              <w:rPr>
                <w:rFonts w:ascii="Arial" w:hAnsi="Arial" w:cs="Arial"/>
                <w:color w:val="000000"/>
                <w:sz w:val="22"/>
                <w:szCs w:val="22"/>
              </w:rPr>
              <w:t>Hermes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311AB24" w14:textId="0AA9549F" w:rsidR="009C4D18" w:rsidRPr="00CA7B0A" w:rsidRDefault="009C4D18" w:rsidP="00B97D9D">
            <w:pPr>
              <w:jc w:val="right"/>
              <w:rPr>
                <w:rFonts w:ascii="Arial" w:hAnsi="Arial" w:cs="Arial"/>
                <w:color w:val="000000"/>
                <w:sz w:val="22"/>
                <w:szCs w:val="22"/>
              </w:rPr>
            </w:pPr>
            <w:r>
              <w:rPr>
                <w:rFonts w:ascii="Arial" w:hAnsi="Arial" w:cs="Arial"/>
                <w:color w:val="000000"/>
                <w:sz w:val="22"/>
                <w:szCs w:val="22"/>
              </w:rPr>
              <w:t>86,574</w:t>
            </w:r>
          </w:p>
        </w:tc>
        <w:tc>
          <w:tcPr>
            <w:tcW w:w="1276" w:type="dxa"/>
            <w:tcBorders>
              <w:top w:val="nil"/>
              <w:left w:val="nil"/>
              <w:bottom w:val="single" w:sz="4" w:space="0" w:color="auto"/>
              <w:right w:val="single" w:sz="4" w:space="0" w:color="auto"/>
            </w:tcBorders>
            <w:shd w:val="clear" w:color="000000" w:fill="FFFFFF"/>
            <w:noWrap/>
            <w:vAlign w:val="center"/>
            <w:hideMark/>
          </w:tcPr>
          <w:p w14:paraId="77DF3740" w14:textId="6F568C1C" w:rsidR="009C4D18" w:rsidRPr="00CA7B0A" w:rsidRDefault="009C4D18" w:rsidP="00B97D9D">
            <w:pPr>
              <w:jc w:val="right"/>
              <w:rPr>
                <w:rFonts w:ascii="Arial" w:hAnsi="Arial" w:cs="Arial"/>
                <w:color w:val="000000"/>
                <w:sz w:val="22"/>
                <w:szCs w:val="22"/>
              </w:rPr>
            </w:pPr>
            <w:r>
              <w:rPr>
                <w:rFonts w:ascii="Arial" w:hAnsi="Arial" w:cs="Arial"/>
                <w:color w:val="000000"/>
                <w:sz w:val="22"/>
                <w:szCs w:val="22"/>
              </w:rPr>
              <w:t>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95794C6" w14:textId="381684D5"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76,043 </w:t>
            </w:r>
          </w:p>
        </w:tc>
        <w:tc>
          <w:tcPr>
            <w:tcW w:w="1276" w:type="dxa"/>
            <w:tcBorders>
              <w:top w:val="nil"/>
              <w:left w:val="nil"/>
              <w:bottom w:val="single" w:sz="4" w:space="0" w:color="auto"/>
              <w:right w:val="single" w:sz="4" w:space="0" w:color="auto"/>
            </w:tcBorders>
            <w:shd w:val="clear" w:color="000000" w:fill="FFFFFF"/>
            <w:noWrap/>
            <w:vAlign w:val="center"/>
          </w:tcPr>
          <w:p w14:paraId="3FF359F4" w14:textId="3E33B75E" w:rsidR="009C4D18" w:rsidRPr="00FE69B9" w:rsidRDefault="009C4D18" w:rsidP="00B97D9D">
            <w:pPr>
              <w:jc w:val="right"/>
              <w:rPr>
                <w:rFonts w:ascii="Arial" w:hAnsi="Arial" w:cs="Arial"/>
                <w:b/>
                <w:bCs/>
                <w:color w:val="000000"/>
                <w:sz w:val="22"/>
                <w:szCs w:val="22"/>
              </w:rPr>
            </w:pPr>
            <w:r w:rsidRPr="00FE69B9">
              <w:rPr>
                <w:rFonts w:ascii="Arial" w:hAnsi="Arial" w:cs="Arial"/>
                <w:b/>
                <w:bCs/>
                <w:color w:val="000000"/>
                <w:sz w:val="22"/>
                <w:szCs w:val="22"/>
              </w:rPr>
              <w:t>5.0%</w:t>
            </w:r>
          </w:p>
        </w:tc>
      </w:tr>
      <w:tr w:rsidR="00A07D7F" w14:paraId="7803C452" w14:textId="77777777" w:rsidTr="00295F31">
        <w:trPr>
          <w:trHeight w:val="266"/>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17B441F0" w14:textId="4DCE6356" w:rsidR="00A07D7F" w:rsidRDefault="00A07D7F" w:rsidP="00A07D7F">
            <w:pPr>
              <w:rPr>
                <w:rFonts w:ascii="Arial" w:hAnsi="Arial" w:cs="Arial"/>
                <w:color w:val="000000"/>
                <w:sz w:val="22"/>
                <w:szCs w:val="22"/>
              </w:rPr>
            </w:pPr>
            <w:r>
              <w:rPr>
                <w:rFonts w:ascii="Arial" w:hAnsi="Arial" w:cs="Arial"/>
                <w:color w:val="000000"/>
                <w:sz w:val="22"/>
                <w:szCs w:val="22"/>
              </w:rPr>
              <w:t>Kempen</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9524051" w14:textId="1C01541E" w:rsidR="00A07D7F" w:rsidRPr="00CA7B0A" w:rsidRDefault="00A07D7F" w:rsidP="00B97D9D">
            <w:pPr>
              <w:jc w:val="right"/>
              <w:rPr>
                <w:rFonts w:ascii="Arial" w:hAnsi="Arial" w:cs="Arial"/>
                <w:color w:val="000000"/>
                <w:sz w:val="22"/>
                <w:szCs w:val="22"/>
              </w:rPr>
            </w:pPr>
            <w:r>
              <w:rPr>
                <w:rFonts w:ascii="Arial" w:hAnsi="Arial" w:cs="Arial"/>
                <w:color w:val="000000"/>
                <w:sz w:val="22"/>
                <w:szCs w:val="22"/>
              </w:rPr>
              <w:t>224,133</w:t>
            </w:r>
          </w:p>
        </w:tc>
        <w:tc>
          <w:tcPr>
            <w:tcW w:w="1276" w:type="dxa"/>
            <w:tcBorders>
              <w:top w:val="nil"/>
              <w:left w:val="nil"/>
              <w:bottom w:val="single" w:sz="4" w:space="0" w:color="auto"/>
              <w:right w:val="single" w:sz="4" w:space="0" w:color="auto"/>
            </w:tcBorders>
            <w:shd w:val="clear" w:color="000000" w:fill="FFFFFF"/>
            <w:noWrap/>
            <w:vAlign w:val="center"/>
            <w:hideMark/>
          </w:tcPr>
          <w:p w14:paraId="637A631A" w14:textId="245C2C74" w:rsidR="00A07D7F" w:rsidRPr="00CA7B0A" w:rsidRDefault="00A07D7F" w:rsidP="00B97D9D">
            <w:pPr>
              <w:jc w:val="right"/>
              <w:rPr>
                <w:rFonts w:ascii="Arial" w:hAnsi="Arial" w:cs="Arial"/>
                <w:color w:val="000000"/>
                <w:sz w:val="22"/>
                <w:szCs w:val="22"/>
              </w:rPr>
            </w:pPr>
            <w:r>
              <w:rPr>
                <w:rFonts w:ascii="Arial" w:hAnsi="Arial" w:cs="Arial"/>
                <w:color w:val="000000"/>
                <w:sz w:val="22"/>
                <w:szCs w:val="22"/>
              </w:rPr>
              <w:t>15.5%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938CA10" w14:textId="77EA08AC" w:rsidR="00A07D7F" w:rsidRPr="00FE69B9" w:rsidRDefault="00A07D7F"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232,317 </w:t>
            </w:r>
          </w:p>
        </w:tc>
        <w:tc>
          <w:tcPr>
            <w:tcW w:w="1276" w:type="dxa"/>
            <w:tcBorders>
              <w:top w:val="nil"/>
              <w:left w:val="nil"/>
              <w:bottom w:val="single" w:sz="4" w:space="0" w:color="auto"/>
              <w:right w:val="single" w:sz="4" w:space="0" w:color="auto"/>
            </w:tcBorders>
            <w:shd w:val="clear" w:color="000000" w:fill="FFFFFF"/>
            <w:noWrap/>
            <w:vAlign w:val="center"/>
          </w:tcPr>
          <w:p w14:paraId="42ACBE0D" w14:textId="5C690545" w:rsidR="00A07D7F" w:rsidRPr="00FE69B9" w:rsidRDefault="00A07D7F" w:rsidP="00B97D9D">
            <w:pPr>
              <w:jc w:val="right"/>
              <w:rPr>
                <w:rFonts w:ascii="Arial" w:hAnsi="Arial" w:cs="Arial"/>
                <w:b/>
                <w:bCs/>
                <w:color w:val="000000"/>
                <w:sz w:val="22"/>
                <w:szCs w:val="22"/>
              </w:rPr>
            </w:pPr>
            <w:r w:rsidRPr="00FE69B9">
              <w:rPr>
                <w:rFonts w:ascii="Arial" w:hAnsi="Arial" w:cs="Arial"/>
                <w:b/>
                <w:bCs/>
                <w:color w:val="000000"/>
                <w:sz w:val="22"/>
                <w:szCs w:val="22"/>
              </w:rPr>
              <w:t>15.4%</w:t>
            </w:r>
          </w:p>
        </w:tc>
      </w:tr>
      <w:tr w:rsidR="00A07D7F" w14:paraId="273DCEBF"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438F888E" w14:textId="6BF25EBF" w:rsidR="00A07D7F" w:rsidRDefault="00267732" w:rsidP="00A07D7F">
            <w:pPr>
              <w:rPr>
                <w:rFonts w:ascii="Arial" w:hAnsi="Arial" w:cs="Arial"/>
                <w:color w:val="000000"/>
                <w:sz w:val="22"/>
                <w:szCs w:val="22"/>
              </w:rPr>
            </w:pPr>
            <w:r w:rsidRPr="00DC5B6E">
              <w:rPr>
                <w:rFonts w:ascii="Arial" w:hAnsi="Arial" w:cs="Arial"/>
                <w:sz w:val="22"/>
                <w:szCs w:val="22"/>
              </w:rPr>
              <w:t xml:space="preserve">Cash deposits held with </w:t>
            </w:r>
            <w:r>
              <w:rPr>
                <w:rFonts w:ascii="Arial" w:hAnsi="Arial" w:cs="Arial"/>
                <w:sz w:val="22"/>
                <w:szCs w:val="22"/>
              </w:rPr>
              <w:t>C</w:t>
            </w:r>
            <w:r w:rsidRPr="00DC5B6E">
              <w:rPr>
                <w:rFonts w:ascii="Arial" w:hAnsi="Arial" w:cs="Arial"/>
                <w:sz w:val="22"/>
                <w:szCs w:val="22"/>
              </w:rPr>
              <w:t>ustodian</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47698B5" w14:textId="79F57EF1" w:rsidR="00A07D7F" w:rsidRPr="00CA7B0A" w:rsidRDefault="00A07D7F" w:rsidP="00B97D9D">
            <w:pPr>
              <w:jc w:val="right"/>
              <w:rPr>
                <w:rFonts w:ascii="Arial" w:hAnsi="Arial" w:cs="Arial"/>
                <w:color w:val="000000"/>
                <w:sz w:val="22"/>
                <w:szCs w:val="22"/>
              </w:rPr>
            </w:pPr>
            <w:r>
              <w:rPr>
                <w:rFonts w:ascii="Arial" w:hAnsi="Arial" w:cs="Arial"/>
                <w:color w:val="000000"/>
                <w:sz w:val="22"/>
                <w:szCs w:val="22"/>
              </w:rPr>
              <w:t>7,426</w:t>
            </w:r>
          </w:p>
        </w:tc>
        <w:tc>
          <w:tcPr>
            <w:tcW w:w="1276" w:type="dxa"/>
            <w:tcBorders>
              <w:top w:val="nil"/>
              <w:left w:val="nil"/>
              <w:bottom w:val="single" w:sz="4" w:space="0" w:color="auto"/>
              <w:right w:val="single" w:sz="4" w:space="0" w:color="auto"/>
            </w:tcBorders>
            <w:shd w:val="clear" w:color="000000" w:fill="FFFFFF"/>
            <w:noWrap/>
            <w:vAlign w:val="center"/>
            <w:hideMark/>
          </w:tcPr>
          <w:p w14:paraId="04CD51E4" w14:textId="49D2C0E4" w:rsidR="00A07D7F" w:rsidRPr="00CA7B0A" w:rsidRDefault="00A07D7F" w:rsidP="00B97D9D">
            <w:pPr>
              <w:jc w:val="right"/>
              <w:rPr>
                <w:rFonts w:ascii="Arial" w:hAnsi="Arial" w:cs="Arial"/>
                <w:color w:val="000000"/>
                <w:sz w:val="22"/>
                <w:szCs w:val="22"/>
              </w:rPr>
            </w:pPr>
            <w:r>
              <w:rPr>
                <w:rFonts w:ascii="Arial" w:hAnsi="Arial" w:cs="Arial"/>
                <w:color w:val="000000"/>
                <w:sz w:val="22"/>
                <w:szCs w:val="22"/>
              </w:rPr>
              <w:t>0.5%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3CB4E4D" w14:textId="738FB954" w:rsidR="00A07D7F" w:rsidRPr="00FE69B9" w:rsidRDefault="00A07D7F"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37,058 </w:t>
            </w:r>
          </w:p>
        </w:tc>
        <w:tc>
          <w:tcPr>
            <w:tcW w:w="1276" w:type="dxa"/>
            <w:tcBorders>
              <w:top w:val="nil"/>
              <w:left w:val="nil"/>
              <w:bottom w:val="single" w:sz="4" w:space="0" w:color="auto"/>
              <w:right w:val="single" w:sz="4" w:space="0" w:color="auto"/>
            </w:tcBorders>
            <w:shd w:val="clear" w:color="000000" w:fill="FFFFFF"/>
            <w:noWrap/>
            <w:vAlign w:val="center"/>
          </w:tcPr>
          <w:p w14:paraId="3987BBD6" w14:textId="4253D994" w:rsidR="00A07D7F" w:rsidRPr="00FE69B9" w:rsidRDefault="00A07D7F" w:rsidP="00B97D9D">
            <w:pPr>
              <w:jc w:val="right"/>
              <w:rPr>
                <w:rFonts w:ascii="Arial" w:hAnsi="Arial" w:cs="Arial"/>
                <w:b/>
                <w:bCs/>
                <w:color w:val="000000"/>
                <w:sz w:val="22"/>
                <w:szCs w:val="22"/>
              </w:rPr>
            </w:pPr>
            <w:r w:rsidRPr="00FE69B9">
              <w:rPr>
                <w:rFonts w:ascii="Arial" w:hAnsi="Arial" w:cs="Arial"/>
                <w:b/>
                <w:bCs/>
                <w:color w:val="000000"/>
                <w:sz w:val="22"/>
                <w:szCs w:val="22"/>
              </w:rPr>
              <w:t>2.5%</w:t>
            </w:r>
          </w:p>
        </w:tc>
      </w:tr>
      <w:tr w:rsidR="00295F31" w14:paraId="09322C2D"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tcPr>
          <w:p w14:paraId="0AFA38DC" w14:textId="6B41E50E" w:rsidR="00295F31" w:rsidRPr="00DC5B6E" w:rsidRDefault="00295F31" w:rsidP="00A07D7F">
            <w:pPr>
              <w:rPr>
                <w:rFonts w:ascii="Arial" w:hAnsi="Arial" w:cs="Arial"/>
                <w:sz w:val="22"/>
                <w:szCs w:val="22"/>
              </w:rPr>
            </w:pPr>
            <w:r>
              <w:rPr>
                <w:rFonts w:ascii="Arial" w:hAnsi="Arial" w:cs="Arial"/>
                <w:color w:val="000000"/>
                <w:sz w:val="22"/>
                <w:szCs w:val="22"/>
              </w:rPr>
              <w:t>Insight</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3C6416BB" w14:textId="18645FE1" w:rsidR="00295F31" w:rsidRDefault="00295F31" w:rsidP="00B97D9D">
            <w:pPr>
              <w:jc w:val="right"/>
              <w:rPr>
                <w:rFonts w:ascii="Arial" w:hAnsi="Arial" w:cs="Arial"/>
                <w:color w:val="000000"/>
                <w:sz w:val="22"/>
                <w:szCs w:val="22"/>
              </w:rPr>
            </w:pPr>
            <w:r>
              <w:rPr>
                <w:rFonts w:ascii="Arial" w:hAnsi="Arial" w:cs="Arial"/>
                <w:color w:val="000000"/>
                <w:sz w:val="22"/>
                <w:szCs w:val="22"/>
              </w:rPr>
              <w:t>75,771</w:t>
            </w:r>
          </w:p>
        </w:tc>
        <w:tc>
          <w:tcPr>
            <w:tcW w:w="1276" w:type="dxa"/>
            <w:tcBorders>
              <w:top w:val="nil"/>
              <w:left w:val="nil"/>
              <w:bottom w:val="single" w:sz="4" w:space="0" w:color="auto"/>
              <w:right w:val="single" w:sz="4" w:space="0" w:color="auto"/>
            </w:tcBorders>
            <w:shd w:val="clear" w:color="000000" w:fill="FFFFFF"/>
            <w:noWrap/>
            <w:vAlign w:val="center"/>
          </w:tcPr>
          <w:p w14:paraId="66C8D05C" w14:textId="6B1D45EA" w:rsidR="00295F31" w:rsidRDefault="00295F31" w:rsidP="00B97D9D">
            <w:pPr>
              <w:jc w:val="right"/>
              <w:rPr>
                <w:rFonts w:ascii="Arial" w:hAnsi="Arial" w:cs="Arial"/>
                <w:color w:val="000000"/>
                <w:sz w:val="22"/>
                <w:szCs w:val="22"/>
              </w:rPr>
            </w:pPr>
            <w:r>
              <w:rPr>
                <w:rFonts w:ascii="Arial" w:hAnsi="Arial" w:cs="Arial"/>
                <w:color w:val="000000"/>
                <w:sz w:val="22"/>
                <w:szCs w:val="22"/>
              </w:rPr>
              <w:t>5.2%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0EE3DC0" w14:textId="7D78322B" w:rsidR="00295F31" w:rsidRPr="00FE69B9" w:rsidRDefault="00295F31" w:rsidP="00B97D9D">
            <w:pPr>
              <w:jc w:val="right"/>
              <w:rPr>
                <w:rFonts w:ascii="Arial" w:hAnsi="Arial" w:cs="Arial"/>
                <w:b/>
                <w:bCs/>
                <w:color w:val="000000"/>
                <w:sz w:val="22"/>
                <w:szCs w:val="22"/>
              </w:rPr>
            </w:pPr>
            <w:r w:rsidRPr="00FE69B9">
              <w:rPr>
                <w:rFonts w:ascii="Arial" w:hAnsi="Arial" w:cs="Arial"/>
                <w:b/>
                <w:bCs/>
                <w:color w:val="000000"/>
                <w:sz w:val="22"/>
                <w:szCs w:val="22"/>
              </w:rPr>
              <w:t>81,567</w:t>
            </w:r>
          </w:p>
        </w:tc>
        <w:tc>
          <w:tcPr>
            <w:tcW w:w="1276" w:type="dxa"/>
            <w:tcBorders>
              <w:top w:val="nil"/>
              <w:left w:val="nil"/>
              <w:bottom w:val="single" w:sz="4" w:space="0" w:color="auto"/>
              <w:right w:val="single" w:sz="4" w:space="0" w:color="auto"/>
            </w:tcBorders>
            <w:shd w:val="clear" w:color="000000" w:fill="FFFFFF"/>
            <w:noWrap/>
            <w:vAlign w:val="center"/>
          </w:tcPr>
          <w:p w14:paraId="0EC3D0E9" w14:textId="1569E740" w:rsidR="00295F31" w:rsidRPr="00FE69B9" w:rsidRDefault="00295F31" w:rsidP="00B97D9D">
            <w:pPr>
              <w:jc w:val="right"/>
              <w:rPr>
                <w:rFonts w:ascii="Arial" w:hAnsi="Arial" w:cs="Arial"/>
                <w:b/>
                <w:bCs/>
                <w:color w:val="000000"/>
                <w:sz w:val="22"/>
                <w:szCs w:val="22"/>
              </w:rPr>
            </w:pPr>
            <w:r w:rsidRPr="00FE69B9">
              <w:rPr>
                <w:rFonts w:ascii="Arial" w:hAnsi="Arial" w:cs="Arial"/>
                <w:b/>
                <w:bCs/>
                <w:color w:val="000000"/>
                <w:sz w:val="22"/>
                <w:szCs w:val="22"/>
              </w:rPr>
              <w:t>5.4%</w:t>
            </w:r>
          </w:p>
        </w:tc>
      </w:tr>
      <w:tr w:rsidR="008E1CC6" w14:paraId="78B3B396" w14:textId="77777777" w:rsidTr="00295F31">
        <w:trPr>
          <w:trHeight w:val="266"/>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B330C" w14:textId="0AC5AF96" w:rsidR="008E1CC6" w:rsidRDefault="008E1CC6" w:rsidP="008E1CC6">
            <w:pPr>
              <w:rPr>
                <w:rFonts w:ascii="Arial" w:hAnsi="Arial" w:cs="Arial"/>
                <w:color w:val="000000"/>
                <w:sz w:val="22"/>
                <w:szCs w:val="22"/>
              </w:rPr>
            </w:pPr>
            <w:r>
              <w:rPr>
                <w:rFonts w:ascii="Arial" w:hAnsi="Arial" w:cs="Arial"/>
                <w:color w:val="000000"/>
                <w:sz w:val="22"/>
                <w:szCs w:val="22"/>
              </w:rPr>
              <w:t>UBS Passive Bonds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EC247A7" w14:textId="72E8BB32" w:rsidR="008E1CC6" w:rsidRPr="00CA7B0A" w:rsidRDefault="008E1CC6" w:rsidP="00B97D9D">
            <w:pPr>
              <w:jc w:val="right"/>
              <w:rPr>
                <w:rFonts w:ascii="Arial" w:hAnsi="Arial" w:cs="Arial"/>
                <w:color w:val="000000"/>
                <w:sz w:val="22"/>
                <w:szCs w:val="22"/>
              </w:rPr>
            </w:pPr>
            <w:r>
              <w:rPr>
                <w:rFonts w:ascii="Arial" w:hAnsi="Arial" w:cs="Arial"/>
                <w:color w:val="000000"/>
                <w:sz w:val="22"/>
                <w:szCs w:val="22"/>
              </w:rPr>
              <w:t>43,576</w:t>
            </w:r>
          </w:p>
        </w:tc>
        <w:tc>
          <w:tcPr>
            <w:tcW w:w="1276" w:type="dxa"/>
            <w:tcBorders>
              <w:top w:val="nil"/>
              <w:left w:val="nil"/>
              <w:bottom w:val="single" w:sz="4" w:space="0" w:color="auto"/>
              <w:right w:val="single" w:sz="4" w:space="0" w:color="auto"/>
            </w:tcBorders>
            <w:shd w:val="clear" w:color="000000" w:fill="FFFFFF"/>
            <w:noWrap/>
            <w:vAlign w:val="center"/>
            <w:hideMark/>
          </w:tcPr>
          <w:p w14:paraId="4E43818C" w14:textId="13019EA2" w:rsidR="008E1CC6" w:rsidRPr="00CA7B0A" w:rsidRDefault="008E1CC6" w:rsidP="00B97D9D">
            <w:pPr>
              <w:jc w:val="right"/>
              <w:rPr>
                <w:rFonts w:ascii="Arial" w:hAnsi="Arial" w:cs="Arial"/>
                <w:color w:val="000000"/>
                <w:sz w:val="22"/>
                <w:szCs w:val="22"/>
              </w:rPr>
            </w:pPr>
            <w:r>
              <w:rPr>
                <w:rFonts w:ascii="Arial" w:hAnsi="Arial" w:cs="Arial"/>
                <w:color w:val="000000"/>
                <w:sz w:val="22"/>
                <w:szCs w:val="22"/>
              </w:rPr>
              <w:t>3.0%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ECDB453" w14:textId="11AD3986" w:rsidR="008E1CC6" w:rsidRPr="00FE69B9" w:rsidRDefault="008E1CC6"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43,079 </w:t>
            </w:r>
          </w:p>
        </w:tc>
        <w:tc>
          <w:tcPr>
            <w:tcW w:w="1276" w:type="dxa"/>
            <w:tcBorders>
              <w:top w:val="nil"/>
              <w:left w:val="nil"/>
              <w:bottom w:val="single" w:sz="4" w:space="0" w:color="auto"/>
              <w:right w:val="single" w:sz="4" w:space="0" w:color="auto"/>
            </w:tcBorders>
            <w:shd w:val="clear" w:color="000000" w:fill="FFFFFF"/>
            <w:noWrap/>
            <w:vAlign w:val="center"/>
          </w:tcPr>
          <w:p w14:paraId="048B8D2D" w14:textId="0E61BBEC" w:rsidR="008E1CC6" w:rsidRPr="00FE69B9" w:rsidRDefault="008E1CC6" w:rsidP="00B97D9D">
            <w:pPr>
              <w:jc w:val="right"/>
              <w:rPr>
                <w:rFonts w:ascii="Arial" w:hAnsi="Arial" w:cs="Arial"/>
                <w:b/>
                <w:bCs/>
                <w:color w:val="000000"/>
                <w:sz w:val="22"/>
                <w:szCs w:val="22"/>
              </w:rPr>
            </w:pPr>
            <w:r w:rsidRPr="00FE69B9">
              <w:rPr>
                <w:rFonts w:ascii="Arial" w:hAnsi="Arial" w:cs="Arial"/>
                <w:b/>
                <w:bCs/>
                <w:color w:val="000000"/>
                <w:sz w:val="22"/>
                <w:szCs w:val="22"/>
              </w:rPr>
              <w:t>2.9%</w:t>
            </w:r>
          </w:p>
        </w:tc>
      </w:tr>
      <w:tr w:rsidR="008E1CC6" w14:paraId="1AE5D04B" w14:textId="77777777" w:rsidTr="00295F31">
        <w:trPr>
          <w:trHeight w:val="266"/>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20FD8332" w14:textId="2AE23B4E" w:rsidR="008E1CC6" w:rsidRDefault="008E1CC6" w:rsidP="008E1CC6">
            <w:pPr>
              <w:rPr>
                <w:rFonts w:ascii="Arial" w:hAnsi="Arial" w:cs="Arial"/>
                <w:color w:val="000000"/>
                <w:sz w:val="22"/>
                <w:szCs w:val="22"/>
              </w:rPr>
            </w:pPr>
            <w:r>
              <w:rPr>
                <w:rFonts w:ascii="Arial" w:hAnsi="Arial" w:cs="Arial"/>
                <w:color w:val="000000"/>
                <w:sz w:val="22"/>
                <w:szCs w:val="22"/>
              </w:rPr>
              <w:t>UBS Passive Equity</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89ED8D3" w14:textId="1BC67E94" w:rsidR="008E1CC6" w:rsidRPr="00CA7B0A" w:rsidRDefault="008E1CC6" w:rsidP="00B97D9D">
            <w:pPr>
              <w:jc w:val="right"/>
              <w:rPr>
                <w:rFonts w:ascii="Arial" w:hAnsi="Arial" w:cs="Arial"/>
                <w:color w:val="000000"/>
                <w:sz w:val="22"/>
                <w:szCs w:val="22"/>
              </w:rPr>
            </w:pPr>
            <w:r>
              <w:rPr>
                <w:rFonts w:ascii="Arial" w:hAnsi="Arial" w:cs="Arial"/>
                <w:color w:val="000000"/>
                <w:sz w:val="22"/>
                <w:szCs w:val="22"/>
              </w:rPr>
              <w:t>327,923</w:t>
            </w:r>
          </w:p>
        </w:tc>
        <w:tc>
          <w:tcPr>
            <w:tcW w:w="1276" w:type="dxa"/>
            <w:tcBorders>
              <w:top w:val="nil"/>
              <w:left w:val="nil"/>
              <w:bottom w:val="single" w:sz="4" w:space="0" w:color="auto"/>
              <w:right w:val="single" w:sz="4" w:space="0" w:color="auto"/>
            </w:tcBorders>
            <w:shd w:val="clear" w:color="000000" w:fill="FFFFFF"/>
            <w:noWrap/>
            <w:vAlign w:val="center"/>
            <w:hideMark/>
          </w:tcPr>
          <w:p w14:paraId="40F0F151" w14:textId="03202381" w:rsidR="008E1CC6" w:rsidRPr="00CA7B0A" w:rsidRDefault="008E1CC6" w:rsidP="00B97D9D">
            <w:pPr>
              <w:jc w:val="right"/>
              <w:rPr>
                <w:rFonts w:ascii="Arial" w:hAnsi="Arial" w:cs="Arial"/>
                <w:color w:val="000000"/>
                <w:sz w:val="22"/>
                <w:szCs w:val="22"/>
              </w:rPr>
            </w:pPr>
            <w:r>
              <w:rPr>
                <w:rFonts w:ascii="Arial" w:hAnsi="Arial" w:cs="Arial"/>
                <w:color w:val="000000"/>
                <w:sz w:val="22"/>
                <w:szCs w:val="22"/>
              </w:rPr>
              <w:t>22.7%</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6668205" w14:textId="6BF18690" w:rsidR="008E1CC6" w:rsidRPr="00FE69B9" w:rsidRDefault="008E1CC6" w:rsidP="00B97D9D">
            <w:pPr>
              <w:jc w:val="right"/>
              <w:rPr>
                <w:rFonts w:ascii="Arial" w:hAnsi="Arial" w:cs="Arial"/>
                <w:b/>
                <w:bCs/>
                <w:color w:val="000000"/>
                <w:sz w:val="22"/>
                <w:szCs w:val="22"/>
              </w:rPr>
            </w:pPr>
            <w:r w:rsidRPr="00FE69B9">
              <w:rPr>
                <w:rFonts w:ascii="Arial" w:hAnsi="Arial" w:cs="Arial"/>
                <w:b/>
                <w:bCs/>
                <w:color w:val="000000"/>
                <w:sz w:val="22"/>
                <w:szCs w:val="22"/>
              </w:rPr>
              <w:t xml:space="preserve">      351,421 </w:t>
            </w:r>
          </w:p>
        </w:tc>
        <w:tc>
          <w:tcPr>
            <w:tcW w:w="1276" w:type="dxa"/>
            <w:tcBorders>
              <w:top w:val="nil"/>
              <w:left w:val="nil"/>
              <w:bottom w:val="single" w:sz="4" w:space="0" w:color="auto"/>
              <w:right w:val="single" w:sz="4" w:space="0" w:color="auto"/>
            </w:tcBorders>
            <w:shd w:val="clear" w:color="000000" w:fill="FFFFFF"/>
            <w:noWrap/>
            <w:vAlign w:val="center"/>
          </w:tcPr>
          <w:p w14:paraId="5596F29A" w14:textId="03F367C8" w:rsidR="008E1CC6" w:rsidRPr="00FE69B9" w:rsidRDefault="008E1CC6" w:rsidP="00B97D9D">
            <w:pPr>
              <w:jc w:val="right"/>
              <w:rPr>
                <w:rFonts w:ascii="Arial" w:hAnsi="Arial" w:cs="Arial"/>
                <w:b/>
                <w:bCs/>
                <w:color w:val="000000"/>
                <w:sz w:val="22"/>
                <w:szCs w:val="22"/>
              </w:rPr>
            </w:pPr>
            <w:r w:rsidRPr="00FE69B9">
              <w:rPr>
                <w:rFonts w:ascii="Arial" w:hAnsi="Arial" w:cs="Arial"/>
                <w:b/>
                <w:bCs/>
                <w:color w:val="000000"/>
                <w:sz w:val="22"/>
                <w:szCs w:val="22"/>
              </w:rPr>
              <w:t>23.3%</w:t>
            </w:r>
          </w:p>
        </w:tc>
      </w:tr>
      <w:tr w:rsidR="004535A8" w14:paraId="16CA19B5"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51CEAD42" w14:textId="77777777" w:rsidR="004535A8" w:rsidRDefault="004535A8" w:rsidP="004535A8">
            <w:pPr>
              <w:rPr>
                <w:rFonts w:ascii="Arial" w:hAnsi="Arial" w:cs="Arial"/>
                <w:color w:val="000000"/>
                <w:sz w:val="22"/>
                <w:szCs w:val="22"/>
              </w:rPr>
            </w:pPr>
            <w:r>
              <w:rPr>
                <w:rFonts w:ascii="Arial" w:hAnsi="Arial" w:cs="Arial"/>
                <w:color w:val="000000"/>
                <w:sz w:val="22"/>
                <w:szCs w:val="22"/>
              </w:rPr>
              <w:t>Pending Trade Sales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0D997DE" w14:textId="1A6151A3" w:rsidR="004535A8" w:rsidRPr="00CA7B0A" w:rsidRDefault="004535A8" w:rsidP="00B97D9D">
            <w:pPr>
              <w:jc w:val="right"/>
              <w:rPr>
                <w:rFonts w:ascii="Arial" w:hAnsi="Arial" w:cs="Arial"/>
                <w:color w:val="000000"/>
                <w:sz w:val="22"/>
                <w:szCs w:val="22"/>
              </w:rPr>
            </w:pPr>
            <w:r>
              <w:rPr>
                <w:rFonts w:ascii="Arial" w:hAnsi="Arial" w:cs="Arial"/>
                <w:color w:val="000000"/>
                <w:sz w:val="22"/>
                <w:szCs w:val="22"/>
              </w:rPr>
              <w:t>2,148</w:t>
            </w:r>
          </w:p>
        </w:tc>
        <w:tc>
          <w:tcPr>
            <w:tcW w:w="1276" w:type="dxa"/>
            <w:tcBorders>
              <w:top w:val="nil"/>
              <w:left w:val="nil"/>
              <w:bottom w:val="single" w:sz="4" w:space="0" w:color="auto"/>
              <w:right w:val="single" w:sz="4" w:space="0" w:color="auto"/>
            </w:tcBorders>
            <w:shd w:val="clear" w:color="000000" w:fill="FFFFFF"/>
            <w:noWrap/>
            <w:vAlign w:val="center"/>
            <w:hideMark/>
          </w:tcPr>
          <w:p w14:paraId="36A3DFCA" w14:textId="7B067509" w:rsidR="004535A8" w:rsidRPr="00CA7B0A" w:rsidRDefault="004535A8" w:rsidP="00B97D9D">
            <w:pPr>
              <w:jc w:val="right"/>
              <w:rPr>
                <w:rFonts w:ascii="Arial" w:hAnsi="Arial" w:cs="Arial"/>
                <w:color w:val="000000"/>
                <w:sz w:val="22"/>
                <w:szCs w:val="22"/>
              </w:rPr>
            </w:pPr>
            <w:r>
              <w:rPr>
                <w:rFonts w:ascii="Arial" w:hAnsi="Arial" w:cs="Arial"/>
                <w:color w:val="000000"/>
                <w:sz w:val="22"/>
                <w:szCs w:val="22"/>
              </w:rPr>
              <w:t>0.1%</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7CD0E71" w14:textId="3EE27673" w:rsidR="004535A8" w:rsidRPr="00FE69B9" w:rsidRDefault="002872F0" w:rsidP="00B97D9D">
            <w:pPr>
              <w:jc w:val="right"/>
              <w:rPr>
                <w:rFonts w:ascii="Arial" w:hAnsi="Arial" w:cs="Arial"/>
                <w:b/>
                <w:bCs/>
                <w:color w:val="000000"/>
                <w:sz w:val="22"/>
                <w:szCs w:val="22"/>
              </w:rPr>
            </w:pPr>
            <w:r>
              <w:rPr>
                <w:rFonts w:ascii="Arial" w:hAnsi="Arial" w:cs="Arial"/>
                <w:b/>
                <w:bCs/>
                <w:color w:val="000000"/>
                <w:sz w:val="22"/>
                <w:szCs w:val="22"/>
              </w:rPr>
              <w:t>-</w:t>
            </w:r>
            <w:r w:rsidR="004535A8" w:rsidRPr="00FE69B9">
              <w:rPr>
                <w:rFonts w:ascii="Arial" w:hAnsi="Arial" w:cs="Arial"/>
                <w:b/>
                <w:bCs/>
                <w:color w:val="00000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14:paraId="20AFE3FD" w14:textId="36C1F3EE" w:rsidR="004535A8" w:rsidRPr="00FE69B9" w:rsidRDefault="004535A8" w:rsidP="00B97D9D">
            <w:pPr>
              <w:jc w:val="right"/>
              <w:rPr>
                <w:rFonts w:ascii="Arial" w:hAnsi="Arial" w:cs="Arial"/>
                <w:b/>
                <w:bCs/>
                <w:color w:val="000000"/>
                <w:sz w:val="22"/>
                <w:szCs w:val="22"/>
              </w:rPr>
            </w:pPr>
            <w:r w:rsidRPr="00FE69B9">
              <w:rPr>
                <w:rFonts w:ascii="Arial" w:hAnsi="Arial" w:cs="Arial"/>
                <w:b/>
                <w:bCs/>
                <w:color w:val="000000"/>
                <w:sz w:val="22"/>
                <w:szCs w:val="22"/>
              </w:rPr>
              <w:t>0.0%</w:t>
            </w:r>
          </w:p>
        </w:tc>
      </w:tr>
      <w:tr w:rsidR="004535A8" w14:paraId="074E2213" w14:textId="77777777" w:rsidTr="00295F31">
        <w:trPr>
          <w:trHeight w:val="255"/>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72A75C11" w14:textId="77777777" w:rsidR="004535A8" w:rsidRDefault="004535A8" w:rsidP="004535A8">
            <w:pPr>
              <w:rPr>
                <w:rFonts w:ascii="Arial" w:hAnsi="Arial" w:cs="Arial"/>
                <w:b/>
                <w:bCs/>
                <w:color w:val="000000"/>
                <w:sz w:val="22"/>
                <w:szCs w:val="22"/>
              </w:rPr>
            </w:pPr>
            <w:r>
              <w:rPr>
                <w:rFonts w:ascii="Arial" w:hAnsi="Arial" w:cs="Arial"/>
                <w:b/>
                <w:bCs/>
                <w:color w:val="000000"/>
                <w:sz w:val="22"/>
                <w:szCs w:val="22"/>
              </w:rPr>
              <w:t>Total</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1983DA56" w14:textId="50750E9A" w:rsidR="004535A8" w:rsidRPr="00FE69B9" w:rsidRDefault="004535A8" w:rsidP="004535A8">
            <w:pPr>
              <w:jc w:val="right"/>
              <w:rPr>
                <w:rFonts w:ascii="Arial" w:hAnsi="Arial" w:cs="Arial"/>
                <w:color w:val="000000"/>
                <w:sz w:val="22"/>
                <w:szCs w:val="22"/>
              </w:rPr>
            </w:pPr>
            <w:r w:rsidRPr="00FE69B9">
              <w:rPr>
                <w:rFonts w:ascii="Arial" w:hAnsi="Arial" w:cs="Arial"/>
                <w:color w:val="000000"/>
                <w:sz w:val="22"/>
                <w:szCs w:val="22"/>
              </w:rPr>
              <w:t>1,447,108</w:t>
            </w:r>
          </w:p>
        </w:tc>
        <w:tc>
          <w:tcPr>
            <w:tcW w:w="1276" w:type="dxa"/>
            <w:tcBorders>
              <w:top w:val="nil"/>
              <w:left w:val="nil"/>
              <w:bottom w:val="single" w:sz="4" w:space="0" w:color="auto"/>
              <w:right w:val="single" w:sz="4" w:space="0" w:color="auto"/>
            </w:tcBorders>
            <w:shd w:val="clear" w:color="000000" w:fill="FFFFFF"/>
            <w:noWrap/>
            <w:vAlign w:val="center"/>
            <w:hideMark/>
          </w:tcPr>
          <w:p w14:paraId="725BC6EB" w14:textId="574D748D" w:rsidR="004535A8" w:rsidRPr="00FE69B9" w:rsidRDefault="004535A8" w:rsidP="004535A8">
            <w:pPr>
              <w:jc w:val="right"/>
              <w:rPr>
                <w:rFonts w:ascii="Arial" w:hAnsi="Arial" w:cs="Arial"/>
                <w:color w:val="000000"/>
                <w:sz w:val="22"/>
                <w:szCs w:val="22"/>
              </w:rPr>
            </w:pPr>
            <w:r w:rsidRPr="00FE69B9">
              <w:rPr>
                <w:rFonts w:ascii="Arial" w:hAnsi="Arial" w:cs="Arial"/>
                <w:color w:val="000000"/>
                <w:sz w:val="22"/>
                <w:szCs w:val="22"/>
              </w:rPr>
              <w:t>100.00%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5EB0F9F" w14:textId="517D2282" w:rsidR="004535A8" w:rsidRPr="00FE69B9" w:rsidRDefault="004535A8" w:rsidP="004535A8">
            <w:pPr>
              <w:jc w:val="right"/>
              <w:rPr>
                <w:rFonts w:ascii="Arial" w:hAnsi="Arial" w:cs="Arial"/>
                <w:b/>
                <w:bCs/>
                <w:color w:val="000000"/>
                <w:sz w:val="22"/>
                <w:szCs w:val="22"/>
              </w:rPr>
            </w:pPr>
            <w:r w:rsidRPr="00FE69B9">
              <w:rPr>
                <w:rFonts w:ascii="Arial" w:hAnsi="Arial" w:cs="Arial"/>
                <w:b/>
                <w:bCs/>
                <w:color w:val="000000"/>
                <w:sz w:val="22"/>
                <w:szCs w:val="22"/>
              </w:rPr>
              <w:t>1,511,093</w:t>
            </w:r>
          </w:p>
        </w:tc>
        <w:tc>
          <w:tcPr>
            <w:tcW w:w="1276" w:type="dxa"/>
            <w:tcBorders>
              <w:top w:val="nil"/>
              <w:left w:val="nil"/>
              <w:bottom w:val="single" w:sz="4" w:space="0" w:color="auto"/>
              <w:right w:val="single" w:sz="4" w:space="0" w:color="auto"/>
            </w:tcBorders>
            <w:shd w:val="clear" w:color="000000" w:fill="FFFFFF"/>
            <w:noWrap/>
            <w:vAlign w:val="center"/>
          </w:tcPr>
          <w:p w14:paraId="65C3101D" w14:textId="48A1B489" w:rsidR="004535A8" w:rsidRPr="00FE69B9" w:rsidRDefault="004535A8" w:rsidP="004535A8">
            <w:pPr>
              <w:jc w:val="right"/>
              <w:rPr>
                <w:rFonts w:ascii="Arial" w:hAnsi="Arial" w:cs="Arial"/>
                <w:b/>
                <w:bCs/>
                <w:color w:val="000000"/>
                <w:sz w:val="22"/>
                <w:szCs w:val="22"/>
              </w:rPr>
            </w:pPr>
            <w:r w:rsidRPr="00FE69B9">
              <w:rPr>
                <w:rFonts w:ascii="Arial" w:hAnsi="Arial" w:cs="Arial"/>
                <w:b/>
                <w:bCs/>
                <w:color w:val="000000"/>
                <w:sz w:val="22"/>
                <w:szCs w:val="22"/>
              </w:rPr>
              <w:t>100%</w:t>
            </w:r>
          </w:p>
        </w:tc>
      </w:tr>
    </w:tbl>
    <w:p w14:paraId="26AD26B2" w14:textId="77777777" w:rsidR="00FB243B" w:rsidRDefault="00FB243B" w:rsidP="00C920E9">
      <w:pPr>
        <w:tabs>
          <w:tab w:val="left" w:pos="426"/>
          <w:tab w:val="left" w:pos="1134"/>
        </w:tabs>
        <w:jc w:val="both"/>
        <w:rPr>
          <w:rFonts w:ascii="Arial" w:hAnsi="Arial" w:cs="Arial"/>
        </w:rPr>
      </w:pPr>
    </w:p>
    <w:p w14:paraId="5259EC37" w14:textId="442F232A" w:rsidR="003C45DA" w:rsidRPr="008A0A4E" w:rsidRDefault="003C45DA" w:rsidP="003C45DA">
      <w:pPr>
        <w:pStyle w:val="ListParagraph"/>
        <w:numPr>
          <w:ilvl w:val="0"/>
          <w:numId w:val="24"/>
        </w:numPr>
        <w:tabs>
          <w:tab w:val="left" w:pos="426"/>
          <w:tab w:val="left" w:pos="1134"/>
        </w:tabs>
        <w:ind w:left="502"/>
        <w:jc w:val="both"/>
        <w:rPr>
          <w:rFonts w:ascii="Arial" w:hAnsi="Arial" w:cs="Arial"/>
        </w:rPr>
      </w:pPr>
      <w:r w:rsidRPr="008A0A4E">
        <w:rPr>
          <w:rFonts w:ascii="Arial" w:hAnsi="Arial" w:cs="Arial"/>
          <w:b/>
        </w:rPr>
        <w:t>Cash</w:t>
      </w:r>
      <w:r w:rsidR="00E86E13">
        <w:rPr>
          <w:rFonts w:ascii="Arial" w:hAnsi="Arial" w:cs="Arial"/>
          <w:b/>
        </w:rPr>
        <w:t xml:space="preserve"> and cash equivalents</w:t>
      </w:r>
    </w:p>
    <w:p w14:paraId="5EC7E7AD" w14:textId="11DD921E" w:rsidR="003C45DA" w:rsidRPr="008A0A4E" w:rsidRDefault="003C45DA" w:rsidP="003C45DA">
      <w:pPr>
        <w:ind w:left="426"/>
        <w:rPr>
          <w:rFonts w:ascii="Arial" w:hAnsi="Arial" w:cs="Arial"/>
          <w:sz w:val="22"/>
          <w:szCs w:val="22"/>
        </w:rPr>
      </w:pPr>
      <w:r w:rsidRPr="008A0A4E">
        <w:rPr>
          <w:rFonts w:ascii="Arial" w:hAnsi="Arial" w:cs="Arial"/>
          <w:sz w:val="22"/>
          <w:szCs w:val="22"/>
        </w:rPr>
        <w:t xml:space="preserve">The cash balance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90182A" w:rsidRPr="008A0A4E">
        <w:rPr>
          <w:rFonts w:ascii="Arial" w:hAnsi="Arial" w:cs="Arial"/>
          <w:sz w:val="22"/>
          <w:szCs w:val="22"/>
        </w:rPr>
        <w:t>2</w:t>
      </w:r>
      <w:r w:rsidR="00E56356">
        <w:rPr>
          <w:rFonts w:ascii="Arial" w:hAnsi="Arial" w:cs="Arial"/>
          <w:sz w:val="22"/>
          <w:szCs w:val="22"/>
        </w:rPr>
        <w:t>5</w:t>
      </w:r>
      <w:r w:rsidRPr="008A0A4E">
        <w:rPr>
          <w:rFonts w:ascii="Arial" w:hAnsi="Arial" w:cs="Arial"/>
          <w:sz w:val="22"/>
          <w:szCs w:val="22"/>
        </w:rPr>
        <w:t xml:space="preserve"> is made up as follows:</w:t>
      </w:r>
    </w:p>
    <w:p w14:paraId="360FAEB1" w14:textId="77777777" w:rsidR="003C45DA" w:rsidRPr="008A0A4E" w:rsidRDefault="003C45DA" w:rsidP="003C45DA">
      <w:pPr>
        <w:ind w:left="426"/>
        <w:rPr>
          <w:rFonts w:ascii="Arial" w:hAnsi="Arial" w:cs="Arial"/>
          <w:sz w:val="22"/>
          <w:szCs w:val="22"/>
        </w:rPr>
      </w:pPr>
    </w:p>
    <w:tbl>
      <w:tblPr>
        <w:tblW w:w="9214" w:type="dxa"/>
        <w:jc w:val="center"/>
        <w:tblLayout w:type="fixed"/>
        <w:tblLook w:val="00A0" w:firstRow="1" w:lastRow="0" w:firstColumn="1" w:lastColumn="0" w:noHBand="0" w:noVBand="0"/>
      </w:tblPr>
      <w:tblGrid>
        <w:gridCol w:w="5132"/>
        <w:gridCol w:w="822"/>
        <w:gridCol w:w="1417"/>
        <w:gridCol w:w="259"/>
        <w:gridCol w:w="1584"/>
      </w:tblGrid>
      <w:tr w:rsidR="003C45DA" w:rsidRPr="00B64150" w14:paraId="160640B0" w14:textId="77777777" w:rsidTr="003D5DCD">
        <w:trPr>
          <w:trHeight w:val="135"/>
          <w:jc w:val="center"/>
        </w:trPr>
        <w:tc>
          <w:tcPr>
            <w:tcW w:w="5954" w:type="dxa"/>
            <w:gridSpan w:val="2"/>
            <w:tcBorders>
              <w:top w:val="nil"/>
              <w:left w:val="nil"/>
              <w:bottom w:val="nil"/>
              <w:right w:val="nil"/>
            </w:tcBorders>
            <w:vAlign w:val="center"/>
          </w:tcPr>
          <w:p w14:paraId="12AD83C9" w14:textId="73463157" w:rsidR="003C45DA" w:rsidRPr="008A0A4E" w:rsidRDefault="003C45DA" w:rsidP="004D0E98">
            <w:pPr>
              <w:ind w:left="326"/>
              <w:rPr>
                <w:rFonts w:ascii="Arial" w:hAnsi="Arial" w:cs="Arial"/>
                <w:b/>
                <w:bCs/>
                <w:color w:val="000000"/>
                <w:sz w:val="22"/>
                <w:szCs w:val="22"/>
              </w:rPr>
            </w:pPr>
          </w:p>
        </w:tc>
        <w:tc>
          <w:tcPr>
            <w:tcW w:w="1417" w:type="dxa"/>
            <w:tcBorders>
              <w:top w:val="nil"/>
              <w:left w:val="nil"/>
              <w:bottom w:val="nil"/>
              <w:right w:val="nil"/>
            </w:tcBorders>
            <w:vAlign w:val="center"/>
          </w:tcPr>
          <w:p w14:paraId="25A57470" w14:textId="0F5F0270" w:rsidR="003C45DA" w:rsidRPr="004A3AC2" w:rsidRDefault="003D5DCD" w:rsidP="00DF3ECC">
            <w:pPr>
              <w:jc w:val="center"/>
              <w:rPr>
                <w:rFonts w:ascii="Arial" w:hAnsi="Arial" w:cs="Arial"/>
                <w:b/>
                <w:color w:val="000000"/>
                <w:sz w:val="22"/>
                <w:szCs w:val="22"/>
              </w:rPr>
            </w:pPr>
            <w:r w:rsidRPr="004A3AC2">
              <w:rPr>
                <w:rFonts w:ascii="Arial" w:hAnsi="Arial" w:cs="Arial"/>
                <w:b/>
                <w:color w:val="000000"/>
                <w:sz w:val="22"/>
                <w:szCs w:val="22"/>
              </w:rPr>
              <w:t>31 March 2024</w:t>
            </w:r>
          </w:p>
        </w:tc>
        <w:tc>
          <w:tcPr>
            <w:tcW w:w="259" w:type="dxa"/>
            <w:tcBorders>
              <w:top w:val="nil"/>
              <w:left w:val="nil"/>
              <w:bottom w:val="nil"/>
              <w:right w:val="nil"/>
            </w:tcBorders>
            <w:vAlign w:val="center"/>
          </w:tcPr>
          <w:p w14:paraId="5770ABED" w14:textId="77777777" w:rsidR="003C45DA" w:rsidRPr="008A0A4E" w:rsidRDefault="003C45DA" w:rsidP="00DF3ECC">
            <w:pPr>
              <w:jc w:val="center"/>
              <w:rPr>
                <w:rFonts w:ascii="Arial" w:hAnsi="Arial" w:cs="Arial"/>
                <w:color w:val="000000"/>
                <w:sz w:val="22"/>
                <w:szCs w:val="22"/>
              </w:rPr>
            </w:pPr>
          </w:p>
        </w:tc>
        <w:tc>
          <w:tcPr>
            <w:tcW w:w="1584" w:type="dxa"/>
            <w:tcBorders>
              <w:top w:val="nil"/>
              <w:left w:val="nil"/>
              <w:bottom w:val="nil"/>
              <w:right w:val="nil"/>
            </w:tcBorders>
            <w:vAlign w:val="bottom"/>
          </w:tcPr>
          <w:p w14:paraId="188088A1" w14:textId="6965F4B8" w:rsidR="003C45DA" w:rsidRPr="008A0A4E" w:rsidRDefault="003D5DCD" w:rsidP="003D5DCD">
            <w:pPr>
              <w:ind w:left="67" w:right="262"/>
              <w:jc w:val="center"/>
              <w:rPr>
                <w:rFonts w:ascii="Arial" w:hAnsi="Arial" w:cs="Arial"/>
                <w:color w:val="000000"/>
                <w:sz w:val="22"/>
                <w:szCs w:val="22"/>
              </w:rPr>
            </w:pPr>
            <w:r>
              <w:rPr>
                <w:rFonts w:ascii="Arial" w:hAnsi="Arial" w:cs="Arial"/>
                <w:b/>
                <w:bCs/>
                <w:color w:val="000000"/>
                <w:sz w:val="22"/>
                <w:szCs w:val="22"/>
              </w:rPr>
              <w:t>31 March 2025</w:t>
            </w:r>
          </w:p>
        </w:tc>
      </w:tr>
      <w:tr w:rsidR="003C45DA" w:rsidRPr="00B64150" w14:paraId="1F3A33BA" w14:textId="77777777" w:rsidTr="003D5DCD">
        <w:trPr>
          <w:trHeight w:val="135"/>
          <w:jc w:val="center"/>
        </w:trPr>
        <w:tc>
          <w:tcPr>
            <w:tcW w:w="5954" w:type="dxa"/>
            <w:gridSpan w:val="2"/>
            <w:tcBorders>
              <w:top w:val="nil"/>
              <w:left w:val="nil"/>
              <w:bottom w:val="nil"/>
              <w:right w:val="nil"/>
            </w:tcBorders>
            <w:vAlign w:val="center"/>
          </w:tcPr>
          <w:p w14:paraId="08EC5C42" w14:textId="35A89498" w:rsidR="003C45DA" w:rsidRPr="008A0A4E" w:rsidRDefault="003C45DA" w:rsidP="004D0E98">
            <w:pPr>
              <w:ind w:left="326"/>
              <w:rPr>
                <w:rFonts w:ascii="Arial" w:hAnsi="Arial" w:cs="Arial"/>
                <w:color w:val="000000"/>
                <w:sz w:val="22"/>
                <w:szCs w:val="22"/>
              </w:rPr>
            </w:pPr>
          </w:p>
        </w:tc>
        <w:tc>
          <w:tcPr>
            <w:tcW w:w="1417" w:type="dxa"/>
            <w:tcBorders>
              <w:top w:val="nil"/>
              <w:left w:val="nil"/>
              <w:bottom w:val="nil"/>
              <w:right w:val="nil"/>
            </w:tcBorders>
            <w:vAlign w:val="center"/>
          </w:tcPr>
          <w:p w14:paraId="6E9C0BEB"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£000</w:t>
            </w:r>
          </w:p>
        </w:tc>
        <w:tc>
          <w:tcPr>
            <w:tcW w:w="259" w:type="dxa"/>
            <w:tcBorders>
              <w:top w:val="nil"/>
              <w:left w:val="nil"/>
              <w:bottom w:val="nil"/>
              <w:right w:val="nil"/>
            </w:tcBorders>
            <w:vAlign w:val="center"/>
          </w:tcPr>
          <w:p w14:paraId="73821C32" w14:textId="77777777" w:rsidR="003C45DA" w:rsidRPr="008A0A4E" w:rsidRDefault="003C45DA" w:rsidP="00DF3ECC">
            <w:pPr>
              <w:jc w:val="center"/>
              <w:rPr>
                <w:rFonts w:ascii="Arial" w:hAnsi="Arial" w:cs="Arial"/>
                <w:color w:val="000000"/>
                <w:sz w:val="22"/>
                <w:szCs w:val="22"/>
              </w:rPr>
            </w:pPr>
          </w:p>
        </w:tc>
        <w:tc>
          <w:tcPr>
            <w:tcW w:w="1584" w:type="dxa"/>
            <w:tcBorders>
              <w:top w:val="nil"/>
              <w:left w:val="nil"/>
              <w:bottom w:val="nil"/>
              <w:right w:val="nil"/>
            </w:tcBorders>
            <w:vAlign w:val="center"/>
          </w:tcPr>
          <w:p w14:paraId="6180A4AC" w14:textId="77777777" w:rsidR="003C45DA" w:rsidRPr="008A0A4E" w:rsidRDefault="003C45DA" w:rsidP="0064065C">
            <w:pPr>
              <w:ind w:left="67"/>
              <w:jc w:val="center"/>
              <w:rPr>
                <w:rFonts w:ascii="Arial" w:hAnsi="Arial" w:cs="Arial"/>
                <w:b/>
                <w:bCs/>
                <w:color w:val="000000"/>
                <w:sz w:val="22"/>
                <w:szCs w:val="22"/>
              </w:rPr>
            </w:pPr>
            <w:r w:rsidRPr="008A0A4E">
              <w:rPr>
                <w:rFonts w:ascii="Arial" w:hAnsi="Arial" w:cs="Arial"/>
                <w:b/>
                <w:bCs/>
                <w:color w:val="000000"/>
                <w:sz w:val="22"/>
                <w:szCs w:val="22"/>
              </w:rPr>
              <w:t>£000</w:t>
            </w:r>
          </w:p>
        </w:tc>
      </w:tr>
      <w:tr w:rsidR="00607A42" w:rsidRPr="00B64150" w14:paraId="56284D47" w14:textId="77777777" w:rsidTr="007D3907">
        <w:trPr>
          <w:trHeight w:val="130"/>
          <w:jc w:val="center"/>
        </w:trPr>
        <w:tc>
          <w:tcPr>
            <w:tcW w:w="5132" w:type="dxa"/>
            <w:tcBorders>
              <w:top w:val="nil"/>
              <w:left w:val="nil"/>
              <w:bottom w:val="nil"/>
              <w:right w:val="nil"/>
            </w:tcBorders>
            <w:vAlign w:val="center"/>
          </w:tcPr>
          <w:p w14:paraId="5B56221B" w14:textId="5A615D86" w:rsidR="00607A42" w:rsidRPr="008A0A4E" w:rsidRDefault="00607A42" w:rsidP="00607A42">
            <w:pPr>
              <w:ind w:left="751"/>
              <w:rPr>
                <w:rFonts w:ascii="Arial" w:hAnsi="Arial" w:cs="Arial"/>
                <w:color w:val="000000"/>
                <w:sz w:val="22"/>
                <w:szCs w:val="22"/>
              </w:rPr>
            </w:pPr>
            <w:r>
              <w:rPr>
                <w:rFonts w:ascii="Arial" w:hAnsi="Arial" w:cs="Arial"/>
                <w:b/>
                <w:bCs/>
                <w:color w:val="000000"/>
                <w:sz w:val="22"/>
                <w:szCs w:val="22"/>
              </w:rPr>
              <w:t xml:space="preserve">Cash </w:t>
            </w:r>
            <w:r w:rsidR="001D7689">
              <w:rPr>
                <w:rFonts w:ascii="Arial" w:hAnsi="Arial" w:cs="Arial"/>
                <w:b/>
                <w:bCs/>
                <w:color w:val="000000"/>
                <w:sz w:val="22"/>
                <w:szCs w:val="22"/>
              </w:rPr>
              <w:t>b</w:t>
            </w:r>
            <w:r>
              <w:rPr>
                <w:rFonts w:ascii="Arial" w:hAnsi="Arial" w:cs="Arial"/>
                <w:b/>
                <w:bCs/>
                <w:color w:val="000000"/>
                <w:sz w:val="22"/>
                <w:szCs w:val="22"/>
              </w:rPr>
              <w:t xml:space="preserve">alances held by </w:t>
            </w:r>
            <w:r w:rsidRPr="008A0A4E">
              <w:rPr>
                <w:rFonts w:ascii="Arial" w:hAnsi="Arial" w:cs="Arial"/>
                <w:b/>
                <w:bCs/>
                <w:color w:val="000000"/>
                <w:sz w:val="22"/>
                <w:szCs w:val="22"/>
              </w:rPr>
              <w:t>Investment Managers</w:t>
            </w:r>
            <w:r>
              <w:rPr>
                <w:rFonts w:ascii="Arial" w:hAnsi="Arial" w:cs="Arial"/>
                <w:b/>
                <w:bCs/>
                <w:color w:val="000000"/>
                <w:sz w:val="22"/>
                <w:szCs w:val="22"/>
              </w:rPr>
              <w:t>:</w:t>
            </w:r>
          </w:p>
        </w:tc>
        <w:tc>
          <w:tcPr>
            <w:tcW w:w="822" w:type="dxa"/>
            <w:tcBorders>
              <w:top w:val="nil"/>
              <w:left w:val="nil"/>
              <w:bottom w:val="nil"/>
              <w:right w:val="nil"/>
            </w:tcBorders>
            <w:noWrap/>
            <w:vAlign w:val="center"/>
          </w:tcPr>
          <w:p w14:paraId="126754C8" w14:textId="77777777" w:rsidR="00607A42" w:rsidRPr="008A0A4E" w:rsidRDefault="00607A42" w:rsidP="00607A42">
            <w:pPr>
              <w:jc w:val="right"/>
              <w:rPr>
                <w:rFonts w:ascii="Arial" w:hAnsi="Arial" w:cs="Arial"/>
                <w:color w:val="000000"/>
                <w:sz w:val="22"/>
                <w:szCs w:val="22"/>
              </w:rPr>
            </w:pPr>
          </w:p>
        </w:tc>
        <w:tc>
          <w:tcPr>
            <w:tcW w:w="1417" w:type="dxa"/>
            <w:tcBorders>
              <w:top w:val="nil"/>
              <w:left w:val="nil"/>
              <w:bottom w:val="nil"/>
              <w:right w:val="nil"/>
            </w:tcBorders>
            <w:shd w:val="clear" w:color="auto" w:fill="auto"/>
          </w:tcPr>
          <w:p w14:paraId="212C3082" w14:textId="77777777" w:rsidR="00607A42" w:rsidRPr="003D5DCD" w:rsidRDefault="00607A42" w:rsidP="00607A42">
            <w:pPr>
              <w:jc w:val="right"/>
              <w:rPr>
                <w:rFonts w:ascii="Arial" w:hAnsi="Arial" w:cs="Arial"/>
                <w:color w:val="000000"/>
                <w:sz w:val="22"/>
                <w:szCs w:val="22"/>
              </w:rPr>
            </w:pPr>
          </w:p>
        </w:tc>
        <w:tc>
          <w:tcPr>
            <w:tcW w:w="259" w:type="dxa"/>
            <w:tcBorders>
              <w:top w:val="nil"/>
              <w:left w:val="nil"/>
              <w:bottom w:val="nil"/>
              <w:right w:val="nil"/>
            </w:tcBorders>
            <w:vAlign w:val="center"/>
          </w:tcPr>
          <w:p w14:paraId="374DB961" w14:textId="77777777" w:rsidR="00607A42" w:rsidRPr="008A0A4E" w:rsidRDefault="00607A42" w:rsidP="00607A42">
            <w:pPr>
              <w:jc w:val="right"/>
              <w:rPr>
                <w:rFonts w:ascii="Arial" w:hAnsi="Arial" w:cs="Arial"/>
                <w:color w:val="000000"/>
                <w:sz w:val="22"/>
                <w:szCs w:val="22"/>
              </w:rPr>
            </w:pPr>
          </w:p>
        </w:tc>
        <w:tc>
          <w:tcPr>
            <w:tcW w:w="1584" w:type="dxa"/>
            <w:tcBorders>
              <w:top w:val="nil"/>
              <w:left w:val="nil"/>
              <w:bottom w:val="nil"/>
              <w:right w:val="nil"/>
            </w:tcBorders>
            <w:shd w:val="clear" w:color="auto" w:fill="auto"/>
            <w:vAlign w:val="center"/>
          </w:tcPr>
          <w:p w14:paraId="3BCD8306" w14:textId="77777777" w:rsidR="00607A42" w:rsidRDefault="00607A42" w:rsidP="00607A42">
            <w:pPr>
              <w:jc w:val="right"/>
              <w:rPr>
                <w:rFonts w:ascii="Arial" w:hAnsi="Arial" w:cs="Arial"/>
                <w:b/>
                <w:bCs/>
                <w:color w:val="000000"/>
                <w:sz w:val="22"/>
                <w:szCs w:val="22"/>
              </w:rPr>
            </w:pPr>
          </w:p>
        </w:tc>
      </w:tr>
      <w:tr w:rsidR="00607A42" w:rsidRPr="00B64150" w14:paraId="7D7E931D" w14:textId="77777777" w:rsidTr="00EE4FA3">
        <w:trPr>
          <w:trHeight w:val="130"/>
          <w:jc w:val="center"/>
        </w:trPr>
        <w:tc>
          <w:tcPr>
            <w:tcW w:w="5132" w:type="dxa"/>
            <w:tcBorders>
              <w:top w:val="nil"/>
              <w:left w:val="nil"/>
              <w:bottom w:val="nil"/>
              <w:right w:val="nil"/>
            </w:tcBorders>
            <w:vAlign w:val="bottom"/>
          </w:tcPr>
          <w:p w14:paraId="16DF26DD" w14:textId="77777777" w:rsidR="00607A42" w:rsidRPr="008A0A4E" w:rsidRDefault="00607A42" w:rsidP="00607A42">
            <w:pPr>
              <w:ind w:left="751"/>
              <w:rPr>
                <w:rFonts w:ascii="Arial" w:hAnsi="Arial" w:cs="Arial"/>
                <w:color w:val="000000"/>
                <w:sz w:val="22"/>
                <w:szCs w:val="22"/>
              </w:rPr>
            </w:pPr>
            <w:r w:rsidRPr="008A0A4E">
              <w:rPr>
                <w:rFonts w:ascii="Arial" w:hAnsi="Arial" w:cs="Arial"/>
                <w:color w:val="000000"/>
                <w:sz w:val="22"/>
                <w:szCs w:val="22"/>
              </w:rPr>
              <w:t>Aberdeen Asset Management</w:t>
            </w:r>
          </w:p>
        </w:tc>
        <w:tc>
          <w:tcPr>
            <w:tcW w:w="822" w:type="dxa"/>
            <w:tcBorders>
              <w:top w:val="nil"/>
              <w:left w:val="nil"/>
              <w:bottom w:val="nil"/>
              <w:right w:val="nil"/>
            </w:tcBorders>
            <w:noWrap/>
            <w:vAlign w:val="center"/>
          </w:tcPr>
          <w:p w14:paraId="09E299EC" w14:textId="77777777" w:rsidR="00607A42" w:rsidRPr="008A0A4E" w:rsidRDefault="00607A42" w:rsidP="00607A42">
            <w:pPr>
              <w:jc w:val="right"/>
              <w:rPr>
                <w:rFonts w:ascii="Arial" w:hAnsi="Arial" w:cs="Arial"/>
                <w:color w:val="000000"/>
                <w:sz w:val="22"/>
                <w:szCs w:val="22"/>
              </w:rPr>
            </w:pPr>
          </w:p>
        </w:tc>
        <w:tc>
          <w:tcPr>
            <w:tcW w:w="1417" w:type="dxa"/>
            <w:tcBorders>
              <w:top w:val="nil"/>
              <w:left w:val="nil"/>
              <w:bottom w:val="nil"/>
              <w:right w:val="nil"/>
            </w:tcBorders>
            <w:shd w:val="clear" w:color="auto" w:fill="auto"/>
          </w:tcPr>
          <w:p w14:paraId="55379799" w14:textId="160032C4" w:rsidR="00607A42" w:rsidRPr="003D5DCD" w:rsidRDefault="00607A42" w:rsidP="00607A42">
            <w:pPr>
              <w:jc w:val="right"/>
              <w:rPr>
                <w:rFonts w:ascii="Arial" w:hAnsi="Arial" w:cs="Arial"/>
                <w:color w:val="000000"/>
                <w:sz w:val="22"/>
                <w:szCs w:val="22"/>
              </w:rPr>
            </w:pPr>
            <w:r w:rsidRPr="003D5DCD">
              <w:rPr>
                <w:rFonts w:ascii="Arial" w:hAnsi="Arial" w:cs="Arial"/>
                <w:color w:val="000000"/>
                <w:sz w:val="22"/>
                <w:szCs w:val="22"/>
              </w:rPr>
              <w:t>7,425</w:t>
            </w:r>
          </w:p>
        </w:tc>
        <w:tc>
          <w:tcPr>
            <w:tcW w:w="259" w:type="dxa"/>
            <w:tcBorders>
              <w:top w:val="nil"/>
              <w:left w:val="nil"/>
              <w:bottom w:val="nil"/>
              <w:right w:val="nil"/>
            </w:tcBorders>
            <w:vAlign w:val="center"/>
          </w:tcPr>
          <w:p w14:paraId="50BFB082" w14:textId="77777777" w:rsidR="00607A42" w:rsidRPr="008A0A4E" w:rsidRDefault="00607A42" w:rsidP="00607A42">
            <w:pPr>
              <w:jc w:val="right"/>
              <w:rPr>
                <w:rFonts w:ascii="Arial" w:hAnsi="Arial" w:cs="Arial"/>
                <w:color w:val="000000"/>
                <w:sz w:val="22"/>
                <w:szCs w:val="22"/>
              </w:rPr>
            </w:pPr>
          </w:p>
        </w:tc>
        <w:tc>
          <w:tcPr>
            <w:tcW w:w="1584" w:type="dxa"/>
            <w:tcBorders>
              <w:top w:val="nil"/>
              <w:left w:val="nil"/>
              <w:bottom w:val="nil"/>
              <w:right w:val="nil"/>
            </w:tcBorders>
            <w:shd w:val="clear" w:color="auto" w:fill="auto"/>
            <w:vAlign w:val="center"/>
          </w:tcPr>
          <w:p w14:paraId="64E34297" w14:textId="60EBFB51" w:rsidR="00607A42" w:rsidRPr="008B22B4" w:rsidRDefault="00607A42" w:rsidP="00607A42">
            <w:pPr>
              <w:jc w:val="right"/>
              <w:rPr>
                <w:rFonts w:ascii="Arial" w:hAnsi="Arial" w:cs="Arial"/>
                <w:b/>
                <w:bCs/>
                <w:color w:val="000000"/>
                <w:sz w:val="22"/>
                <w:szCs w:val="22"/>
              </w:rPr>
            </w:pPr>
            <w:r>
              <w:rPr>
                <w:rFonts w:ascii="Arial" w:hAnsi="Arial" w:cs="Arial"/>
                <w:b/>
                <w:bCs/>
                <w:color w:val="000000"/>
                <w:sz w:val="22"/>
                <w:szCs w:val="22"/>
              </w:rPr>
              <w:t>31,653</w:t>
            </w:r>
          </w:p>
        </w:tc>
      </w:tr>
      <w:tr w:rsidR="00607A42" w:rsidRPr="00B64150" w14:paraId="13B61D9D" w14:textId="77777777" w:rsidTr="00EE4FA3">
        <w:trPr>
          <w:trHeight w:val="130"/>
          <w:jc w:val="center"/>
        </w:trPr>
        <w:tc>
          <w:tcPr>
            <w:tcW w:w="5132" w:type="dxa"/>
            <w:tcBorders>
              <w:top w:val="nil"/>
              <w:left w:val="nil"/>
              <w:bottom w:val="nil"/>
              <w:right w:val="nil"/>
            </w:tcBorders>
            <w:vAlign w:val="bottom"/>
          </w:tcPr>
          <w:p w14:paraId="07350CEE" w14:textId="77777777" w:rsidR="00607A42" w:rsidRPr="008A0A4E" w:rsidRDefault="00607A42" w:rsidP="00607A42">
            <w:pPr>
              <w:ind w:left="751"/>
              <w:rPr>
                <w:rFonts w:ascii="Arial" w:hAnsi="Arial" w:cs="Arial"/>
                <w:color w:val="000000"/>
                <w:sz w:val="22"/>
                <w:szCs w:val="22"/>
              </w:rPr>
            </w:pPr>
            <w:r w:rsidRPr="008A0A4E">
              <w:rPr>
                <w:rFonts w:ascii="Arial" w:hAnsi="Arial" w:cs="Arial"/>
                <w:color w:val="000000"/>
                <w:sz w:val="22"/>
                <w:szCs w:val="22"/>
              </w:rPr>
              <w:t>BlackRock</w:t>
            </w:r>
          </w:p>
        </w:tc>
        <w:tc>
          <w:tcPr>
            <w:tcW w:w="822" w:type="dxa"/>
            <w:tcBorders>
              <w:top w:val="nil"/>
              <w:left w:val="nil"/>
              <w:bottom w:val="nil"/>
              <w:right w:val="nil"/>
            </w:tcBorders>
            <w:noWrap/>
            <w:vAlign w:val="bottom"/>
          </w:tcPr>
          <w:p w14:paraId="193DAF3A" w14:textId="77777777" w:rsidR="00607A42" w:rsidRPr="008A0A4E" w:rsidRDefault="00607A42" w:rsidP="00607A42">
            <w:pPr>
              <w:rPr>
                <w:rFonts w:ascii="Arial" w:hAnsi="Arial" w:cs="Arial"/>
                <w:color w:val="000000"/>
                <w:sz w:val="22"/>
                <w:szCs w:val="22"/>
              </w:rPr>
            </w:pPr>
          </w:p>
        </w:tc>
        <w:tc>
          <w:tcPr>
            <w:tcW w:w="1417" w:type="dxa"/>
            <w:tcBorders>
              <w:top w:val="nil"/>
              <w:left w:val="nil"/>
              <w:bottom w:val="nil"/>
              <w:right w:val="nil"/>
            </w:tcBorders>
            <w:shd w:val="clear" w:color="auto" w:fill="auto"/>
          </w:tcPr>
          <w:p w14:paraId="6E77F05A" w14:textId="72EA3CD6" w:rsidR="00607A42" w:rsidRPr="003D5DCD" w:rsidRDefault="00607A42" w:rsidP="00607A42">
            <w:pPr>
              <w:jc w:val="right"/>
              <w:rPr>
                <w:rFonts w:ascii="Arial" w:hAnsi="Arial" w:cs="Arial"/>
                <w:color w:val="000000"/>
                <w:sz w:val="22"/>
                <w:szCs w:val="22"/>
              </w:rPr>
            </w:pPr>
            <w:r w:rsidRPr="003D5DCD">
              <w:rPr>
                <w:rFonts w:ascii="Arial" w:hAnsi="Arial" w:cs="Arial"/>
                <w:color w:val="000000"/>
                <w:sz w:val="22"/>
                <w:szCs w:val="22"/>
              </w:rPr>
              <w:t>1</w:t>
            </w:r>
          </w:p>
        </w:tc>
        <w:tc>
          <w:tcPr>
            <w:tcW w:w="259" w:type="dxa"/>
            <w:tcBorders>
              <w:top w:val="nil"/>
              <w:left w:val="nil"/>
              <w:bottom w:val="nil"/>
              <w:right w:val="nil"/>
            </w:tcBorders>
            <w:vAlign w:val="bottom"/>
          </w:tcPr>
          <w:p w14:paraId="0A4C93F3" w14:textId="77777777" w:rsidR="00607A42" w:rsidRPr="008A0A4E" w:rsidRDefault="00607A42" w:rsidP="00607A42">
            <w:pPr>
              <w:rPr>
                <w:rFonts w:ascii="Arial" w:hAnsi="Arial" w:cs="Arial"/>
                <w:color w:val="000000"/>
                <w:sz w:val="22"/>
                <w:szCs w:val="22"/>
              </w:rPr>
            </w:pPr>
          </w:p>
        </w:tc>
        <w:tc>
          <w:tcPr>
            <w:tcW w:w="1584" w:type="dxa"/>
            <w:tcBorders>
              <w:top w:val="nil"/>
              <w:left w:val="nil"/>
              <w:bottom w:val="nil"/>
              <w:right w:val="nil"/>
            </w:tcBorders>
            <w:shd w:val="clear" w:color="auto" w:fill="auto"/>
            <w:vAlign w:val="center"/>
          </w:tcPr>
          <w:p w14:paraId="36D49071" w14:textId="3FEB3764" w:rsidR="00607A42" w:rsidRPr="008B22B4" w:rsidRDefault="00607A42" w:rsidP="00607A42">
            <w:pPr>
              <w:jc w:val="right"/>
              <w:rPr>
                <w:rFonts w:ascii="Arial" w:hAnsi="Arial" w:cs="Arial"/>
                <w:b/>
                <w:bCs/>
                <w:color w:val="000000"/>
                <w:sz w:val="22"/>
                <w:szCs w:val="22"/>
              </w:rPr>
            </w:pPr>
            <w:r>
              <w:rPr>
                <w:rFonts w:ascii="Arial" w:hAnsi="Arial" w:cs="Arial"/>
                <w:b/>
                <w:bCs/>
                <w:color w:val="000000"/>
                <w:sz w:val="22"/>
                <w:szCs w:val="22"/>
              </w:rPr>
              <w:t>3,518</w:t>
            </w:r>
          </w:p>
        </w:tc>
      </w:tr>
      <w:tr w:rsidR="00607A42" w:rsidRPr="00B64150" w14:paraId="2597E310" w14:textId="77777777" w:rsidTr="00EE4FA3">
        <w:trPr>
          <w:trHeight w:val="130"/>
          <w:jc w:val="center"/>
        </w:trPr>
        <w:tc>
          <w:tcPr>
            <w:tcW w:w="5132" w:type="dxa"/>
            <w:tcBorders>
              <w:top w:val="nil"/>
              <w:left w:val="nil"/>
              <w:bottom w:val="nil"/>
              <w:right w:val="nil"/>
            </w:tcBorders>
            <w:vAlign w:val="bottom"/>
          </w:tcPr>
          <w:p w14:paraId="419FC01B" w14:textId="5ECCBB52" w:rsidR="00607A42" w:rsidRPr="008A0A4E" w:rsidRDefault="00607A42" w:rsidP="00607A42">
            <w:pPr>
              <w:ind w:left="751"/>
              <w:rPr>
                <w:rFonts w:ascii="Arial" w:hAnsi="Arial" w:cs="Arial"/>
                <w:color w:val="000000"/>
                <w:sz w:val="22"/>
                <w:szCs w:val="22"/>
              </w:rPr>
            </w:pPr>
            <w:r>
              <w:rPr>
                <w:rFonts w:ascii="Arial" w:hAnsi="Arial" w:cs="Arial"/>
                <w:color w:val="000000"/>
                <w:sz w:val="22"/>
                <w:szCs w:val="22"/>
              </w:rPr>
              <w:t>Patria</w:t>
            </w:r>
          </w:p>
        </w:tc>
        <w:tc>
          <w:tcPr>
            <w:tcW w:w="822" w:type="dxa"/>
            <w:tcBorders>
              <w:top w:val="nil"/>
              <w:left w:val="nil"/>
              <w:bottom w:val="nil"/>
              <w:right w:val="nil"/>
            </w:tcBorders>
            <w:noWrap/>
            <w:vAlign w:val="bottom"/>
          </w:tcPr>
          <w:p w14:paraId="28999E4E" w14:textId="77777777" w:rsidR="00607A42" w:rsidRPr="008A0A4E" w:rsidRDefault="00607A42" w:rsidP="00607A42">
            <w:pPr>
              <w:rPr>
                <w:rFonts w:ascii="Arial" w:hAnsi="Arial" w:cs="Arial"/>
                <w:color w:val="000000"/>
                <w:sz w:val="22"/>
                <w:szCs w:val="22"/>
              </w:rPr>
            </w:pPr>
          </w:p>
        </w:tc>
        <w:tc>
          <w:tcPr>
            <w:tcW w:w="1417" w:type="dxa"/>
            <w:tcBorders>
              <w:top w:val="nil"/>
              <w:left w:val="nil"/>
              <w:bottom w:val="nil"/>
              <w:right w:val="nil"/>
            </w:tcBorders>
          </w:tcPr>
          <w:p w14:paraId="285AEFA7" w14:textId="3A3BFC8C" w:rsidR="00607A42" w:rsidRPr="003D5DCD" w:rsidRDefault="00607A42" w:rsidP="00607A42">
            <w:pPr>
              <w:jc w:val="right"/>
              <w:rPr>
                <w:rFonts w:ascii="Arial" w:hAnsi="Arial" w:cs="Arial"/>
                <w:color w:val="000000"/>
                <w:sz w:val="22"/>
                <w:szCs w:val="22"/>
              </w:rPr>
            </w:pPr>
            <w:r>
              <w:rPr>
                <w:rFonts w:ascii="Arial" w:hAnsi="Arial" w:cs="Arial"/>
                <w:color w:val="000000"/>
                <w:sz w:val="22"/>
                <w:szCs w:val="22"/>
              </w:rPr>
              <w:t>-</w:t>
            </w:r>
          </w:p>
        </w:tc>
        <w:tc>
          <w:tcPr>
            <w:tcW w:w="259" w:type="dxa"/>
            <w:tcBorders>
              <w:top w:val="nil"/>
              <w:left w:val="nil"/>
              <w:bottom w:val="nil"/>
              <w:right w:val="nil"/>
            </w:tcBorders>
            <w:vAlign w:val="bottom"/>
          </w:tcPr>
          <w:p w14:paraId="43A8A0ED" w14:textId="77777777" w:rsidR="00607A42" w:rsidRPr="008A0A4E" w:rsidRDefault="00607A42" w:rsidP="00607A42">
            <w:pPr>
              <w:rPr>
                <w:rFonts w:ascii="Arial" w:hAnsi="Arial" w:cs="Arial"/>
                <w:color w:val="000000"/>
                <w:sz w:val="22"/>
                <w:szCs w:val="22"/>
              </w:rPr>
            </w:pPr>
          </w:p>
        </w:tc>
        <w:tc>
          <w:tcPr>
            <w:tcW w:w="1584" w:type="dxa"/>
            <w:tcBorders>
              <w:top w:val="nil"/>
              <w:left w:val="nil"/>
              <w:bottom w:val="nil"/>
              <w:right w:val="nil"/>
            </w:tcBorders>
            <w:vAlign w:val="center"/>
          </w:tcPr>
          <w:p w14:paraId="373273F9" w14:textId="3DB8D85C" w:rsidR="00607A42" w:rsidRDefault="00607A42" w:rsidP="00607A42">
            <w:pPr>
              <w:jc w:val="right"/>
              <w:rPr>
                <w:rFonts w:ascii="Arial" w:hAnsi="Arial" w:cs="Arial"/>
                <w:b/>
                <w:bCs/>
                <w:color w:val="000000"/>
                <w:sz w:val="22"/>
                <w:szCs w:val="22"/>
              </w:rPr>
            </w:pPr>
            <w:r>
              <w:rPr>
                <w:rFonts w:ascii="Arial" w:hAnsi="Arial" w:cs="Arial"/>
                <w:b/>
                <w:bCs/>
                <w:color w:val="000000"/>
                <w:sz w:val="22"/>
                <w:szCs w:val="22"/>
              </w:rPr>
              <w:t xml:space="preserve">        1,887 </w:t>
            </w:r>
          </w:p>
        </w:tc>
      </w:tr>
      <w:tr w:rsidR="00607A42" w:rsidRPr="00B64150" w14:paraId="03FDF4D9" w14:textId="77777777" w:rsidTr="003D5DCD">
        <w:trPr>
          <w:trHeight w:val="130"/>
          <w:jc w:val="center"/>
        </w:trPr>
        <w:tc>
          <w:tcPr>
            <w:tcW w:w="5132" w:type="dxa"/>
            <w:tcBorders>
              <w:top w:val="nil"/>
              <w:left w:val="nil"/>
              <w:bottom w:val="nil"/>
              <w:right w:val="nil"/>
            </w:tcBorders>
            <w:vAlign w:val="bottom"/>
          </w:tcPr>
          <w:p w14:paraId="31DD0AD2" w14:textId="77777777" w:rsidR="00607A42" w:rsidRPr="008A0A4E" w:rsidRDefault="00607A42" w:rsidP="00607A42">
            <w:pPr>
              <w:ind w:left="751"/>
              <w:rPr>
                <w:rFonts w:ascii="Arial" w:hAnsi="Arial" w:cs="Arial"/>
                <w:color w:val="000000"/>
                <w:sz w:val="22"/>
                <w:szCs w:val="22"/>
              </w:rPr>
            </w:pPr>
          </w:p>
        </w:tc>
        <w:tc>
          <w:tcPr>
            <w:tcW w:w="822" w:type="dxa"/>
            <w:tcBorders>
              <w:top w:val="nil"/>
              <w:left w:val="nil"/>
              <w:bottom w:val="nil"/>
              <w:right w:val="nil"/>
            </w:tcBorders>
            <w:noWrap/>
            <w:vAlign w:val="bottom"/>
          </w:tcPr>
          <w:p w14:paraId="07F4F328" w14:textId="77777777" w:rsidR="00607A42" w:rsidRPr="008A0A4E" w:rsidRDefault="00607A42" w:rsidP="00607A42">
            <w:pPr>
              <w:rPr>
                <w:rFonts w:ascii="Arial" w:hAnsi="Arial" w:cs="Arial"/>
                <w:color w:val="000000"/>
                <w:sz w:val="22"/>
                <w:szCs w:val="22"/>
              </w:rPr>
            </w:pPr>
          </w:p>
        </w:tc>
        <w:tc>
          <w:tcPr>
            <w:tcW w:w="1417" w:type="dxa"/>
            <w:tcBorders>
              <w:top w:val="nil"/>
              <w:left w:val="nil"/>
              <w:bottom w:val="nil"/>
              <w:right w:val="nil"/>
            </w:tcBorders>
          </w:tcPr>
          <w:p w14:paraId="5B210957" w14:textId="77777777" w:rsidR="00607A42" w:rsidRPr="003D5DCD" w:rsidRDefault="00607A42" w:rsidP="00607A42">
            <w:pPr>
              <w:jc w:val="right"/>
              <w:rPr>
                <w:rFonts w:ascii="Arial" w:hAnsi="Arial" w:cs="Arial"/>
                <w:color w:val="000000"/>
                <w:sz w:val="22"/>
                <w:szCs w:val="22"/>
              </w:rPr>
            </w:pPr>
          </w:p>
        </w:tc>
        <w:tc>
          <w:tcPr>
            <w:tcW w:w="259" w:type="dxa"/>
            <w:tcBorders>
              <w:top w:val="nil"/>
              <w:left w:val="nil"/>
              <w:bottom w:val="nil"/>
              <w:right w:val="nil"/>
            </w:tcBorders>
            <w:vAlign w:val="bottom"/>
          </w:tcPr>
          <w:p w14:paraId="1D703735" w14:textId="77777777" w:rsidR="00607A42" w:rsidRPr="008A0A4E" w:rsidRDefault="00607A42" w:rsidP="00607A42">
            <w:pPr>
              <w:rPr>
                <w:rFonts w:ascii="Arial" w:hAnsi="Arial" w:cs="Arial"/>
                <w:color w:val="000000"/>
                <w:sz w:val="22"/>
                <w:szCs w:val="22"/>
              </w:rPr>
            </w:pPr>
          </w:p>
        </w:tc>
        <w:tc>
          <w:tcPr>
            <w:tcW w:w="1584" w:type="dxa"/>
            <w:tcBorders>
              <w:top w:val="nil"/>
              <w:left w:val="nil"/>
              <w:bottom w:val="nil"/>
              <w:right w:val="nil"/>
            </w:tcBorders>
          </w:tcPr>
          <w:p w14:paraId="7502B59B" w14:textId="77777777" w:rsidR="00607A42" w:rsidRDefault="00607A42" w:rsidP="00607A42">
            <w:pPr>
              <w:jc w:val="right"/>
              <w:rPr>
                <w:rFonts w:ascii="Arial" w:hAnsi="Arial" w:cs="Arial"/>
                <w:b/>
                <w:bCs/>
                <w:color w:val="000000"/>
                <w:sz w:val="22"/>
                <w:szCs w:val="22"/>
              </w:rPr>
            </w:pPr>
          </w:p>
        </w:tc>
      </w:tr>
      <w:tr w:rsidR="00607A42" w:rsidRPr="00B64150" w14:paraId="5EA8DC6A" w14:textId="77777777" w:rsidTr="004E6097">
        <w:trPr>
          <w:trHeight w:val="130"/>
          <w:jc w:val="center"/>
        </w:trPr>
        <w:tc>
          <w:tcPr>
            <w:tcW w:w="5132" w:type="dxa"/>
            <w:tcBorders>
              <w:top w:val="nil"/>
              <w:left w:val="nil"/>
              <w:bottom w:val="nil"/>
              <w:right w:val="nil"/>
            </w:tcBorders>
            <w:vAlign w:val="bottom"/>
          </w:tcPr>
          <w:p w14:paraId="0D580DBF" w14:textId="2499C34D" w:rsidR="00607A42" w:rsidRPr="008A0A4E" w:rsidRDefault="00607A42" w:rsidP="00607A42">
            <w:pPr>
              <w:ind w:left="751"/>
              <w:rPr>
                <w:rFonts w:ascii="Arial" w:hAnsi="Arial" w:cs="Arial"/>
                <w:color w:val="000000"/>
                <w:sz w:val="22"/>
                <w:szCs w:val="22"/>
              </w:rPr>
            </w:pPr>
            <w:r w:rsidRPr="00FC5B20">
              <w:rPr>
                <w:rFonts w:ascii="Arial" w:hAnsi="Arial" w:cs="Arial"/>
                <w:color w:val="000000"/>
                <w:sz w:val="22"/>
                <w:szCs w:val="22"/>
              </w:rPr>
              <w:t>Money Market Funds</w:t>
            </w:r>
          </w:p>
        </w:tc>
        <w:tc>
          <w:tcPr>
            <w:tcW w:w="822" w:type="dxa"/>
            <w:tcBorders>
              <w:top w:val="nil"/>
              <w:left w:val="nil"/>
              <w:bottom w:val="nil"/>
              <w:right w:val="nil"/>
            </w:tcBorders>
            <w:noWrap/>
            <w:vAlign w:val="bottom"/>
          </w:tcPr>
          <w:p w14:paraId="061401FA" w14:textId="77777777" w:rsidR="00607A42" w:rsidRPr="008A0A4E" w:rsidRDefault="00607A42" w:rsidP="00607A42">
            <w:pPr>
              <w:rPr>
                <w:rFonts w:ascii="Arial" w:hAnsi="Arial" w:cs="Arial"/>
                <w:color w:val="000000"/>
                <w:sz w:val="22"/>
                <w:szCs w:val="22"/>
              </w:rPr>
            </w:pPr>
          </w:p>
        </w:tc>
        <w:tc>
          <w:tcPr>
            <w:tcW w:w="1417" w:type="dxa"/>
            <w:tcBorders>
              <w:top w:val="nil"/>
              <w:left w:val="nil"/>
              <w:bottom w:val="nil"/>
              <w:right w:val="nil"/>
            </w:tcBorders>
          </w:tcPr>
          <w:p w14:paraId="489C8007" w14:textId="2A5465F2" w:rsidR="00607A42" w:rsidRPr="003D5DCD" w:rsidRDefault="00607A42" w:rsidP="00607A42">
            <w:pPr>
              <w:jc w:val="right"/>
              <w:rPr>
                <w:rFonts w:ascii="Arial" w:hAnsi="Arial" w:cs="Arial"/>
                <w:color w:val="000000"/>
                <w:sz w:val="22"/>
                <w:szCs w:val="22"/>
              </w:rPr>
            </w:pPr>
            <w:r>
              <w:rPr>
                <w:rFonts w:ascii="Arial" w:hAnsi="Arial" w:cs="Arial"/>
                <w:color w:val="000000"/>
                <w:sz w:val="22"/>
                <w:szCs w:val="22"/>
              </w:rPr>
              <w:t>-</w:t>
            </w:r>
          </w:p>
        </w:tc>
        <w:tc>
          <w:tcPr>
            <w:tcW w:w="259" w:type="dxa"/>
            <w:tcBorders>
              <w:top w:val="nil"/>
              <w:left w:val="nil"/>
              <w:bottom w:val="nil"/>
              <w:right w:val="nil"/>
            </w:tcBorders>
            <w:vAlign w:val="bottom"/>
          </w:tcPr>
          <w:p w14:paraId="36E86CD4" w14:textId="77777777" w:rsidR="00607A42" w:rsidRPr="008A0A4E" w:rsidRDefault="00607A42" w:rsidP="00607A42">
            <w:pPr>
              <w:rPr>
                <w:rFonts w:ascii="Arial" w:hAnsi="Arial" w:cs="Arial"/>
                <w:color w:val="000000"/>
                <w:sz w:val="22"/>
                <w:szCs w:val="22"/>
              </w:rPr>
            </w:pPr>
          </w:p>
        </w:tc>
        <w:tc>
          <w:tcPr>
            <w:tcW w:w="1584" w:type="dxa"/>
            <w:tcBorders>
              <w:top w:val="nil"/>
              <w:left w:val="nil"/>
              <w:bottom w:val="nil"/>
              <w:right w:val="nil"/>
            </w:tcBorders>
            <w:vAlign w:val="center"/>
          </w:tcPr>
          <w:p w14:paraId="0DA3C428" w14:textId="43E76090" w:rsidR="00607A42" w:rsidRDefault="00607A42" w:rsidP="00607A42">
            <w:pPr>
              <w:jc w:val="right"/>
              <w:rPr>
                <w:rFonts w:ascii="Arial" w:hAnsi="Arial" w:cs="Arial"/>
                <w:b/>
                <w:bCs/>
                <w:color w:val="000000"/>
                <w:sz w:val="22"/>
                <w:szCs w:val="22"/>
              </w:rPr>
            </w:pPr>
            <w:r>
              <w:rPr>
                <w:rFonts w:ascii="Arial" w:hAnsi="Arial" w:cs="Arial"/>
                <w:b/>
                <w:bCs/>
                <w:color w:val="000000"/>
                <w:sz w:val="22"/>
                <w:szCs w:val="22"/>
              </w:rPr>
              <w:t xml:space="preserve">      17,458 </w:t>
            </w:r>
          </w:p>
        </w:tc>
      </w:tr>
      <w:tr w:rsidR="00607A42" w:rsidRPr="00B64150" w14:paraId="0433A0F5" w14:textId="77777777" w:rsidTr="00B53577">
        <w:trPr>
          <w:trHeight w:val="130"/>
          <w:jc w:val="center"/>
        </w:trPr>
        <w:tc>
          <w:tcPr>
            <w:tcW w:w="5132" w:type="dxa"/>
            <w:tcBorders>
              <w:top w:val="nil"/>
              <w:left w:val="nil"/>
              <w:bottom w:val="nil"/>
              <w:right w:val="nil"/>
            </w:tcBorders>
            <w:vAlign w:val="bottom"/>
          </w:tcPr>
          <w:p w14:paraId="74F6F631" w14:textId="4F7AEF52" w:rsidR="00607A42" w:rsidRPr="008A0A4E" w:rsidRDefault="00607A42" w:rsidP="00607A42">
            <w:pPr>
              <w:ind w:left="751"/>
              <w:rPr>
                <w:rFonts w:ascii="Arial" w:hAnsi="Arial" w:cs="Arial"/>
                <w:color w:val="000000"/>
                <w:sz w:val="22"/>
                <w:szCs w:val="22"/>
              </w:rPr>
            </w:pPr>
            <w:r w:rsidRPr="00FC5B20">
              <w:rPr>
                <w:rFonts w:ascii="Arial" w:hAnsi="Arial" w:cs="Arial"/>
                <w:color w:val="000000"/>
                <w:sz w:val="22"/>
                <w:szCs w:val="22"/>
              </w:rPr>
              <w:t>Bank Current Accounts</w:t>
            </w:r>
          </w:p>
        </w:tc>
        <w:tc>
          <w:tcPr>
            <w:tcW w:w="822" w:type="dxa"/>
            <w:tcBorders>
              <w:top w:val="nil"/>
              <w:left w:val="nil"/>
              <w:bottom w:val="nil"/>
              <w:right w:val="nil"/>
            </w:tcBorders>
            <w:noWrap/>
            <w:vAlign w:val="bottom"/>
          </w:tcPr>
          <w:p w14:paraId="414FB94D" w14:textId="77777777" w:rsidR="00607A42" w:rsidRPr="008A0A4E" w:rsidRDefault="00607A42" w:rsidP="00607A42">
            <w:pPr>
              <w:rPr>
                <w:rFonts w:ascii="Arial" w:hAnsi="Arial" w:cs="Arial"/>
                <w:color w:val="000000"/>
                <w:sz w:val="22"/>
                <w:szCs w:val="22"/>
              </w:rPr>
            </w:pPr>
          </w:p>
        </w:tc>
        <w:tc>
          <w:tcPr>
            <w:tcW w:w="1417" w:type="dxa"/>
            <w:tcBorders>
              <w:top w:val="nil"/>
              <w:left w:val="nil"/>
              <w:bottom w:val="single" w:sz="8" w:space="0" w:color="auto"/>
              <w:right w:val="nil"/>
            </w:tcBorders>
          </w:tcPr>
          <w:p w14:paraId="2A84906C" w14:textId="3A3A40F3" w:rsidR="00607A42" w:rsidRPr="003D5DCD" w:rsidRDefault="00607A42" w:rsidP="00607A42">
            <w:pPr>
              <w:jc w:val="right"/>
              <w:rPr>
                <w:rFonts w:ascii="Arial" w:hAnsi="Arial" w:cs="Arial"/>
                <w:color w:val="000000"/>
                <w:sz w:val="22"/>
                <w:szCs w:val="22"/>
              </w:rPr>
            </w:pPr>
            <w:r w:rsidRPr="003D5DCD">
              <w:rPr>
                <w:rFonts w:ascii="Arial" w:hAnsi="Arial" w:cs="Arial"/>
                <w:color w:val="000000"/>
                <w:sz w:val="22"/>
                <w:szCs w:val="22"/>
              </w:rPr>
              <w:t>1,991</w:t>
            </w:r>
          </w:p>
        </w:tc>
        <w:tc>
          <w:tcPr>
            <w:tcW w:w="259" w:type="dxa"/>
            <w:tcBorders>
              <w:top w:val="nil"/>
              <w:left w:val="nil"/>
              <w:bottom w:val="nil"/>
              <w:right w:val="nil"/>
            </w:tcBorders>
            <w:vAlign w:val="bottom"/>
          </w:tcPr>
          <w:p w14:paraId="3AA543B8" w14:textId="77777777" w:rsidR="00607A42" w:rsidRPr="008A0A4E" w:rsidRDefault="00607A42" w:rsidP="00607A42">
            <w:pPr>
              <w:rPr>
                <w:rFonts w:ascii="Arial" w:hAnsi="Arial" w:cs="Arial"/>
                <w:color w:val="000000"/>
                <w:sz w:val="22"/>
                <w:szCs w:val="22"/>
              </w:rPr>
            </w:pPr>
          </w:p>
        </w:tc>
        <w:tc>
          <w:tcPr>
            <w:tcW w:w="1584" w:type="dxa"/>
            <w:tcBorders>
              <w:top w:val="nil"/>
              <w:left w:val="nil"/>
              <w:bottom w:val="single" w:sz="8" w:space="0" w:color="auto"/>
              <w:right w:val="nil"/>
            </w:tcBorders>
            <w:vAlign w:val="center"/>
          </w:tcPr>
          <w:p w14:paraId="7123C46E" w14:textId="57F6E2DF" w:rsidR="00607A42" w:rsidRPr="008B22B4" w:rsidRDefault="00607A42" w:rsidP="00607A42">
            <w:pPr>
              <w:jc w:val="right"/>
              <w:rPr>
                <w:rFonts w:ascii="Arial" w:hAnsi="Arial" w:cs="Arial"/>
                <w:b/>
                <w:bCs/>
                <w:color w:val="000000"/>
                <w:sz w:val="22"/>
                <w:szCs w:val="22"/>
              </w:rPr>
            </w:pPr>
            <w:r>
              <w:rPr>
                <w:rFonts w:ascii="Arial" w:hAnsi="Arial" w:cs="Arial"/>
                <w:b/>
                <w:bCs/>
                <w:color w:val="000000"/>
                <w:sz w:val="22"/>
                <w:szCs w:val="22"/>
              </w:rPr>
              <w:t>6,474</w:t>
            </w:r>
          </w:p>
        </w:tc>
      </w:tr>
      <w:tr w:rsidR="00607A42" w:rsidRPr="00B64150" w14:paraId="785EFCFD" w14:textId="77777777" w:rsidTr="00B53577">
        <w:trPr>
          <w:trHeight w:val="172"/>
          <w:jc w:val="center"/>
        </w:trPr>
        <w:tc>
          <w:tcPr>
            <w:tcW w:w="5132" w:type="dxa"/>
            <w:tcBorders>
              <w:top w:val="nil"/>
              <w:left w:val="nil"/>
              <w:bottom w:val="nil"/>
              <w:right w:val="nil"/>
            </w:tcBorders>
            <w:vAlign w:val="bottom"/>
          </w:tcPr>
          <w:p w14:paraId="4BB2872F" w14:textId="21B41CA0" w:rsidR="00607A42" w:rsidRPr="008A0A4E" w:rsidRDefault="00607A42" w:rsidP="00607A42">
            <w:pPr>
              <w:ind w:left="751"/>
              <w:rPr>
                <w:rFonts w:ascii="Arial" w:hAnsi="Arial" w:cs="Arial"/>
                <w:b/>
                <w:bCs/>
                <w:color w:val="000000"/>
                <w:sz w:val="22"/>
                <w:szCs w:val="22"/>
              </w:rPr>
            </w:pPr>
            <w:r w:rsidRPr="008A0A4E">
              <w:rPr>
                <w:rFonts w:ascii="Arial" w:hAnsi="Arial" w:cs="Arial"/>
                <w:b/>
                <w:bCs/>
                <w:color w:val="000000"/>
                <w:sz w:val="22"/>
                <w:szCs w:val="22"/>
              </w:rPr>
              <w:t>Total Cash</w:t>
            </w:r>
            <w:r>
              <w:rPr>
                <w:rFonts w:ascii="Arial" w:hAnsi="Arial" w:cs="Arial"/>
                <w:b/>
                <w:bCs/>
                <w:color w:val="000000"/>
                <w:sz w:val="22"/>
                <w:szCs w:val="22"/>
              </w:rPr>
              <w:t xml:space="preserve"> and Cash Equivalents</w:t>
            </w:r>
          </w:p>
        </w:tc>
        <w:tc>
          <w:tcPr>
            <w:tcW w:w="822" w:type="dxa"/>
            <w:tcBorders>
              <w:top w:val="nil"/>
              <w:left w:val="nil"/>
              <w:bottom w:val="nil"/>
              <w:right w:val="nil"/>
            </w:tcBorders>
            <w:noWrap/>
            <w:vAlign w:val="bottom"/>
          </w:tcPr>
          <w:p w14:paraId="1AF8E80C" w14:textId="77777777" w:rsidR="00607A42" w:rsidRPr="008A0A4E" w:rsidRDefault="00607A42" w:rsidP="00607A42">
            <w:pPr>
              <w:jc w:val="right"/>
              <w:rPr>
                <w:rFonts w:ascii="Arial" w:hAnsi="Arial" w:cs="Arial"/>
                <w:color w:val="000000"/>
                <w:sz w:val="22"/>
                <w:szCs w:val="22"/>
              </w:rPr>
            </w:pPr>
          </w:p>
        </w:tc>
        <w:tc>
          <w:tcPr>
            <w:tcW w:w="1417" w:type="dxa"/>
            <w:tcBorders>
              <w:top w:val="single" w:sz="8" w:space="0" w:color="auto"/>
              <w:left w:val="nil"/>
              <w:bottom w:val="single" w:sz="8" w:space="0" w:color="auto"/>
              <w:right w:val="nil"/>
            </w:tcBorders>
          </w:tcPr>
          <w:p w14:paraId="59EAE342" w14:textId="4184AD2E" w:rsidR="00607A42" w:rsidRPr="003D5DCD" w:rsidRDefault="00607A42" w:rsidP="00607A42">
            <w:pPr>
              <w:jc w:val="right"/>
              <w:rPr>
                <w:rFonts w:ascii="Arial" w:hAnsi="Arial" w:cs="Arial"/>
                <w:color w:val="000000"/>
                <w:sz w:val="22"/>
                <w:szCs w:val="22"/>
              </w:rPr>
            </w:pPr>
            <w:r w:rsidRPr="003D5DCD">
              <w:rPr>
                <w:rFonts w:ascii="Arial" w:hAnsi="Arial" w:cs="Arial"/>
                <w:color w:val="000000"/>
                <w:sz w:val="22"/>
                <w:szCs w:val="22"/>
              </w:rPr>
              <w:t>9,417</w:t>
            </w:r>
          </w:p>
        </w:tc>
        <w:tc>
          <w:tcPr>
            <w:tcW w:w="259" w:type="dxa"/>
            <w:tcBorders>
              <w:top w:val="nil"/>
              <w:left w:val="nil"/>
              <w:bottom w:val="nil"/>
              <w:right w:val="nil"/>
            </w:tcBorders>
            <w:vAlign w:val="bottom"/>
          </w:tcPr>
          <w:p w14:paraId="231D3F15" w14:textId="77777777" w:rsidR="00607A42" w:rsidRPr="008A0A4E" w:rsidRDefault="00607A42" w:rsidP="00607A42">
            <w:pPr>
              <w:jc w:val="right"/>
              <w:rPr>
                <w:rFonts w:ascii="Arial" w:hAnsi="Arial" w:cs="Arial"/>
                <w:color w:val="000000"/>
                <w:sz w:val="22"/>
                <w:szCs w:val="22"/>
              </w:rPr>
            </w:pPr>
          </w:p>
        </w:tc>
        <w:tc>
          <w:tcPr>
            <w:tcW w:w="1584" w:type="dxa"/>
            <w:tcBorders>
              <w:top w:val="single" w:sz="8" w:space="0" w:color="auto"/>
              <w:left w:val="nil"/>
              <w:bottom w:val="single" w:sz="8" w:space="0" w:color="auto"/>
              <w:right w:val="nil"/>
            </w:tcBorders>
            <w:vAlign w:val="center"/>
          </w:tcPr>
          <w:p w14:paraId="3409D5E2" w14:textId="4C5867C8" w:rsidR="00607A42" w:rsidRPr="008B22B4" w:rsidRDefault="00607A42" w:rsidP="00607A42">
            <w:pPr>
              <w:jc w:val="right"/>
              <w:rPr>
                <w:rFonts w:ascii="Arial" w:hAnsi="Arial" w:cs="Arial"/>
                <w:b/>
                <w:bCs/>
                <w:color w:val="000000"/>
                <w:sz w:val="22"/>
                <w:szCs w:val="22"/>
              </w:rPr>
            </w:pPr>
            <w:r>
              <w:rPr>
                <w:rFonts w:ascii="Arial" w:hAnsi="Arial" w:cs="Arial"/>
                <w:b/>
                <w:bCs/>
                <w:color w:val="000000"/>
                <w:sz w:val="22"/>
                <w:szCs w:val="22"/>
              </w:rPr>
              <w:t>60,990</w:t>
            </w:r>
          </w:p>
        </w:tc>
      </w:tr>
    </w:tbl>
    <w:p w14:paraId="38E63A43" w14:textId="77777777" w:rsidR="003C45DA" w:rsidRPr="008A0A4E" w:rsidRDefault="003C45DA" w:rsidP="003C45DA">
      <w:pPr>
        <w:pStyle w:val="ListParagraph"/>
        <w:tabs>
          <w:tab w:val="left" w:pos="426"/>
          <w:tab w:val="left" w:pos="1134"/>
        </w:tabs>
        <w:spacing w:after="0"/>
        <w:ind w:left="360"/>
        <w:jc w:val="both"/>
        <w:rPr>
          <w:rFonts w:ascii="Arial" w:hAnsi="Arial" w:cs="Arial"/>
        </w:rPr>
      </w:pPr>
    </w:p>
    <w:p w14:paraId="515671CA" w14:textId="700E49C2" w:rsidR="00FC1536" w:rsidRPr="00FC1536" w:rsidRDefault="00FC1536" w:rsidP="00FC1536">
      <w:pPr>
        <w:pStyle w:val="ListParagraph"/>
        <w:numPr>
          <w:ilvl w:val="0"/>
          <w:numId w:val="24"/>
        </w:numPr>
        <w:tabs>
          <w:tab w:val="left" w:pos="567"/>
        </w:tabs>
        <w:jc w:val="both"/>
        <w:rPr>
          <w:rFonts w:ascii="Arial" w:hAnsi="Arial" w:cs="Arial"/>
        </w:rPr>
      </w:pPr>
      <w:r w:rsidRPr="00FC1536">
        <w:rPr>
          <w:rFonts w:ascii="Arial" w:hAnsi="Arial" w:cs="Arial"/>
          <w:b/>
        </w:rPr>
        <w:t>Debtors and Creditors</w:t>
      </w:r>
    </w:p>
    <w:p w14:paraId="7355FDE5" w14:textId="7922C11F" w:rsidR="003C45DA" w:rsidRDefault="003C45DA" w:rsidP="004D0E98">
      <w:pPr>
        <w:ind w:left="142" w:firstLine="76"/>
        <w:jc w:val="both"/>
        <w:rPr>
          <w:rFonts w:ascii="Arial" w:hAnsi="Arial" w:cs="Arial"/>
          <w:sz w:val="22"/>
          <w:szCs w:val="22"/>
        </w:rPr>
      </w:pPr>
      <w:r w:rsidRPr="008A0A4E">
        <w:rPr>
          <w:rFonts w:ascii="Arial" w:hAnsi="Arial" w:cs="Arial"/>
          <w:sz w:val="22"/>
          <w:szCs w:val="22"/>
        </w:rPr>
        <w:t xml:space="preserve">The following amounts were debtors or creditors for the Fund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E36A17" w:rsidRPr="008A0A4E">
        <w:rPr>
          <w:rFonts w:ascii="Arial" w:hAnsi="Arial" w:cs="Arial"/>
          <w:sz w:val="22"/>
          <w:szCs w:val="22"/>
        </w:rPr>
        <w:t>2</w:t>
      </w:r>
      <w:r w:rsidR="001A48B5">
        <w:rPr>
          <w:rFonts w:ascii="Arial" w:hAnsi="Arial" w:cs="Arial"/>
          <w:sz w:val="22"/>
          <w:szCs w:val="22"/>
        </w:rPr>
        <w:t>5</w:t>
      </w:r>
      <w:r w:rsidRPr="008A0A4E">
        <w:rPr>
          <w:rFonts w:ascii="Arial" w:hAnsi="Arial" w:cs="Arial"/>
          <w:sz w:val="22"/>
          <w:szCs w:val="22"/>
        </w:rPr>
        <w:t>:</w:t>
      </w:r>
    </w:p>
    <w:p w14:paraId="16914BCE" w14:textId="77777777" w:rsidR="00E67495" w:rsidRDefault="00E67495" w:rsidP="004D0E98">
      <w:pPr>
        <w:ind w:left="142" w:firstLine="76"/>
        <w:jc w:val="both"/>
        <w:rPr>
          <w:rFonts w:ascii="Arial" w:hAnsi="Arial" w:cs="Arial"/>
          <w:sz w:val="22"/>
          <w:szCs w:val="22"/>
        </w:rPr>
      </w:pPr>
    </w:p>
    <w:tbl>
      <w:tblPr>
        <w:tblW w:w="9214" w:type="dxa"/>
        <w:tblLook w:val="04A0" w:firstRow="1" w:lastRow="0" w:firstColumn="1" w:lastColumn="0" w:noHBand="0" w:noVBand="1"/>
      </w:tblPr>
      <w:tblGrid>
        <w:gridCol w:w="3540"/>
        <w:gridCol w:w="1300"/>
        <w:gridCol w:w="1964"/>
        <w:gridCol w:w="656"/>
        <w:gridCol w:w="1754"/>
      </w:tblGrid>
      <w:tr w:rsidR="00465AA6" w14:paraId="380E8A55" w14:textId="77777777" w:rsidTr="00B92A0C">
        <w:trPr>
          <w:trHeight w:val="300"/>
        </w:trPr>
        <w:tc>
          <w:tcPr>
            <w:tcW w:w="3540" w:type="dxa"/>
            <w:tcBorders>
              <w:top w:val="nil"/>
              <w:left w:val="nil"/>
              <w:bottom w:val="nil"/>
              <w:right w:val="nil"/>
            </w:tcBorders>
            <w:shd w:val="clear" w:color="000000" w:fill="FFFFFF"/>
            <w:noWrap/>
            <w:vAlign w:val="center"/>
            <w:hideMark/>
          </w:tcPr>
          <w:p w14:paraId="56FAED26" w14:textId="77777777" w:rsidR="00465AA6" w:rsidRDefault="00465AA6">
            <w:pPr>
              <w:rPr>
                <w:rFonts w:ascii="Arial" w:hAnsi="Arial" w:cs="Arial"/>
                <w:b/>
                <w:bCs/>
                <w:color w:val="000000"/>
                <w:sz w:val="22"/>
                <w:szCs w:val="22"/>
              </w:rPr>
            </w:pPr>
            <w:r>
              <w:rPr>
                <w:rFonts w:ascii="Arial" w:hAnsi="Arial" w:cs="Arial"/>
                <w:b/>
                <w:bCs/>
                <w:color w:val="000000"/>
                <w:sz w:val="22"/>
                <w:szCs w:val="22"/>
              </w:rPr>
              <w:t> </w:t>
            </w:r>
          </w:p>
        </w:tc>
        <w:tc>
          <w:tcPr>
            <w:tcW w:w="1300" w:type="dxa"/>
            <w:tcBorders>
              <w:top w:val="nil"/>
              <w:left w:val="nil"/>
              <w:bottom w:val="nil"/>
              <w:right w:val="nil"/>
            </w:tcBorders>
            <w:shd w:val="clear" w:color="000000" w:fill="FFFFFF"/>
            <w:noWrap/>
            <w:vAlign w:val="center"/>
            <w:hideMark/>
          </w:tcPr>
          <w:p w14:paraId="7368A8B0"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111C58A2" w14:textId="45441562" w:rsidR="00465AA6" w:rsidRDefault="00B92A0C">
            <w:pPr>
              <w:jc w:val="center"/>
              <w:rPr>
                <w:rFonts w:ascii="Arial" w:hAnsi="Arial" w:cs="Arial"/>
                <w:b/>
                <w:bCs/>
                <w:color w:val="000000"/>
                <w:sz w:val="22"/>
                <w:szCs w:val="22"/>
              </w:rPr>
            </w:pPr>
            <w:r w:rsidRPr="004A3AC2">
              <w:rPr>
                <w:rFonts w:ascii="Arial" w:hAnsi="Arial" w:cs="Arial"/>
                <w:b/>
                <w:bCs/>
                <w:color w:val="000000"/>
                <w:sz w:val="22"/>
                <w:szCs w:val="22"/>
              </w:rPr>
              <w:t>31 March 2024</w:t>
            </w:r>
          </w:p>
        </w:tc>
        <w:tc>
          <w:tcPr>
            <w:tcW w:w="656" w:type="dxa"/>
            <w:tcBorders>
              <w:top w:val="nil"/>
              <w:left w:val="nil"/>
              <w:bottom w:val="nil"/>
              <w:right w:val="nil"/>
            </w:tcBorders>
            <w:shd w:val="clear" w:color="000000" w:fill="FFFFFF"/>
            <w:noWrap/>
            <w:vAlign w:val="center"/>
            <w:hideMark/>
          </w:tcPr>
          <w:p w14:paraId="0780F986" w14:textId="77777777" w:rsidR="00465AA6" w:rsidRDefault="00465AA6">
            <w:pPr>
              <w:rPr>
                <w:rFonts w:ascii="Calibri" w:hAnsi="Calibri" w:cs="Calibri"/>
                <w:color w:val="000000"/>
                <w:sz w:val="22"/>
                <w:szCs w:val="22"/>
              </w:rPr>
            </w:pPr>
            <w:r>
              <w:rPr>
                <w:rFonts w:ascii="Calibri" w:hAnsi="Calibri" w:cs="Calibri"/>
                <w:color w:val="000000"/>
                <w:sz w:val="22"/>
                <w:szCs w:val="22"/>
              </w:rPr>
              <w:t> </w:t>
            </w:r>
          </w:p>
        </w:tc>
        <w:tc>
          <w:tcPr>
            <w:tcW w:w="1754" w:type="dxa"/>
            <w:tcBorders>
              <w:top w:val="nil"/>
              <w:left w:val="nil"/>
              <w:bottom w:val="nil"/>
              <w:right w:val="nil"/>
            </w:tcBorders>
            <w:shd w:val="clear" w:color="000000" w:fill="FFFFFF"/>
            <w:noWrap/>
            <w:vAlign w:val="center"/>
            <w:hideMark/>
          </w:tcPr>
          <w:p w14:paraId="79F145C5" w14:textId="70D86232" w:rsidR="00465AA6" w:rsidRDefault="00B92A0C">
            <w:pPr>
              <w:jc w:val="center"/>
              <w:rPr>
                <w:rFonts w:ascii="Arial" w:hAnsi="Arial" w:cs="Arial"/>
                <w:b/>
                <w:bCs/>
                <w:color w:val="000000"/>
                <w:sz w:val="22"/>
                <w:szCs w:val="22"/>
              </w:rPr>
            </w:pPr>
            <w:r>
              <w:rPr>
                <w:rFonts w:ascii="Arial" w:hAnsi="Arial" w:cs="Arial"/>
                <w:b/>
                <w:bCs/>
                <w:color w:val="000000"/>
                <w:sz w:val="22"/>
                <w:szCs w:val="22"/>
              </w:rPr>
              <w:t>31 March 2025</w:t>
            </w:r>
          </w:p>
        </w:tc>
      </w:tr>
      <w:tr w:rsidR="00465AA6" w14:paraId="3750E4A4" w14:textId="77777777" w:rsidTr="00B92A0C">
        <w:trPr>
          <w:trHeight w:val="300"/>
        </w:trPr>
        <w:tc>
          <w:tcPr>
            <w:tcW w:w="3540" w:type="dxa"/>
            <w:tcBorders>
              <w:top w:val="nil"/>
              <w:left w:val="nil"/>
              <w:bottom w:val="nil"/>
              <w:right w:val="nil"/>
            </w:tcBorders>
            <w:shd w:val="clear" w:color="auto" w:fill="auto"/>
            <w:noWrap/>
            <w:vAlign w:val="bottom"/>
            <w:hideMark/>
          </w:tcPr>
          <w:p w14:paraId="20DDAAC9" w14:textId="77777777" w:rsidR="00465AA6" w:rsidRDefault="00465AA6">
            <w:pPr>
              <w:jc w:val="center"/>
              <w:rPr>
                <w:rFonts w:ascii="Arial" w:hAnsi="Arial" w:cs="Arial"/>
                <w:b/>
                <w:bCs/>
                <w:color w:val="000000"/>
                <w:sz w:val="22"/>
                <w:szCs w:val="22"/>
              </w:rPr>
            </w:pPr>
          </w:p>
        </w:tc>
        <w:tc>
          <w:tcPr>
            <w:tcW w:w="1300" w:type="dxa"/>
            <w:tcBorders>
              <w:top w:val="nil"/>
              <w:left w:val="nil"/>
              <w:bottom w:val="nil"/>
              <w:right w:val="nil"/>
            </w:tcBorders>
            <w:shd w:val="clear" w:color="000000" w:fill="FFFFFF"/>
            <w:noWrap/>
            <w:vAlign w:val="center"/>
            <w:hideMark/>
          </w:tcPr>
          <w:p w14:paraId="72ED9491"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1F697DAE" w14:textId="5566BCB1" w:rsidR="00465AA6" w:rsidRDefault="00B92A0C">
            <w:pPr>
              <w:jc w:val="center"/>
              <w:rPr>
                <w:rFonts w:ascii="Arial" w:hAnsi="Arial" w:cs="Arial"/>
                <w:b/>
                <w:bCs/>
                <w:color w:val="000000"/>
                <w:sz w:val="22"/>
                <w:szCs w:val="22"/>
              </w:rPr>
            </w:pPr>
            <w:r w:rsidRPr="004A3AC2">
              <w:rPr>
                <w:rFonts w:ascii="Arial" w:hAnsi="Arial" w:cs="Arial"/>
                <w:b/>
                <w:bCs/>
                <w:color w:val="000000"/>
                <w:sz w:val="22"/>
                <w:szCs w:val="22"/>
              </w:rPr>
              <w:t>£000</w:t>
            </w:r>
          </w:p>
        </w:tc>
        <w:tc>
          <w:tcPr>
            <w:tcW w:w="656" w:type="dxa"/>
            <w:tcBorders>
              <w:top w:val="nil"/>
              <w:left w:val="nil"/>
              <w:bottom w:val="nil"/>
              <w:right w:val="nil"/>
            </w:tcBorders>
            <w:shd w:val="clear" w:color="000000" w:fill="FFFFFF"/>
            <w:noWrap/>
            <w:vAlign w:val="bottom"/>
            <w:hideMark/>
          </w:tcPr>
          <w:p w14:paraId="2D07518E" w14:textId="77777777" w:rsidR="00465AA6" w:rsidRDefault="00465AA6">
            <w:pPr>
              <w:rPr>
                <w:rFonts w:ascii="Calibri" w:hAnsi="Calibri" w:cs="Calibri"/>
                <w:color w:val="000000"/>
                <w:sz w:val="22"/>
                <w:szCs w:val="22"/>
              </w:rPr>
            </w:pPr>
            <w:r>
              <w:rPr>
                <w:rFonts w:ascii="Calibri" w:hAnsi="Calibri" w:cs="Calibri"/>
                <w:color w:val="000000"/>
                <w:sz w:val="22"/>
                <w:szCs w:val="22"/>
              </w:rPr>
              <w:t> </w:t>
            </w:r>
          </w:p>
        </w:tc>
        <w:tc>
          <w:tcPr>
            <w:tcW w:w="1754" w:type="dxa"/>
            <w:tcBorders>
              <w:top w:val="nil"/>
              <w:left w:val="nil"/>
              <w:bottom w:val="nil"/>
              <w:right w:val="nil"/>
            </w:tcBorders>
            <w:shd w:val="clear" w:color="000000" w:fill="FFFFFF"/>
            <w:noWrap/>
            <w:vAlign w:val="center"/>
            <w:hideMark/>
          </w:tcPr>
          <w:p w14:paraId="0CD08A28" w14:textId="38B57127" w:rsidR="00465AA6" w:rsidRDefault="00B92A0C">
            <w:pPr>
              <w:jc w:val="center"/>
              <w:rPr>
                <w:rFonts w:ascii="Arial" w:hAnsi="Arial" w:cs="Arial"/>
                <w:b/>
                <w:bCs/>
                <w:color w:val="000000"/>
                <w:sz w:val="22"/>
                <w:szCs w:val="22"/>
              </w:rPr>
            </w:pPr>
            <w:r>
              <w:rPr>
                <w:rFonts w:ascii="Arial" w:hAnsi="Arial" w:cs="Arial"/>
                <w:b/>
                <w:bCs/>
                <w:color w:val="000000"/>
                <w:sz w:val="22"/>
                <w:szCs w:val="22"/>
              </w:rPr>
              <w:t>£000</w:t>
            </w:r>
          </w:p>
        </w:tc>
      </w:tr>
      <w:tr w:rsidR="00465AA6" w14:paraId="3801FEBB" w14:textId="77777777" w:rsidTr="00B92A0C">
        <w:trPr>
          <w:trHeight w:val="300"/>
        </w:trPr>
        <w:tc>
          <w:tcPr>
            <w:tcW w:w="3540" w:type="dxa"/>
            <w:tcBorders>
              <w:top w:val="nil"/>
              <w:left w:val="nil"/>
              <w:bottom w:val="nil"/>
              <w:right w:val="nil"/>
            </w:tcBorders>
            <w:shd w:val="clear" w:color="000000" w:fill="FFFFFF"/>
            <w:noWrap/>
            <w:vAlign w:val="center"/>
            <w:hideMark/>
          </w:tcPr>
          <w:p w14:paraId="356045B0" w14:textId="77777777" w:rsidR="00465AA6" w:rsidRDefault="00465AA6">
            <w:pPr>
              <w:rPr>
                <w:rFonts w:ascii="Arial" w:hAnsi="Arial" w:cs="Arial"/>
                <w:b/>
                <w:bCs/>
                <w:color w:val="000000"/>
                <w:sz w:val="22"/>
                <w:szCs w:val="22"/>
              </w:rPr>
            </w:pPr>
            <w:r>
              <w:rPr>
                <w:rFonts w:ascii="Arial" w:hAnsi="Arial" w:cs="Arial"/>
                <w:b/>
                <w:bCs/>
                <w:color w:val="000000"/>
                <w:sz w:val="22"/>
                <w:szCs w:val="22"/>
              </w:rPr>
              <w:t>Current Assets</w:t>
            </w:r>
          </w:p>
        </w:tc>
        <w:tc>
          <w:tcPr>
            <w:tcW w:w="1300" w:type="dxa"/>
            <w:tcBorders>
              <w:top w:val="nil"/>
              <w:left w:val="nil"/>
              <w:bottom w:val="nil"/>
              <w:right w:val="nil"/>
            </w:tcBorders>
            <w:shd w:val="clear" w:color="000000" w:fill="FFFFFF"/>
            <w:noWrap/>
            <w:vAlign w:val="center"/>
            <w:hideMark/>
          </w:tcPr>
          <w:p w14:paraId="495E502C"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42367CA7"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656" w:type="dxa"/>
            <w:tcBorders>
              <w:top w:val="nil"/>
              <w:left w:val="nil"/>
              <w:bottom w:val="nil"/>
              <w:right w:val="nil"/>
            </w:tcBorders>
            <w:shd w:val="clear" w:color="000000" w:fill="FFFFFF"/>
            <w:noWrap/>
            <w:vAlign w:val="center"/>
            <w:hideMark/>
          </w:tcPr>
          <w:p w14:paraId="3F58F63F" w14:textId="77777777" w:rsidR="00465AA6" w:rsidRDefault="00465AA6">
            <w:pPr>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52EBB816"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r>
      <w:tr w:rsidR="00465AA6" w14:paraId="22E3E3E7" w14:textId="77777777" w:rsidTr="00B92A0C">
        <w:trPr>
          <w:trHeight w:val="300"/>
        </w:trPr>
        <w:tc>
          <w:tcPr>
            <w:tcW w:w="3540" w:type="dxa"/>
            <w:tcBorders>
              <w:top w:val="nil"/>
              <w:left w:val="nil"/>
              <w:bottom w:val="nil"/>
              <w:right w:val="nil"/>
            </w:tcBorders>
            <w:shd w:val="clear" w:color="000000" w:fill="FFFFFF"/>
            <w:noWrap/>
            <w:vAlign w:val="center"/>
            <w:hideMark/>
          </w:tcPr>
          <w:p w14:paraId="3F962480" w14:textId="77777777" w:rsidR="00465AA6" w:rsidRDefault="00465AA6">
            <w:pPr>
              <w:rPr>
                <w:rFonts w:ascii="Arial" w:hAnsi="Arial" w:cs="Arial"/>
                <w:color w:val="000000"/>
                <w:sz w:val="22"/>
                <w:szCs w:val="22"/>
              </w:rPr>
            </w:pPr>
            <w:r>
              <w:rPr>
                <w:rFonts w:ascii="Arial" w:hAnsi="Arial" w:cs="Arial"/>
                <w:color w:val="000000"/>
                <w:sz w:val="22"/>
                <w:szCs w:val="22"/>
              </w:rPr>
              <w:t>Contributions due – employees</w:t>
            </w:r>
          </w:p>
        </w:tc>
        <w:tc>
          <w:tcPr>
            <w:tcW w:w="1300" w:type="dxa"/>
            <w:tcBorders>
              <w:top w:val="nil"/>
              <w:left w:val="nil"/>
              <w:bottom w:val="nil"/>
              <w:right w:val="nil"/>
            </w:tcBorders>
            <w:shd w:val="clear" w:color="000000" w:fill="FFFFFF"/>
            <w:noWrap/>
            <w:vAlign w:val="center"/>
            <w:hideMark/>
          </w:tcPr>
          <w:p w14:paraId="7E0310CC"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56A85B31"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203</w:t>
            </w:r>
          </w:p>
        </w:tc>
        <w:tc>
          <w:tcPr>
            <w:tcW w:w="656" w:type="dxa"/>
            <w:tcBorders>
              <w:top w:val="nil"/>
              <w:left w:val="nil"/>
              <w:bottom w:val="nil"/>
              <w:right w:val="nil"/>
            </w:tcBorders>
            <w:shd w:val="clear" w:color="000000" w:fill="FFFFFF"/>
            <w:noWrap/>
            <w:vAlign w:val="center"/>
            <w:hideMark/>
          </w:tcPr>
          <w:p w14:paraId="13BF5506"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2E2D8213"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xml:space="preserve">             227 </w:t>
            </w:r>
          </w:p>
        </w:tc>
      </w:tr>
      <w:tr w:rsidR="00465AA6" w14:paraId="6F94F492" w14:textId="77777777" w:rsidTr="00B92A0C">
        <w:trPr>
          <w:trHeight w:val="300"/>
        </w:trPr>
        <w:tc>
          <w:tcPr>
            <w:tcW w:w="3540" w:type="dxa"/>
            <w:tcBorders>
              <w:top w:val="nil"/>
              <w:left w:val="nil"/>
              <w:bottom w:val="nil"/>
              <w:right w:val="nil"/>
            </w:tcBorders>
            <w:shd w:val="clear" w:color="000000" w:fill="FFFFFF"/>
            <w:noWrap/>
            <w:vAlign w:val="center"/>
            <w:hideMark/>
          </w:tcPr>
          <w:p w14:paraId="1BAAD5F5" w14:textId="5B8011AB" w:rsidR="00465AA6" w:rsidRDefault="00465AA6">
            <w:pPr>
              <w:rPr>
                <w:rFonts w:ascii="Arial" w:hAnsi="Arial" w:cs="Arial"/>
                <w:color w:val="000000"/>
                <w:sz w:val="22"/>
                <w:szCs w:val="22"/>
              </w:rPr>
            </w:pPr>
            <w:r>
              <w:rPr>
                <w:rFonts w:ascii="Arial" w:hAnsi="Arial" w:cs="Arial"/>
                <w:color w:val="000000"/>
                <w:sz w:val="22"/>
                <w:szCs w:val="22"/>
              </w:rPr>
              <w:t xml:space="preserve">Contributions due </w:t>
            </w:r>
            <w:r w:rsidR="00145FF0">
              <w:rPr>
                <w:rFonts w:ascii="Arial" w:hAnsi="Arial" w:cs="Arial"/>
                <w:color w:val="000000"/>
                <w:sz w:val="22"/>
                <w:szCs w:val="22"/>
              </w:rPr>
              <w:t xml:space="preserve">– </w:t>
            </w:r>
            <w:r>
              <w:rPr>
                <w:rFonts w:ascii="Arial" w:hAnsi="Arial" w:cs="Arial"/>
                <w:color w:val="000000"/>
                <w:sz w:val="22"/>
                <w:szCs w:val="22"/>
              </w:rPr>
              <w:t>employers</w:t>
            </w:r>
          </w:p>
        </w:tc>
        <w:tc>
          <w:tcPr>
            <w:tcW w:w="1300" w:type="dxa"/>
            <w:tcBorders>
              <w:top w:val="nil"/>
              <w:left w:val="nil"/>
              <w:bottom w:val="nil"/>
              <w:right w:val="nil"/>
            </w:tcBorders>
            <w:shd w:val="clear" w:color="000000" w:fill="FFFFFF"/>
            <w:noWrap/>
            <w:vAlign w:val="center"/>
            <w:hideMark/>
          </w:tcPr>
          <w:p w14:paraId="03DEE4F6"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19025363"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711</w:t>
            </w:r>
          </w:p>
        </w:tc>
        <w:tc>
          <w:tcPr>
            <w:tcW w:w="656" w:type="dxa"/>
            <w:tcBorders>
              <w:top w:val="nil"/>
              <w:left w:val="nil"/>
              <w:bottom w:val="nil"/>
              <w:right w:val="nil"/>
            </w:tcBorders>
            <w:shd w:val="clear" w:color="000000" w:fill="FFFFFF"/>
            <w:noWrap/>
            <w:vAlign w:val="center"/>
            <w:hideMark/>
          </w:tcPr>
          <w:p w14:paraId="0945C247"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543AD1F1"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xml:space="preserve">             732 </w:t>
            </w:r>
          </w:p>
        </w:tc>
      </w:tr>
      <w:tr w:rsidR="00465AA6" w14:paraId="49A6661D" w14:textId="77777777" w:rsidTr="00B92A0C">
        <w:trPr>
          <w:trHeight w:val="300"/>
        </w:trPr>
        <w:tc>
          <w:tcPr>
            <w:tcW w:w="3540" w:type="dxa"/>
            <w:tcBorders>
              <w:top w:val="nil"/>
              <w:left w:val="nil"/>
              <w:bottom w:val="nil"/>
              <w:right w:val="nil"/>
            </w:tcBorders>
            <w:shd w:val="clear" w:color="auto" w:fill="auto"/>
            <w:vAlign w:val="center"/>
            <w:hideMark/>
          </w:tcPr>
          <w:p w14:paraId="40778611" w14:textId="77777777" w:rsidR="00465AA6" w:rsidRDefault="00465AA6">
            <w:pPr>
              <w:rPr>
                <w:rFonts w:ascii="Arial" w:hAnsi="Arial" w:cs="Arial"/>
                <w:color w:val="000000"/>
                <w:sz w:val="22"/>
                <w:szCs w:val="22"/>
              </w:rPr>
            </w:pPr>
            <w:r>
              <w:rPr>
                <w:rFonts w:ascii="Arial" w:hAnsi="Arial" w:cs="Arial"/>
                <w:color w:val="000000"/>
                <w:sz w:val="22"/>
                <w:szCs w:val="22"/>
              </w:rPr>
              <w:t>Bank Current Accounts</w:t>
            </w:r>
          </w:p>
        </w:tc>
        <w:tc>
          <w:tcPr>
            <w:tcW w:w="1300" w:type="dxa"/>
            <w:tcBorders>
              <w:top w:val="nil"/>
              <w:left w:val="nil"/>
              <w:bottom w:val="nil"/>
              <w:right w:val="nil"/>
            </w:tcBorders>
            <w:shd w:val="clear" w:color="000000" w:fill="FFFFFF"/>
            <w:noWrap/>
            <w:vAlign w:val="center"/>
            <w:hideMark/>
          </w:tcPr>
          <w:p w14:paraId="445F0BEC"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0D593D18"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 xml:space="preserve">                1,991 </w:t>
            </w:r>
          </w:p>
        </w:tc>
        <w:tc>
          <w:tcPr>
            <w:tcW w:w="656" w:type="dxa"/>
            <w:tcBorders>
              <w:top w:val="nil"/>
              <w:left w:val="nil"/>
              <w:bottom w:val="nil"/>
              <w:right w:val="nil"/>
            </w:tcBorders>
            <w:shd w:val="clear" w:color="000000" w:fill="FFFFFF"/>
            <w:noWrap/>
            <w:vAlign w:val="center"/>
            <w:hideMark/>
          </w:tcPr>
          <w:p w14:paraId="33898BD3"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3EC5E9C8"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xml:space="preserve">          6,474 </w:t>
            </w:r>
          </w:p>
        </w:tc>
      </w:tr>
      <w:tr w:rsidR="00465AA6" w14:paraId="5C58BFD0" w14:textId="77777777" w:rsidTr="00B92A0C">
        <w:trPr>
          <w:trHeight w:val="300"/>
        </w:trPr>
        <w:tc>
          <w:tcPr>
            <w:tcW w:w="3540" w:type="dxa"/>
            <w:tcBorders>
              <w:top w:val="nil"/>
              <w:left w:val="nil"/>
              <w:bottom w:val="nil"/>
              <w:right w:val="nil"/>
            </w:tcBorders>
            <w:shd w:val="clear" w:color="auto" w:fill="auto"/>
            <w:vAlign w:val="center"/>
            <w:hideMark/>
          </w:tcPr>
          <w:p w14:paraId="0FA832D1" w14:textId="77777777" w:rsidR="00465AA6" w:rsidRDefault="00465AA6">
            <w:pPr>
              <w:rPr>
                <w:rFonts w:ascii="Arial" w:hAnsi="Arial" w:cs="Arial"/>
                <w:color w:val="000000"/>
                <w:sz w:val="22"/>
                <w:szCs w:val="22"/>
              </w:rPr>
            </w:pPr>
            <w:r>
              <w:rPr>
                <w:rFonts w:ascii="Arial" w:hAnsi="Arial" w:cs="Arial"/>
                <w:color w:val="000000"/>
                <w:sz w:val="22"/>
                <w:szCs w:val="22"/>
              </w:rPr>
              <w:t>Money Market Funds</w:t>
            </w:r>
          </w:p>
        </w:tc>
        <w:tc>
          <w:tcPr>
            <w:tcW w:w="1300" w:type="dxa"/>
            <w:tcBorders>
              <w:top w:val="nil"/>
              <w:left w:val="nil"/>
              <w:bottom w:val="nil"/>
              <w:right w:val="nil"/>
            </w:tcBorders>
            <w:shd w:val="clear" w:color="000000" w:fill="FFFFFF"/>
            <w:noWrap/>
            <w:vAlign w:val="center"/>
            <w:hideMark/>
          </w:tcPr>
          <w:p w14:paraId="42B22BF4"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484D1A0A" w14:textId="05E8FC7D" w:rsidR="00465AA6" w:rsidRPr="00465AA6" w:rsidRDefault="00910CC6">
            <w:pPr>
              <w:jc w:val="right"/>
              <w:rPr>
                <w:rFonts w:ascii="Arial" w:hAnsi="Arial" w:cs="Arial"/>
                <w:color w:val="000000"/>
                <w:sz w:val="22"/>
                <w:szCs w:val="22"/>
              </w:rPr>
            </w:pPr>
            <w:r>
              <w:rPr>
                <w:rFonts w:ascii="Arial" w:hAnsi="Arial" w:cs="Arial"/>
                <w:color w:val="000000"/>
                <w:sz w:val="22"/>
                <w:szCs w:val="22"/>
              </w:rPr>
              <w:t>-</w:t>
            </w:r>
          </w:p>
        </w:tc>
        <w:tc>
          <w:tcPr>
            <w:tcW w:w="656" w:type="dxa"/>
            <w:tcBorders>
              <w:top w:val="nil"/>
              <w:left w:val="nil"/>
              <w:bottom w:val="nil"/>
              <w:right w:val="nil"/>
            </w:tcBorders>
            <w:shd w:val="clear" w:color="000000" w:fill="FFFFFF"/>
            <w:noWrap/>
            <w:vAlign w:val="center"/>
            <w:hideMark/>
          </w:tcPr>
          <w:p w14:paraId="50ECC8C6"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26DF3749"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xml:space="preserve">        17,459 </w:t>
            </w:r>
          </w:p>
        </w:tc>
      </w:tr>
      <w:tr w:rsidR="00465AA6" w14:paraId="15A582CE" w14:textId="77777777" w:rsidTr="00B92A0C">
        <w:trPr>
          <w:trHeight w:val="300"/>
        </w:trPr>
        <w:tc>
          <w:tcPr>
            <w:tcW w:w="3540" w:type="dxa"/>
            <w:tcBorders>
              <w:top w:val="nil"/>
              <w:left w:val="nil"/>
              <w:bottom w:val="nil"/>
              <w:right w:val="nil"/>
            </w:tcBorders>
            <w:shd w:val="clear" w:color="auto" w:fill="auto"/>
            <w:noWrap/>
            <w:vAlign w:val="center"/>
            <w:hideMark/>
          </w:tcPr>
          <w:p w14:paraId="53C375AA" w14:textId="77777777" w:rsidR="00465AA6" w:rsidRDefault="00465AA6">
            <w:pPr>
              <w:rPr>
                <w:rFonts w:ascii="Arial" w:hAnsi="Arial" w:cs="Arial"/>
                <w:color w:val="000000"/>
                <w:sz w:val="22"/>
                <w:szCs w:val="22"/>
              </w:rPr>
            </w:pPr>
            <w:r>
              <w:rPr>
                <w:rFonts w:ascii="Arial" w:hAnsi="Arial" w:cs="Arial"/>
                <w:color w:val="000000"/>
                <w:sz w:val="22"/>
                <w:szCs w:val="22"/>
              </w:rPr>
              <w:t xml:space="preserve">Short Term Loan </w:t>
            </w:r>
          </w:p>
        </w:tc>
        <w:tc>
          <w:tcPr>
            <w:tcW w:w="1300" w:type="dxa"/>
            <w:tcBorders>
              <w:top w:val="nil"/>
              <w:left w:val="nil"/>
              <w:bottom w:val="nil"/>
              <w:right w:val="nil"/>
            </w:tcBorders>
            <w:shd w:val="clear" w:color="000000" w:fill="FFFFFF"/>
            <w:noWrap/>
            <w:vAlign w:val="center"/>
            <w:hideMark/>
          </w:tcPr>
          <w:p w14:paraId="0C85D234"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04DDC765"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 xml:space="preserve">              16,900 </w:t>
            </w:r>
          </w:p>
        </w:tc>
        <w:tc>
          <w:tcPr>
            <w:tcW w:w="656" w:type="dxa"/>
            <w:tcBorders>
              <w:top w:val="nil"/>
              <w:left w:val="nil"/>
              <w:bottom w:val="nil"/>
              <w:right w:val="nil"/>
            </w:tcBorders>
            <w:shd w:val="clear" w:color="000000" w:fill="FFFFFF"/>
            <w:noWrap/>
            <w:vAlign w:val="center"/>
            <w:hideMark/>
          </w:tcPr>
          <w:p w14:paraId="4B373180"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1F72E41A"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xml:space="preserve">               -   </w:t>
            </w:r>
          </w:p>
        </w:tc>
      </w:tr>
      <w:tr w:rsidR="00465AA6" w14:paraId="3BC19865" w14:textId="77777777" w:rsidTr="00E4682F">
        <w:trPr>
          <w:trHeight w:val="315"/>
        </w:trPr>
        <w:tc>
          <w:tcPr>
            <w:tcW w:w="3540" w:type="dxa"/>
            <w:tcBorders>
              <w:top w:val="nil"/>
              <w:left w:val="nil"/>
              <w:bottom w:val="nil"/>
              <w:right w:val="nil"/>
            </w:tcBorders>
            <w:shd w:val="clear" w:color="000000" w:fill="FFFFFF"/>
            <w:noWrap/>
            <w:vAlign w:val="center"/>
            <w:hideMark/>
          </w:tcPr>
          <w:p w14:paraId="0997C5A6" w14:textId="77777777" w:rsidR="00465AA6" w:rsidRDefault="00465AA6">
            <w:pPr>
              <w:rPr>
                <w:rFonts w:ascii="Arial" w:hAnsi="Arial" w:cs="Arial"/>
                <w:color w:val="000000"/>
                <w:sz w:val="22"/>
                <w:szCs w:val="22"/>
              </w:rPr>
            </w:pPr>
            <w:r>
              <w:rPr>
                <w:rFonts w:ascii="Arial" w:hAnsi="Arial" w:cs="Arial"/>
                <w:color w:val="000000"/>
                <w:sz w:val="22"/>
                <w:szCs w:val="22"/>
              </w:rPr>
              <w:t>Sundry debtors</w:t>
            </w:r>
          </w:p>
        </w:tc>
        <w:tc>
          <w:tcPr>
            <w:tcW w:w="1300" w:type="dxa"/>
            <w:tcBorders>
              <w:top w:val="nil"/>
              <w:left w:val="nil"/>
              <w:bottom w:val="nil"/>
              <w:right w:val="nil"/>
            </w:tcBorders>
            <w:shd w:val="clear" w:color="000000" w:fill="FFFFFF"/>
            <w:noWrap/>
            <w:vAlign w:val="center"/>
            <w:hideMark/>
          </w:tcPr>
          <w:p w14:paraId="1E86163F"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single" w:sz="8" w:space="0" w:color="auto"/>
              <w:right w:val="nil"/>
            </w:tcBorders>
            <w:shd w:val="clear" w:color="000000" w:fill="FFFFFF"/>
            <w:noWrap/>
            <w:vAlign w:val="center"/>
            <w:hideMark/>
          </w:tcPr>
          <w:p w14:paraId="1910376C"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617</w:t>
            </w:r>
          </w:p>
        </w:tc>
        <w:tc>
          <w:tcPr>
            <w:tcW w:w="656" w:type="dxa"/>
            <w:tcBorders>
              <w:top w:val="nil"/>
              <w:left w:val="nil"/>
              <w:bottom w:val="nil"/>
              <w:right w:val="nil"/>
            </w:tcBorders>
            <w:shd w:val="clear" w:color="000000" w:fill="FFFFFF"/>
            <w:noWrap/>
            <w:vAlign w:val="center"/>
            <w:hideMark/>
          </w:tcPr>
          <w:p w14:paraId="1E2AD71E"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single" w:sz="8" w:space="0" w:color="auto"/>
              <w:right w:val="nil"/>
            </w:tcBorders>
            <w:shd w:val="clear" w:color="000000" w:fill="FFFFFF"/>
            <w:noWrap/>
            <w:vAlign w:val="center"/>
            <w:hideMark/>
          </w:tcPr>
          <w:p w14:paraId="6C8B6C2B"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1,351</w:t>
            </w:r>
          </w:p>
        </w:tc>
      </w:tr>
      <w:tr w:rsidR="00465AA6" w14:paraId="18CF0896" w14:textId="77777777" w:rsidTr="00E4682F">
        <w:trPr>
          <w:trHeight w:val="315"/>
        </w:trPr>
        <w:tc>
          <w:tcPr>
            <w:tcW w:w="3540" w:type="dxa"/>
            <w:tcBorders>
              <w:top w:val="nil"/>
              <w:left w:val="nil"/>
              <w:bottom w:val="nil"/>
              <w:right w:val="nil"/>
            </w:tcBorders>
            <w:shd w:val="clear" w:color="000000" w:fill="FFFFFF"/>
            <w:noWrap/>
            <w:vAlign w:val="center"/>
            <w:hideMark/>
          </w:tcPr>
          <w:p w14:paraId="0D002E64" w14:textId="77777777" w:rsidR="00465AA6" w:rsidRDefault="00465AA6">
            <w:pPr>
              <w:rPr>
                <w:rFonts w:ascii="Arial" w:hAnsi="Arial" w:cs="Arial"/>
                <w:b/>
                <w:bCs/>
                <w:color w:val="000000"/>
                <w:sz w:val="22"/>
                <w:szCs w:val="22"/>
              </w:rPr>
            </w:pPr>
            <w:r>
              <w:rPr>
                <w:rFonts w:ascii="Arial" w:hAnsi="Arial" w:cs="Arial"/>
                <w:b/>
                <w:bCs/>
                <w:color w:val="000000"/>
                <w:sz w:val="22"/>
                <w:szCs w:val="22"/>
              </w:rPr>
              <w:t>Total Debtors</w:t>
            </w:r>
          </w:p>
        </w:tc>
        <w:tc>
          <w:tcPr>
            <w:tcW w:w="1300" w:type="dxa"/>
            <w:tcBorders>
              <w:top w:val="nil"/>
              <w:left w:val="nil"/>
              <w:bottom w:val="nil"/>
              <w:right w:val="nil"/>
            </w:tcBorders>
            <w:shd w:val="clear" w:color="000000" w:fill="FFFFFF"/>
            <w:noWrap/>
            <w:vAlign w:val="center"/>
            <w:hideMark/>
          </w:tcPr>
          <w:p w14:paraId="5B0061AE" w14:textId="77777777" w:rsidR="00465AA6" w:rsidRDefault="00465AA6">
            <w:pPr>
              <w:jc w:val="center"/>
              <w:rPr>
                <w:rFonts w:ascii="Arial" w:hAnsi="Arial" w:cs="Arial"/>
                <w:color w:val="000000"/>
                <w:sz w:val="22"/>
                <w:szCs w:val="22"/>
              </w:rPr>
            </w:pPr>
            <w:r>
              <w:rPr>
                <w:rFonts w:ascii="Arial" w:hAnsi="Arial" w:cs="Arial"/>
                <w:color w:val="000000"/>
                <w:sz w:val="22"/>
                <w:szCs w:val="22"/>
              </w:rPr>
              <w:t> </w:t>
            </w:r>
          </w:p>
        </w:tc>
        <w:tc>
          <w:tcPr>
            <w:tcW w:w="1964" w:type="dxa"/>
            <w:tcBorders>
              <w:top w:val="single" w:sz="8" w:space="0" w:color="auto"/>
              <w:left w:val="nil"/>
              <w:bottom w:val="single" w:sz="8" w:space="0" w:color="auto"/>
              <w:right w:val="nil"/>
            </w:tcBorders>
            <w:shd w:val="clear" w:color="000000" w:fill="FFFFFF"/>
            <w:noWrap/>
            <w:vAlign w:val="center"/>
            <w:hideMark/>
          </w:tcPr>
          <w:p w14:paraId="38B0489F" w14:textId="77777777" w:rsidR="00465AA6" w:rsidRPr="00E4682F" w:rsidRDefault="00465AA6">
            <w:pPr>
              <w:jc w:val="right"/>
              <w:rPr>
                <w:rFonts w:ascii="Arial" w:hAnsi="Arial" w:cs="Arial"/>
                <w:b/>
                <w:bCs/>
                <w:color w:val="000000"/>
                <w:sz w:val="22"/>
                <w:szCs w:val="22"/>
              </w:rPr>
            </w:pPr>
            <w:r w:rsidRPr="00E4682F">
              <w:rPr>
                <w:rFonts w:ascii="Arial" w:hAnsi="Arial" w:cs="Arial"/>
                <w:b/>
                <w:bCs/>
                <w:color w:val="000000"/>
                <w:sz w:val="22"/>
                <w:szCs w:val="22"/>
              </w:rPr>
              <w:t>20,422</w:t>
            </w:r>
          </w:p>
        </w:tc>
        <w:tc>
          <w:tcPr>
            <w:tcW w:w="656" w:type="dxa"/>
            <w:tcBorders>
              <w:top w:val="nil"/>
              <w:left w:val="nil"/>
              <w:bottom w:val="nil"/>
              <w:right w:val="nil"/>
            </w:tcBorders>
            <w:shd w:val="clear" w:color="000000" w:fill="FFFFFF"/>
            <w:noWrap/>
            <w:vAlign w:val="center"/>
            <w:hideMark/>
          </w:tcPr>
          <w:p w14:paraId="5DDED1A1"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single" w:sz="8" w:space="0" w:color="auto"/>
              <w:left w:val="nil"/>
              <w:bottom w:val="single" w:sz="8" w:space="0" w:color="auto"/>
              <w:right w:val="nil"/>
            </w:tcBorders>
            <w:shd w:val="clear" w:color="000000" w:fill="FFFFFF"/>
            <w:noWrap/>
            <w:vAlign w:val="center"/>
            <w:hideMark/>
          </w:tcPr>
          <w:p w14:paraId="481CED79"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26,243</w:t>
            </w:r>
          </w:p>
        </w:tc>
      </w:tr>
      <w:tr w:rsidR="00465AA6" w14:paraId="46FDE0E2" w14:textId="77777777" w:rsidTr="00E4682F">
        <w:trPr>
          <w:trHeight w:val="315"/>
        </w:trPr>
        <w:tc>
          <w:tcPr>
            <w:tcW w:w="3540" w:type="dxa"/>
            <w:tcBorders>
              <w:top w:val="nil"/>
              <w:left w:val="nil"/>
              <w:bottom w:val="nil"/>
              <w:right w:val="nil"/>
            </w:tcBorders>
            <w:shd w:val="clear" w:color="000000" w:fill="FFFFFF"/>
            <w:noWrap/>
            <w:vAlign w:val="center"/>
            <w:hideMark/>
          </w:tcPr>
          <w:p w14:paraId="59891CDC" w14:textId="77777777" w:rsidR="00465AA6" w:rsidRDefault="00465AA6">
            <w:pPr>
              <w:rPr>
                <w:rFonts w:ascii="Arial" w:hAnsi="Arial" w:cs="Arial"/>
                <w:b/>
                <w:bCs/>
                <w:color w:val="000000"/>
                <w:sz w:val="22"/>
                <w:szCs w:val="22"/>
              </w:rPr>
            </w:pPr>
            <w:r>
              <w:rPr>
                <w:rFonts w:ascii="Arial" w:hAnsi="Arial" w:cs="Arial"/>
                <w:b/>
                <w:bCs/>
                <w:color w:val="000000"/>
                <w:sz w:val="22"/>
                <w:szCs w:val="22"/>
              </w:rPr>
              <w:t> </w:t>
            </w:r>
          </w:p>
        </w:tc>
        <w:tc>
          <w:tcPr>
            <w:tcW w:w="1300" w:type="dxa"/>
            <w:tcBorders>
              <w:top w:val="nil"/>
              <w:left w:val="nil"/>
              <w:bottom w:val="nil"/>
              <w:right w:val="nil"/>
            </w:tcBorders>
            <w:shd w:val="clear" w:color="000000" w:fill="FFFFFF"/>
            <w:noWrap/>
            <w:vAlign w:val="center"/>
            <w:hideMark/>
          </w:tcPr>
          <w:p w14:paraId="7C2510DD" w14:textId="77777777" w:rsidR="00465AA6" w:rsidRDefault="00465AA6">
            <w:pPr>
              <w:rPr>
                <w:rFonts w:ascii="Arial" w:hAnsi="Arial" w:cs="Arial"/>
                <w:color w:val="000000"/>
                <w:sz w:val="22"/>
                <w:szCs w:val="22"/>
              </w:rPr>
            </w:pPr>
            <w:r>
              <w:rPr>
                <w:rFonts w:ascii="Arial" w:hAnsi="Arial" w:cs="Arial"/>
                <w:color w:val="000000"/>
                <w:sz w:val="22"/>
                <w:szCs w:val="22"/>
              </w:rPr>
              <w:t> </w:t>
            </w:r>
          </w:p>
        </w:tc>
        <w:tc>
          <w:tcPr>
            <w:tcW w:w="1964" w:type="dxa"/>
            <w:tcBorders>
              <w:top w:val="single" w:sz="8" w:space="0" w:color="auto"/>
              <w:left w:val="nil"/>
              <w:bottom w:val="nil"/>
              <w:right w:val="nil"/>
            </w:tcBorders>
            <w:shd w:val="clear" w:color="000000" w:fill="FFFFFF"/>
            <w:noWrap/>
            <w:vAlign w:val="center"/>
            <w:hideMark/>
          </w:tcPr>
          <w:p w14:paraId="3504F289"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 </w:t>
            </w:r>
          </w:p>
        </w:tc>
        <w:tc>
          <w:tcPr>
            <w:tcW w:w="656" w:type="dxa"/>
            <w:tcBorders>
              <w:top w:val="nil"/>
              <w:left w:val="nil"/>
              <w:bottom w:val="nil"/>
              <w:right w:val="nil"/>
            </w:tcBorders>
            <w:shd w:val="clear" w:color="000000" w:fill="FFFFFF"/>
            <w:noWrap/>
            <w:vAlign w:val="center"/>
            <w:hideMark/>
          </w:tcPr>
          <w:p w14:paraId="19D93C2D"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single" w:sz="8" w:space="0" w:color="auto"/>
              <w:left w:val="nil"/>
              <w:bottom w:val="nil"/>
              <w:right w:val="nil"/>
            </w:tcBorders>
            <w:shd w:val="clear" w:color="000000" w:fill="FFFFFF"/>
            <w:noWrap/>
            <w:vAlign w:val="center"/>
            <w:hideMark/>
          </w:tcPr>
          <w:p w14:paraId="3DE64BFC"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w:t>
            </w:r>
          </w:p>
        </w:tc>
      </w:tr>
      <w:tr w:rsidR="00465AA6" w14:paraId="19FA072F" w14:textId="77777777" w:rsidTr="00B92A0C">
        <w:trPr>
          <w:trHeight w:val="300"/>
        </w:trPr>
        <w:tc>
          <w:tcPr>
            <w:tcW w:w="3540" w:type="dxa"/>
            <w:tcBorders>
              <w:top w:val="nil"/>
              <w:left w:val="nil"/>
              <w:bottom w:val="nil"/>
              <w:right w:val="nil"/>
            </w:tcBorders>
            <w:shd w:val="clear" w:color="000000" w:fill="FFFFFF"/>
            <w:noWrap/>
            <w:vAlign w:val="center"/>
            <w:hideMark/>
          </w:tcPr>
          <w:p w14:paraId="14A90BE1" w14:textId="77777777" w:rsidR="00465AA6" w:rsidRDefault="00465AA6">
            <w:pPr>
              <w:rPr>
                <w:rFonts w:ascii="Arial" w:hAnsi="Arial" w:cs="Arial"/>
                <w:b/>
                <w:bCs/>
                <w:color w:val="000000"/>
                <w:sz w:val="22"/>
                <w:szCs w:val="22"/>
              </w:rPr>
            </w:pPr>
            <w:r>
              <w:rPr>
                <w:rFonts w:ascii="Arial" w:hAnsi="Arial" w:cs="Arial"/>
                <w:b/>
                <w:bCs/>
                <w:color w:val="000000"/>
                <w:sz w:val="22"/>
                <w:szCs w:val="22"/>
              </w:rPr>
              <w:t>Current Liabilities</w:t>
            </w:r>
          </w:p>
        </w:tc>
        <w:tc>
          <w:tcPr>
            <w:tcW w:w="1300" w:type="dxa"/>
            <w:tcBorders>
              <w:top w:val="nil"/>
              <w:left w:val="nil"/>
              <w:bottom w:val="nil"/>
              <w:right w:val="nil"/>
            </w:tcBorders>
            <w:shd w:val="clear" w:color="000000" w:fill="FFFFFF"/>
            <w:noWrap/>
            <w:vAlign w:val="center"/>
            <w:hideMark/>
          </w:tcPr>
          <w:p w14:paraId="34397F0C" w14:textId="77777777" w:rsidR="00465AA6" w:rsidRDefault="00465AA6">
            <w:pP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nil"/>
              <w:right w:val="nil"/>
            </w:tcBorders>
            <w:shd w:val="clear" w:color="000000" w:fill="FFFFFF"/>
            <w:noWrap/>
            <w:vAlign w:val="center"/>
            <w:hideMark/>
          </w:tcPr>
          <w:p w14:paraId="1CCBADB4"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 </w:t>
            </w:r>
          </w:p>
        </w:tc>
        <w:tc>
          <w:tcPr>
            <w:tcW w:w="656" w:type="dxa"/>
            <w:tcBorders>
              <w:top w:val="nil"/>
              <w:left w:val="nil"/>
              <w:bottom w:val="nil"/>
              <w:right w:val="nil"/>
            </w:tcBorders>
            <w:shd w:val="clear" w:color="000000" w:fill="FFFFFF"/>
            <w:noWrap/>
            <w:vAlign w:val="center"/>
            <w:hideMark/>
          </w:tcPr>
          <w:p w14:paraId="4CD38AA9"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nil"/>
              <w:right w:val="nil"/>
            </w:tcBorders>
            <w:shd w:val="clear" w:color="000000" w:fill="FFFFFF"/>
            <w:noWrap/>
            <w:vAlign w:val="center"/>
            <w:hideMark/>
          </w:tcPr>
          <w:p w14:paraId="6A7B5F0B"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 </w:t>
            </w:r>
          </w:p>
        </w:tc>
      </w:tr>
      <w:tr w:rsidR="00465AA6" w14:paraId="3B6CB81A" w14:textId="77777777" w:rsidTr="00B53577">
        <w:trPr>
          <w:trHeight w:val="315"/>
        </w:trPr>
        <w:tc>
          <w:tcPr>
            <w:tcW w:w="3540" w:type="dxa"/>
            <w:tcBorders>
              <w:top w:val="nil"/>
              <w:left w:val="nil"/>
              <w:bottom w:val="nil"/>
              <w:right w:val="nil"/>
            </w:tcBorders>
            <w:shd w:val="clear" w:color="000000" w:fill="FFFFFF"/>
            <w:noWrap/>
            <w:vAlign w:val="center"/>
            <w:hideMark/>
          </w:tcPr>
          <w:p w14:paraId="27F255EA" w14:textId="77777777" w:rsidR="00465AA6" w:rsidRDefault="00465AA6">
            <w:pPr>
              <w:rPr>
                <w:rFonts w:ascii="Arial" w:hAnsi="Arial" w:cs="Arial"/>
                <w:color w:val="000000"/>
                <w:sz w:val="22"/>
                <w:szCs w:val="22"/>
              </w:rPr>
            </w:pPr>
            <w:r>
              <w:rPr>
                <w:rFonts w:ascii="Arial" w:hAnsi="Arial" w:cs="Arial"/>
                <w:color w:val="000000"/>
                <w:sz w:val="22"/>
                <w:szCs w:val="22"/>
              </w:rPr>
              <w:t>Sundry Creditor</w:t>
            </w:r>
          </w:p>
        </w:tc>
        <w:tc>
          <w:tcPr>
            <w:tcW w:w="1300" w:type="dxa"/>
            <w:tcBorders>
              <w:top w:val="nil"/>
              <w:left w:val="nil"/>
              <w:bottom w:val="nil"/>
              <w:right w:val="nil"/>
            </w:tcBorders>
            <w:shd w:val="clear" w:color="000000" w:fill="FFFFFF"/>
            <w:noWrap/>
            <w:vAlign w:val="center"/>
            <w:hideMark/>
          </w:tcPr>
          <w:p w14:paraId="16D6C28F" w14:textId="77777777" w:rsidR="00465AA6" w:rsidRDefault="00465AA6">
            <w:pPr>
              <w:rPr>
                <w:rFonts w:ascii="Arial" w:hAnsi="Arial" w:cs="Arial"/>
                <w:color w:val="000000"/>
                <w:sz w:val="22"/>
                <w:szCs w:val="22"/>
              </w:rPr>
            </w:pPr>
            <w:r>
              <w:rPr>
                <w:rFonts w:ascii="Arial" w:hAnsi="Arial" w:cs="Arial"/>
                <w:color w:val="000000"/>
                <w:sz w:val="22"/>
                <w:szCs w:val="22"/>
              </w:rPr>
              <w:t> </w:t>
            </w:r>
          </w:p>
        </w:tc>
        <w:tc>
          <w:tcPr>
            <w:tcW w:w="1964" w:type="dxa"/>
            <w:tcBorders>
              <w:top w:val="nil"/>
              <w:left w:val="nil"/>
              <w:bottom w:val="single" w:sz="8" w:space="0" w:color="auto"/>
              <w:right w:val="nil"/>
            </w:tcBorders>
            <w:shd w:val="clear" w:color="000000" w:fill="FFFFFF"/>
            <w:noWrap/>
            <w:vAlign w:val="center"/>
            <w:hideMark/>
          </w:tcPr>
          <w:p w14:paraId="47F2A58A" w14:textId="77777777" w:rsidR="00465AA6" w:rsidRPr="00465AA6" w:rsidRDefault="00465AA6">
            <w:pPr>
              <w:jc w:val="right"/>
              <w:rPr>
                <w:rFonts w:ascii="Arial" w:hAnsi="Arial" w:cs="Arial"/>
                <w:color w:val="000000"/>
                <w:sz w:val="22"/>
                <w:szCs w:val="22"/>
              </w:rPr>
            </w:pPr>
            <w:r w:rsidRPr="00465AA6">
              <w:rPr>
                <w:rFonts w:ascii="Arial" w:hAnsi="Arial" w:cs="Arial"/>
                <w:color w:val="000000"/>
                <w:sz w:val="22"/>
                <w:szCs w:val="22"/>
              </w:rPr>
              <w:t>1,304</w:t>
            </w:r>
          </w:p>
        </w:tc>
        <w:tc>
          <w:tcPr>
            <w:tcW w:w="656" w:type="dxa"/>
            <w:tcBorders>
              <w:top w:val="nil"/>
              <w:left w:val="nil"/>
              <w:bottom w:val="nil"/>
              <w:right w:val="nil"/>
            </w:tcBorders>
            <w:shd w:val="clear" w:color="000000" w:fill="FFFFFF"/>
            <w:noWrap/>
            <w:vAlign w:val="center"/>
            <w:hideMark/>
          </w:tcPr>
          <w:p w14:paraId="42C584D0" w14:textId="77777777" w:rsidR="00465AA6" w:rsidRDefault="00465AA6">
            <w:pPr>
              <w:jc w:val="right"/>
              <w:rPr>
                <w:rFonts w:ascii="Arial" w:hAnsi="Arial" w:cs="Arial"/>
                <w:color w:val="000000"/>
                <w:sz w:val="22"/>
                <w:szCs w:val="22"/>
              </w:rPr>
            </w:pPr>
            <w:r>
              <w:rPr>
                <w:rFonts w:ascii="Arial" w:hAnsi="Arial" w:cs="Arial"/>
                <w:color w:val="000000"/>
                <w:sz w:val="22"/>
                <w:szCs w:val="22"/>
              </w:rPr>
              <w:t> </w:t>
            </w:r>
          </w:p>
        </w:tc>
        <w:tc>
          <w:tcPr>
            <w:tcW w:w="1754" w:type="dxa"/>
            <w:tcBorders>
              <w:top w:val="nil"/>
              <w:left w:val="nil"/>
              <w:bottom w:val="single" w:sz="8" w:space="0" w:color="auto"/>
              <w:right w:val="nil"/>
            </w:tcBorders>
            <w:shd w:val="clear" w:color="000000" w:fill="FFFFFF"/>
            <w:noWrap/>
            <w:vAlign w:val="center"/>
            <w:hideMark/>
          </w:tcPr>
          <w:p w14:paraId="2E84E5B2"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2,316</w:t>
            </w:r>
          </w:p>
        </w:tc>
      </w:tr>
      <w:tr w:rsidR="00465AA6" w14:paraId="4934C514" w14:textId="77777777" w:rsidTr="00B53577">
        <w:trPr>
          <w:trHeight w:val="315"/>
        </w:trPr>
        <w:tc>
          <w:tcPr>
            <w:tcW w:w="3540" w:type="dxa"/>
            <w:tcBorders>
              <w:top w:val="nil"/>
              <w:left w:val="nil"/>
              <w:bottom w:val="nil"/>
              <w:right w:val="nil"/>
            </w:tcBorders>
            <w:shd w:val="clear" w:color="000000" w:fill="FFFFFF"/>
            <w:noWrap/>
            <w:vAlign w:val="center"/>
            <w:hideMark/>
          </w:tcPr>
          <w:p w14:paraId="54DFA080" w14:textId="77777777" w:rsidR="00465AA6" w:rsidRDefault="00465AA6">
            <w:pPr>
              <w:rPr>
                <w:rFonts w:ascii="Arial" w:hAnsi="Arial" w:cs="Arial"/>
                <w:b/>
                <w:bCs/>
                <w:color w:val="000000"/>
                <w:sz w:val="22"/>
                <w:szCs w:val="22"/>
              </w:rPr>
            </w:pPr>
            <w:r>
              <w:rPr>
                <w:rFonts w:ascii="Arial" w:hAnsi="Arial" w:cs="Arial"/>
                <w:b/>
                <w:bCs/>
                <w:color w:val="000000"/>
                <w:sz w:val="22"/>
                <w:szCs w:val="22"/>
              </w:rPr>
              <w:t>Total Creditors</w:t>
            </w:r>
          </w:p>
        </w:tc>
        <w:tc>
          <w:tcPr>
            <w:tcW w:w="1300" w:type="dxa"/>
            <w:tcBorders>
              <w:top w:val="nil"/>
              <w:left w:val="nil"/>
              <w:bottom w:val="nil"/>
              <w:right w:val="nil"/>
            </w:tcBorders>
            <w:shd w:val="clear" w:color="000000" w:fill="FFFFFF"/>
            <w:noWrap/>
            <w:vAlign w:val="center"/>
            <w:hideMark/>
          </w:tcPr>
          <w:p w14:paraId="221D2D49" w14:textId="77777777" w:rsidR="00465AA6" w:rsidRDefault="00465AA6">
            <w:pPr>
              <w:rPr>
                <w:rFonts w:ascii="Arial" w:hAnsi="Arial" w:cs="Arial"/>
                <w:color w:val="000000"/>
                <w:sz w:val="22"/>
                <w:szCs w:val="22"/>
              </w:rPr>
            </w:pPr>
            <w:r>
              <w:rPr>
                <w:rFonts w:ascii="Arial" w:hAnsi="Arial" w:cs="Arial"/>
                <w:color w:val="000000"/>
                <w:sz w:val="22"/>
                <w:szCs w:val="22"/>
              </w:rPr>
              <w:t> </w:t>
            </w:r>
          </w:p>
        </w:tc>
        <w:tc>
          <w:tcPr>
            <w:tcW w:w="1964" w:type="dxa"/>
            <w:tcBorders>
              <w:top w:val="single" w:sz="8" w:space="0" w:color="auto"/>
              <w:left w:val="nil"/>
              <w:bottom w:val="single" w:sz="8" w:space="0" w:color="auto"/>
              <w:right w:val="nil"/>
            </w:tcBorders>
            <w:shd w:val="clear" w:color="000000" w:fill="FFFFFF"/>
            <w:noWrap/>
            <w:vAlign w:val="center"/>
            <w:hideMark/>
          </w:tcPr>
          <w:p w14:paraId="545F1ABE" w14:textId="77777777" w:rsidR="00465AA6" w:rsidRPr="00E4682F" w:rsidRDefault="00465AA6">
            <w:pPr>
              <w:jc w:val="right"/>
              <w:rPr>
                <w:rFonts w:ascii="Arial" w:hAnsi="Arial" w:cs="Arial"/>
                <w:b/>
                <w:bCs/>
                <w:color w:val="000000"/>
                <w:sz w:val="22"/>
                <w:szCs w:val="22"/>
              </w:rPr>
            </w:pPr>
            <w:r w:rsidRPr="00E4682F">
              <w:rPr>
                <w:rFonts w:ascii="Arial" w:hAnsi="Arial" w:cs="Arial"/>
                <w:b/>
                <w:bCs/>
                <w:color w:val="000000"/>
                <w:sz w:val="22"/>
                <w:szCs w:val="22"/>
              </w:rPr>
              <w:t>1,304</w:t>
            </w:r>
          </w:p>
        </w:tc>
        <w:tc>
          <w:tcPr>
            <w:tcW w:w="656" w:type="dxa"/>
            <w:tcBorders>
              <w:top w:val="nil"/>
              <w:left w:val="nil"/>
              <w:bottom w:val="nil"/>
              <w:right w:val="nil"/>
            </w:tcBorders>
            <w:shd w:val="clear" w:color="000000" w:fill="FFFFFF"/>
            <w:noWrap/>
            <w:vAlign w:val="center"/>
            <w:hideMark/>
          </w:tcPr>
          <w:p w14:paraId="5F91C0F7" w14:textId="77777777" w:rsidR="00465AA6" w:rsidRPr="00E4682F" w:rsidRDefault="00465AA6">
            <w:pPr>
              <w:jc w:val="right"/>
              <w:rPr>
                <w:rFonts w:ascii="Arial" w:hAnsi="Arial" w:cs="Arial"/>
                <w:b/>
                <w:bCs/>
                <w:color w:val="000000"/>
                <w:sz w:val="22"/>
                <w:szCs w:val="22"/>
              </w:rPr>
            </w:pPr>
            <w:r w:rsidRPr="00E4682F">
              <w:rPr>
                <w:rFonts w:ascii="Arial" w:hAnsi="Arial" w:cs="Arial"/>
                <w:b/>
                <w:bCs/>
                <w:color w:val="000000"/>
                <w:sz w:val="22"/>
                <w:szCs w:val="22"/>
              </w:rPr>
              <w:t> </w:t>
            </w:r>
          </w:p>
        </w:tc>
        <w:tc>
          <w:tcPr>
            <w:tcW w:w="1754" w:type="dxa"/>
            <w:tcBorders>
              <w:top w:val="single" w:sz="8" w:space="0" w:color="auto"/>
              <w:left w:val="nil"/>
              <w:bottom w:val="single" w:sz="8" w:space="0" w:color="auto"/>
              <w:right w:val="nil"/>
            </w:tcBorders>
            <w:shd w:val="clear" w:color="000000" w:fill="FFFFFF"/>
            <w:noWrap/>
            <w:vAlign w:val="center"/>
            <w:hideMark/>
          </w:tcPr>
          <w:p w14:paraId="75A4AAAE" w14:textId="77777777" w:rsidR="00465AA6" w:rsidRDefault="00465AA6">
            <w:pPr>
              <w:jc w:val="right"/>
              <w:rPr>
                <w:rFonts w:ascii="Arial" w:hAnsi="Arial" w:cs="Arial"/>
                <w:b/>
                <w:bCs/>
                <w:color w:val="000000"/>
                <w:sz w:val="22"/>
                <w:szCs w:val="22"/>
              </w:rPr>
            </w:pPr>
            <w:r>
              <w:rPr>
                <w:rFonts w:ascii="Arial" w:hAnsi="Arial" w:cs="Arial"/>
                <w:b/>
                <w:bCs/>
                <w:color w:val="000000"/>
                <w:sz w:val="22"/>
                <w:szCs w:val="22"/>
              </w:rPr>
              <w:t>2,316</w:t>
            </w:r>
          </w:p>
        </w:tc>
      </w:tr>
    </w:tbl>
    <w:p w14:paraId="6528236B" w14:textId="77777777" w:rsidR="00E67495" w:rsidRDefault="00E67495" w:rsidP="004D0E98">
      <w:pPr>
        <w:ind w:left="142" w:firstLine="76"/>
        <w:jc w:val="both"/>
        <w:rPr>
          <w:rFonts w:ascii="Arial" w:hAnsi="Arial" w:cs="Arial"/>
          <w:sz w:val="22"/>
          <w:szCs w:val="22"/>
        </w:rPr>
      </w:pPr>
    </w:p>
    <w:p w14:paraId="70DCCCFE" w14:textId="77777777" w:rsidR="00842FAD" w:rsidRPr="0067519A" w:rsidRDefault="00842FAD" w:rsidP="0067519A">
      <w:pPr>
        <w:spacing w:line="20" w:lineRule="atLeast"/>
        <w:rPr>
          <w:rFonts w:ascii="Arial" w:hAnsi="Arial" w:cs="Arial"/>
          <w:b/>
        </w:rPr>
      </w:pPr>
    </w:p>
    <w:p w14:paraId="3A2B63F3" w14:textId="67A78A10" w:rsidR="003C45DA" w:rsidRPr="008A0A4E" w:rsidRDefault="003C45DA" w:rsidP="00FC1536">
      <w:pPr>
        <w:pStyle w:val="ListParagraph"/>
        <w:numPr>
          <w:ilvl w:val="0"/>
          <w:numId w:val="24"/>
        </w:numPr>
        <w:spacing w:line="20" w:lineRule="atLeast"/>
        <w:ind w:left="502"/>
        <w:rPr>
          <w:rFonts w:ascii="Arial" w:hAnsi="Arial" w:cs="Arial"/>
          <w:b/>
        </w:rPr>
      </w:pPr>
      <w:r w:rsidRPr="008A0A4E">
        <w:rPr>
          <w:rFonts w:ascii="Arial" w:hAnsi="Arial" w:cs="Arial"/>
          <w:b/>
        </w:rPr>
        <w:t>Holdings</w:t>
      </w:r>
    </w:p>
    <w:p w14:paraId="2DA62B3C" w14:textId="77777777" w:rsidR="003C45DA" w:rsidRPr="008A0A4E" w:rsidRDefault="003C45DA" w:rsidP="003C45DA">
      <w:pPr>
        <w:pStyle w:val="ListParagraph"/>
        <w:spacing w:after="0" w:line="20" w:lineRule="atLeast"/>
        <w:ind w:left="360"/>
        <w:rPr>
          <w:rFonts w:ascii="Arial" w:hAnsi="Arial" w:cs="Arial"/>
        </w:rPr>
      </w:pPr>
    </w:p>
    <w:p w14:paraId="5AD55AFC" w14:textId="1B5202E9" w:rsidR="003C45DA" w:rsidRPr="008A0A4E" w:rsidRDefault="003C45DA" w:rsidP="004D0E98">
      <w:pPr>
        <w:pStyle w:val="ListParagraph"/>
        <w:spacing w:after="0" w:line="20" w:lineRule="atLeast"/>
        <w:ind w:left="284"/>
        <w:jc w:val="both"/>
        <w:rPr>
          <w:rFonts w:ascii="Arial" w:hAnsi="Arial" w:cs="Arial"/>
        </w:rPr>
      </w:pPr>
      <w:r w:rsidRPr="008A0A4E">
        <w:rPr>
          <w:rFonts w:ascii="Arial" w:hAnsi="Arial" w:cs="Arial"/>
        </w:rPr>
        <w:t xml:space="preserve">All holdings within the Fund </w:t>
      </w:r>
      <w:proofErr w:type="gramStart"/>
      <w:r w:rsidRPr="008A0A4E">
        <w:rPr>
          <w:rFonts w:ascii="Arial" w:hAnsi="Arial" w:cs="Arial"/>
        </w:rPr>
        <w:t>at</w:t>
      </w:r>
      <w:proofErr w:type="gramEnd"/>
      <w:r w:rsidRPr="008A0A4E">
        <w:rPr>
          <w:rFonts w:ascii="Arial" w:hAnsi="Arial" w:cs="Arial"/>
        </w:rPr>
        <w:t xml:space="preserve"> 31 March 20</w:t>
      </w:r>
      <w:r w:rsidR="00E36A17" w:rsidRPr="008A0A4E">
        <w:rPr>
          <w:rFonts w:ascii="Arial" w:hAnsi="Arial" w:cs="Arial"/>
        </w:rPr>
        <w:t>2</w:t>
      </w:r>
      <w:r w:rsidR="00253071">
        <w:rPr>
          <w:rFonts w:ascii="Arial" w:hAnsi="Arial" w:cs="Arial"/>
        </w:rPr>
        <w:t>5</w:t>
      </w:r>
      <w:r w:rsidRPr="008A0A4E">
        <w:rPr>
          <w:rFonts w:ascii="Arial" w:hAnsi="Arial" w:cs="Arial"/>
        </w:rPr>
        <w:t xml:space="preserve"> were in pooled funds or Limited Liability Partnerships (LLP), with no direct holdings over 5% of the net assets of the scheme. </w:t>
      </w:r>
      <w:proofErr w:type="gramStart"/>
      <w:r w:rsidRPr="008A0A4E">
        <w:rPr>
          <w:rFonts w:ascii="Arial" w:hAnsi="Arial" w:cs="Arial"/>
        </w:rPr>
        <w:t>At</w:t>
      </w:r>
      <w:proofErr w:type="gramEnd"/>
      <w:r w:rsidRPr="008A0A4E">
        <w:rPr>
          <w:rFonts w:ascii="Arial" w:hAnsi="Arial" w:cs="Arial"/>
        </w:rPr>
        <w:t xml:space="preserve"> 31 March 20</w:t>
      </w:r>
      <w:r w:rsidR="00E36A17" w:rsidRPr="008A0A4E">
        <w:rPr>
          <w:rFonts w:ascii="Arial" w:hAnsi="Arial" w:cs="Arial"/>
        </w:rPr>
        <w:t>2</w:t>
      </w:r>
      <w:r w:rsidR="00253071">
        <w:rPr>
          <w:rFonts w:ascii="Arial" w:hAnsi="Arial" w:cs="Arial"/>
        </w:rPr>
        <w:t>5</w:t>
      </w:r>
      <w:r w:rsidRPr="008A0A4E">
        <w:rPr>
          <w:rFonts w:ascii="Arial" w:hAnsi="Arial" w:cs="Arial"/>
        </w:rPr>
        <w:t xml:space="preserve"> the following pooled funds and LLPs were over 5% of the scheme’s net assets:</w:t>
      </w:r>
    </w:p>
    <w:p w14:paraId="46106C9C" w14:textId="77777777" w:rsidR="003C45DA" w:rsidRPr="008A0A4E" w:rsidRDefault="003C45DA" w:rsidP="003C45DA">
      <w:pPr>
        <w:pStyle w:val="ListParagraph"/>
        <w:spacing w:after="0" w:line="20" w:lineRule="atLeast"/>
        <w:ind w:left="357"/>
        <w:jc w:val="both"/>
        <w:rPr>
          <w:rFonts w:ascii="Arial" w:hAnsi="Arial" w:cs="Arial"/>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2127"/>
      </w:tblGrid>
      <w:tr w:rsidR="00127127" w14:paraId="6A43ABDD" w14:textId="77777777" w:rsidTr="004F65D9">
        <w:trPr>
          <w:trHeight w:val="315"/>
        </w:trPr>
        <w:tc>
          <w:tcPr>
            <w:tcW w:w="3256" w:type="dxa"/>
            <w:shd w:val="clear" w:color="auto" w:fill="auto"/>
            <w:noWrap/>
            <w:vAlign w:val="center"/>
            <w:hideMark/>
          </w:tcPr>
          <w:p w14:paraId="23DF4317" w14:textId="77777777" w:rsidR="00127127" w:rsidRDefault="00127127">
            <w:pPr>
              <w:jc w:val="center"/>
              <w:rPr>
                <w:rFonts w:ascii="Arial" w:hAnsi="Arial" w:cs="Arial"/>
                <w:b/>
                <w:bCs/>
                <w:color w:val="000000"/>
                <w:sz w:val="22"/>
                <w:szCs w:val="22"/>
              </w:rPr>
            </w:pPr>
            <w:r>
              <w:rPr>
                <w:rFonts w:ascii="Arial" w:hAnsi="Arial" w:cs="Arial"/>
                <w:b/>
                <w:bCs/>
                <w:color w:val="000000"/>
                <w:sz w:val="22"/>
                <w:szCs w:val="22"/>
              </w:rPr>
              <w:t>Security</w:t>
            </w:r>
          </w:p>
        </w:tc>
        <w:tc>
          <w:tcPr>
            <w:tcW w:w="2409" w:type="dxa"/>
            <w:shd w:val="clear" w:color="auto" w:fill="auto"/>
            <w:noWrap/>
            <w:vAlign w:val="center"/>
            <w:hideMark/>
          </w:tcPr>
          <w:p w14:paraId="471D806D" w14:textId="1B56E0EC" w:rsidR="00127127" w:rsidRDefault="00127127">
            <w:pPr>
              <w:jc w:val="center"/>
              <w:rPr>
                <w:rFonts w:ascii="Arial" w:hAnsi="Arial" w:cs="Arial"/>
                <w:b/>
                <w:bCs/>
                <w:color w:val="000000"/>
                <w:sz w:val="22"/>
                <w:szCs w:val="22"/>
              </w:rPr>
            </w:pPr>
            <w:r>
              <w:rPr>
                <w:rFonts w:ascii="Arial" w:hAnsi="Arial" w:cs="Arial"/>
                <w:b/>
                <w:bCs/>
                <w:color w:val="000000"/>
                <w:sz w:val="22"/>
                <w:szCs w:val="22"/>
              </w:rPr>
              <w:t xml:space="preserve">Market Value </w:t>
            </w:r>
            <w:proofErr w:type="gramStart"/>
            <w:r>
              <w:rPr>
                <w:rFonts w:ascii="Arial" w:hAnsi="Arial" w:cs="Arial"/>
                <w:b/>
                <w:bCs/>
                <w:color w:val="000000"/>
                <w:sz w:val="22"/>
                <w:szCs w:val="22"/>
              </w:rPr>
              <w:t>at</w:t>
            </w:r>
            <w:proofErr w:type="gramEnd"/>
            <w:r>
              <w:rPr>
                <w:rFonts w:ascii="Arial" w:hAnsi="Arial" w:cs="Arial"/>
                <w:b/>
                <w:bCs/>
                <w:color w:val="000000"/>
                <w:sz w:val="22"/>
                <w:szCs w:val="22"/>
              </w:rPr>
              <w:t xml:space="preserve"> 31 March 2025</w:t>
            </w:r>
          </w:p>
        </w:tc>
        <w:tc>
          <w:tcPr>
            <w:tcW w:w="2127" w:type="dxa"/>
            <w:shd w:val="clear" w:color="000000" w:fill="FFFFFF"/>
            <w:noWrap/>
            <w:vAlign w:val="center"/>
            <w:hideMark/>
          </w:tcPr>
          <w:p w14:paraId="51D4C2D8" w14:textId="77777777" w:rsidR="00127127" w:rsidRDefault="00127127">
            <w:pPr>
              <w:jc w:val="center"/>
              <w:rPr>
                <w:rFonts w:ascii="Arial" w:hAnsi="Arial" w:cs="Arial"/>
                <w:b/>
                <w:bCs/>
                <w:color w:val="000000"/>
                <w:sz w:val="22"/>
                <w:szCs w:val="22"/>
              </w:rPr>
            </w:pPr>
            <w:r>
              <w:rPr>
                <w:rFonts w:ascii="Arial" w:hAnsi="Arial" w:cs="Arial"/>
                <w:b/>
                <w:bCs/>
                <w:sz w:val="22"/>
                <w:szCs w:val="22"/>
              </w:rPr>
              <w:t>% of Total Fund</w:t>
            </w:r>
          </w:p>
        </w:tc>
      </w:tr>
      <w:tr w:rsidR="00127127" w14:paraId="3DAE5076" w14:textId="77777777" w:rsidTr="004F65D9">
        <w:trPr>
          <w:trHeight w:val="315"/>
        </w:trPr>
        <w:tc>
          <w:tcPr>
            <w:tcW w:w="3256" w:type="dxa"/>
            <w:shd w:val="clear" w:color="auto" w:fill="auto"/>
            <w:noWrap/>
            <w:vAlign w:val="center"/>
            <w:hideMark/>
          </w:tcPr>
          <w:p w14:paraId="41251D7E" w14:textId="77777777" w:rsidR="00127127" w:rsidRDefault="00127127">
            <w:pPr>
              <w:rPr>
                <w:rFonts w:ascii="Arial" w:hAnsi="Arial" w:cs="Arial"/>
                <w:color w:val="000000"/>
                <w:sz w:val="22"/>
                <w:szCs w:val="22"/>
              </w:rPr>
            </w:pPr>
            <w:r>
              <w:rPr>
                <w:rFonts w:ascii="Arial" w:hAnsi="Arial" w:cs="Arial"/>
                <w:color w:val="000000"/>
                <w:sz w:val="22"/>
                <w:szCs w:val="22"/>
              </w:rPr>
              <w:t> </w:t>
            </w:r>
          </w:p>
        </w:tc>
        <w:tc>
          <w:tcPr>
            <w:tcW w:w="2409" w:type="dxa"/>
            <w:shd w:val="clear" w:color="auto" w:fill="auto"/>
            <w:noWrap/>
            <w:vAlign w:val="center"/>
            <w:hideMark/>
          </w:tcPr>
          <w:p w14:paraId="47E94D4E" w14:textId="0D166AA6" w:rsidR="00127127" w:rsidRPr="00750CE2" w:rsidRDefault="00127127">
            <w:pPr>
              <w:jc w:val="center"/>
              <w:rPr>
                <w:rFonts w:ascii="Arial" w:hAnsi="Arial" w:cs="Arial"/>
                <w:b/>
                <w:bCs/>
                <w:color w:val="000000"/>
                <w:sz w:val="22"/>
                <w:szCs w:val="22"/>
              </w:rPr>
            </w:pPr>
            <w:r w:rsidRPr="00750CE2">
              <w:rPr>
                <w:rFonts w:ascii="Arial" w:hAnsi="Arial" w:cs="Arial"/>
                <w:b/>
                <w:bCs/>
                <w:color w:val="000000"/>
                <w:sz w:val="22"/>
                <w:szCs w:val="22"/>
              </w:rPr>
              <w:t>£0</w:t>
            </w:r>
            <w:r w:rsidR="008D0E86" w:rsidRPr="00750CE2">
              <w:rPr>
                <w:rFonts w:ascii="Arial" w:hAnsi="Arial" w:cs="Arial"/>
                <w:b/>
                <w:bCs/>
                <w:color w:val="000000"/>
                <w:sz w:val="22"/>
                <w:szCs w:val="22"/>
              </w:rPr>
              <w:t>00</w:t>
            </w:r>
          </w:p>
        </w:tc>
        <w:tc>
          <w:tcPr>
            <w:tcW w:w="2127" w:type="dxa"/>
            <w:shd w:val="clear" w:color="000000" w:fill="FFFFFF"/>
            <w:noWrap/>
            <w:vAlign w:val="center"/>
            <w:hideMark/>
          </w:tcPr>
          <w:p w14:paraId="5C477DB4" w14:textId="77777777" w:rsidR="00127127" w:rsidRPr="00750CE2" w:rsidRDefault="00127127">
            <w:pPr>
              <w:jc w:val="center"/>
              <w:rPr>
                <w:rFonts w:ascii="Arial" w:hAnsi="Arial" w:cs="Arial"/>
                <w:b/>
                <w:bCs/>
                <w:color w:val="000000"/>
                <w:sz w:val="22"/>
                <w:szCs w:val="22"/>
              </w:rPr>
            </w:pPr>
            <w:r w:rsidRPr="00750CE2">
              <w:rPr>
                <w:rFonts w:ascii="Arial" w:hAnsi="Arial" w:cs="Arial"/>
                <w:b/>
                <w:bCs/>
                <w:sz w:val="22"/>
                <w:szCs w:val="22"/>
              </w:rPr>
              <w:t>%</w:t>
            </w:r>
          </w:p>
        </w:tc>
      </w:tr>
      <w:tr w:rsidR="00127127" w14:paraId="40525D7F" w14:textId="77777777" w:rsidTr="004F65D9">
        <w:trPr>
          <w:trHeight w:val="315"/>
        </w:trPr>
        <w:tc>
          <w:tcPr>
            <w:tcW w:w="3256" w:type="dxa"/>
            <w:shd w:val="clear" w:color="auto" w:fill="auto"/>
            <w:noWrap/>
            <w:vAlign w:val="center"/>
            <w:hideMark/>
          </w:tcPr>
          <w:p w14:paraId="63519230" w14:textId="77777777" w:rsidR="00127127" w:rsidRDefault="00127127">
            <w:pPr>
              <w:rPr>
                <w:rFonts w:ascii="Arial" w:hAnsi="Arial" w:cs="Arial"/>
                <w:color w:val="000000"/>
                <w:sz w:val="22"/>
                <w:szCs w:val="22"/>
              </w:rPr>
            </w:pPr>
            <w:r>
              <w:rPr>
                <w:rFonts w:ascii="Arial" w:hAnsi="Arial" w:cs="Arial"/>
                <w:color w:val="000000"/>
                <w:sz w:val="22"/>
                <w:szCs w:val="22"/>
              </w:rPr>
              <w:t xml:space="preserve"> Insight </w:t>
            </w:r>
          </w:p>
        </w:tc>
        <w:tc>
          <w:tcPr>
            <w:tcW w:w="2409" w:type="dxa"/>
            <w:shd w:val="clear" w:color="000000" w:fill="FFFFFF"/>
            <w:noWrap/>
            <w:vAlign w:val="center"/>
            <w:hideMark/>
          </w:tcPr>
          <w:p w14:paraId="4B6214AD" w14:textId="77777777" w:rsidR="00127127" w:rsidRDefault="00127127">
            <w:pPr>
              <w:jc w:val="right"/>
              <w:rPr>
                <w:rFonts w:ascii="Arial" w:hAnsi="Arial" w:cs="Arial"/>
                <w:color w:val="000000"/>
                <w:sz w:val="22"/>
                <w:szCs w:val="22"/>
              </w:rPr>
            </w:pPr>
            <w:r>
              <w:rPr>
                <w:rFonts w:ascii="Arial" w:hAnsi="Arial" w:cs="Arial"/>
                <w:color w:val="000000"/>
                <w:sz w:val="22"/>
                <w:szCs w:val="22"/>
              </w:rPr>
              <w:t>81,567</w:t>
            </w:r>
          </w:p>
        </w:tc>
        <w:tc>
          <w:tcPr>
            <w:tcW w:w="2127" w:type="dxa"/>
            <w:shd w:val="clear" w:color="000000" w:fill="FFFFFF"/>
            <w:noWrap/>
            <w:vAlign w:val="center"/>
            <w:hideMark/>
          </w:tcPr>
          <w:p w14:paraId="0CC01781" w14:textId="77777777" w:rsidR="00127127" w:rsidRDefault="00127127">
            <w:pPr>
              <w:jc w:val="right"/>
              <w:rPr>
                <w:rFonts w:ascii="Arial" w:hAnsi="Arial" w:cs="Arial"/>
                <w:color w:val="000000"/>
                <w:sz w:val="22"/>
                <w:szCs w:val="22"/>
              </w:rPr>
            </w:pPr>
            <w:r>
              <w:rPr>
                <w:rFonts w:ascii="Arial" w:hAnsi="Arial" w:cs="Arial"/>
                <w:color w:val="000000"/>
                <w:sz w:val="22"/>
                <w:szCs w:val="22"/>
              </w:rPr>
              <w:t>5.40%</w:t>
            </w:r>
          </w:p>
        </w:tc>
      </w:tr>
      <w:tr w:rsidR="00127127" w14:paraId="02EDCAF3" w14:textId="77777777" w:rsidTr="004F65D9">
        <w:trPr>
          <w:trHeight w:val="315"/>
        </w:trPr>
        <w:tc>
          <w:tcPr>
            <w:tcW w:w="3256" w:type="dxa"/>
            <w:shd w:val="clear" w:color="auto" w:fill="auto"/>
            <w:noWrap/>
            <w:vAlign w:val="center"/>
            <w:hideMark/>
          </w:tcPr>
          <w:p w14:paraId="32D99C5E" w14:textId="77777777" w:rsidR="00127127" w:rsidRDefault="00127127">
            <w:pPr>
              <w:rPr>
                <w:rFonts w:ascii="Arial" w:hAnsi="Arial" w:cs="Arial"/>
                <w:color w:val="000000"/>
                <w:sz w:val="22"/>
                <w:szCs w:val="22"/>
              </w:rPr>
            </w:pPr>
            <w:r>
              <w:rPr>
                <w:rFonts w:ascii="Arial" w:hAnsi="Arial" w:cs="Arial"/>
                <w:color w:val="000000"/>
                <w:sz w:val="22"/>
                <w:szCs w:val="22"/>
              </w:rPr>
              <w:t xml:space="preserve"> Blackrock</w:t>
            </w:r>
          </w:p>
        </w:tc>
        <w:tc>
          <w:tcPr>
            <w:tcW w:w="2409" w:type="dxa"/>
            <w:shd w:val="clear" w:color="000000" w:fill="FFFFFF"/>
            <w:noWrap/>
            <w:vAlign w:val="center"/>
            <w:hideMark/>
          </w:tcPr>
          <w:p w14:paraId="615083B6" w14:textId="77777777" w:rsidR="00127127" w:rsidRDefault="00127127">
            <w:pPr>
              <w:jc w:val="right"/>
              <w:rPr>
                <w:rFonts w:ascii="Arial" w:hAnsi="Arial" w:cs="Arial"/>
                <w:color w:val="000000"/>
                <w:sz w:val="22"/>
                <w:szCs w:val="22"/>
              </w:rPr>
            </w:pPr>
            <w:r>
              <w:rPr>
                <w:rFonts w:ascii="Arial" w:hAnsi="Arial" w:cs="Arial"/>
                <w:color w:val="000000"/>
                <w:sz w:val="22"/>
                <w:szCs w:val="22"/>
              </w:rPr>
              <w:t>96,880</w:t>
            </w:r>
          </w:p>
        </w:tc>
        <w:tc>
          <w:tcPr>
            <w:tcW w:w="2127" w:type="dxa"/>
            <w:shd w:val="clear" w:color="000000" w:fill="FFFFFF"/>
            <w:noWrap/>
            <w:vAlign w:val="center"/>
            <w:hideMark/>
          </w:tcPr>
          <w:p w14:paraId="68D9B47B" w14:textId="77777777" w:rsidR="00127127" w:rsidRDefault="00127127">
            <w:pPr>
              <w:jc w:val="right"/>
              <w:rPr>
                <w:rFonts w:ascii="Arial" w:hAnsi="Arial" w:cs="Arial"/>
                <w:color w:val="000000"/>
                <w:sz w:val="22"/>
                <w:szCs w:val="22"/>
              </w:rPr>
            </w:pPr>
            <w:r>
              <w:rPr>
                <w:rFonts w:ascii="Arial" w:hAnsi="Arial" w:cs="Arial"/>
                <w:color w:val="000000"/>
                <w:sz w:val="22"/>
                <w:szCs w:val="22"/>
              </w:rPr>
              <w:t>6.41%</w:t>
            </w:r>
          </w:p>
        </w:tc>
      </w:tr>
      <w:tr w:rsidR="00127127" w14:paraId="0F101A35" w14:textId="77777777" w:rsidTr="004F65D9">
        <w:trPr>
          <w:trHeight w:val="315"/>
        </w:trPr>
        <w:tc>
          <w:tcPr>
            <w:tcW w:w="3256" w:type="dxa"/>
            <w:shd w:val="clear" w:color="auto" w:fill="auto"/>
            <w:noWrap/>
            <w:vAlign w:val="center"/>
            <w:hideMark/>
          </w:tcPr>
          <w:p w14:paraId="778F6DD8" w14:textId="77777777" w:rsidR="00127127" w:rsidRDefault="00127127">
            <w:pPr>
              <w:rPr>
                <w:rFonts w:ascii="Arial" w:hAnsi="Arial" w:cs="Arial"/>
                <w:color w:val="000000"/>
                <w:sz w:val="22"/>
                <w:szCs w:val="22"/>
              </w:rPr>
            </w:pPr>
            <w:r>
              <w:rPr>
                <w:rFonts w:ascii="Arial" w:hAnsi="Arial" w:cs="Arial"/>
                <w:color w:val="000000"/>
                <w:sz w:val="22"/>
                <w:szCs w:val="22"/>
              </w:rPr>
              <w:t xml:space="preserve"> UBS Passive Equity </w:t>
            </w:r>
          </w:p>
        </w:tc>
        <w:tc>
          <w:tcPr>
            <w:tcW w:w="2409" w:type="dxa"/>
            <w:shd w:val="clear" w:color="000000" w:fill="FFFFFF"/>
            <w:noWrap/>
            <w:vAlign w:val="center"/>
            <w:hideMark/>
          </w:tcPr>
          <w:p w14:paraId="5475DFB2" w14:textId="77777777" w:rsidR="00127127" w:rsidRDefault="00127127">
            <w:pPr>
              <w:jc w:val="right"/>
              <w:rPr>
                <w:rFonts w:ascii="Arial" w:hAnsi="Arial" w:cs="Arial"/>
                <w:color w:val="000000"/>
                <w:sz w:val="22"/>
                <w:szCs w:val="22"/>
              </w:rPr>
            </w:pPr>
            <w:r>
              <w:rPr>
                <w:rFonts w:ascii="Arial" w:hAnsi="Arial" w:cs="Arial"/>
                <w:color w:val="000000"/>
                <w:sz w:val="22"/>
                <w:szCs w:val="22"/>
              </w:rPr>
              <w:t>351,421</w:t>
            </w:r>
          </w:p>
        </w:tc>
        <w:tc>
          <w:tcPr>
            <w:tcW w:w="2127" w:type="dxa"/>
            <w:shd w:val="clear" w:color="000000" w:fill="FFFFFF"/>
            <w:noWrap/>
            <w:vAlign w:val="center"/>
            <w:hideMark/>
          </w:tcPr>
          <w:p w14:paraId="4913938B" w14:textId="77777777" w:rsidR="00127127" w:rsidRDefault="00127127">
            <w:pPr>
              <w:jc w:val="right"/>
              <w:rPr>
                <w:rFonts w:ascii="Arial" w:hAnsi="Arial" w:cs="Arial"/>
                <w:color w:val="000000"/>
                <w:sz w:val="22"/>
                <w:szCs w:val="22"/>
              </w:rPr>
            </w:pPr>
            <w:r>
              <w:rPr>
                <w:rFonts w:ascii="Arial" w:hAnsi="Arial" w:cs="Arial"/>
                <w:color w:val="000000"/>
                <w:sz w:val="22"/>
                <w:szCs w:val="22"/>
              </w:rPr>
              <w:t>23.26%</w:t>
            </w:r>
          </w:p>
        </w:tc>
      </w:tr>
      <w:tr w:rsidR="00127127" w14:paraId="79A7C2A2" w14:textId="77777777" w:rsidTr="004F65D9">
        <w:trPr>
          <w:trHeight w:val="315"/>
        </w:trPr>
        <w:tc>
          <w:tcPr>
            <w:tcW w:w="3256" w:type="dxa"/>
            <w:shd w:val="clear" w:color="auto" w:fill="auto"/>
            <w:noWrap/>
            <w:vAlign w:val="center"/>
            <w:hideMark/>
          </w:tcPr>
          <w:p w14:paraId="77CA2D81" w14:textId="77777777" w:rsidR="00127127" w:rsidRDefault="00127127">
            <w:pPr>
              <w:rPr>
                <w:rFonts w:ascii="Arial" w:hAnsi="Arial" w:cs="Arial"/>
                <w:color w:val="000000"/>
                <w:sz w:val="22"/>
                <w:szCs w:val="22"/>
              </w:rPr>
            </w:pPr>
            <w:r>
              <w:rPr>
                <w:rFonts w:ascii="Arial" w:hAnsi="Arial" w:cs="Arial"/>
                <w:color w:val="000000"/>
                <w:sz w:val="22"/>
                <w:szCs w:val="22"/>
              </w:rPr>
              <w:t xml:space="preserve"> Kempen </w:t>
            </w:r>
          </w:p>
        </w:tc>
        <w:tc>
          <w:tcPr>
            <w:tcW w:w="2409" w:type="dxa"/>
            <w:shd w:val="clear" w:color="000000" w:fill="FFFFFF"/>
            <w:noWrap/>
            <w:vAlign w:val="center"/>
            <w:hideMark/>
          </w:tcPr>
          <w:p w14:paraId="2240AE4B" w14:textId="77777777" w:rsidR="00127127" w:rsidRDefault="00127127">
            <w:pPr>
              <w:jc w:val="right"/>
              <w:rPr>
                <w:rFonts w:ascii="Arial" w:hAnsi="Arial" w:cs="Arial"/>
                <w:color w:val="000000"/>
                <w:sz w:val="22"/>
                <w:szCs w:val="22"/>
              </w:rPr>
            </w:pPr>
            <w:r>
              <w:rPr>
                <w:rFonts w:ascii="Arial" w:hAnsi="Arial" w:cs="Arial"/>
                <w:color w:val="000000"/>
                <w:sz w:val="22"/>
                <w:szCs w:val="22"/>
              </w:rPr>
              <w:t>232,317</w:t>
            </w:r>
          </w:p>
        </w:tc>
        <w:tc>
          <w:tcPr>
            <w:tcW w:w="2127" w:type="dxa"/>
            <w:shd w:val="clear" w:color="000000" w:fill="FFFFFF"/>
            <w:noWrap/>
            <w:vAlign w:val="center"/>
            <w:hideMark/>
          </w:tcPr>
          <w:p w14:paraId="266B339D" w14:textId="77777777" w:rsidR="00127127" w:rsidRDefault="00127127">
            <w:pPr>
              <w:jc w:val="right"/>
              <w:rPr>
                <w:rFonts w:ascii="Arial" w:hAnsi="Arial" w:cs="Arial"/>
                <w:color w:val="000000"/>
                <w:sz w:val="22"/>
                <w:szCs w:val="22"/>
              </w:rPr>
            </w:pPr>
            <w:r>
              <w:rPr>
                <w:rFonts w:ascii="Arial" w:hAnsi="Arial" w:cs="Arial"/>
                <w:color w:val="000000"/>
                <w:sz w:val="22"/>
                <w:szCs w:val="22"/>
              </w:rPr>
              <w:t>15.37%</w:t>
            </w:r>
          </w:p>
        </w:tc>
      </w:tr>
      <w:tr w:rsidR="00127127" w14:paraId="7CB80812" w14:textId="77777777" w:rsidTr="004F65D9">
        <w:trPr>
          <w:trHeight w:val="315"/>
        </w:trPr>
        <w:tc>
          <w:tcPr>
            <w:tcW w:w="3256" w:type="dxa"/>
            <w:shd w:val="clear" w:color="auto" w:fill="auto"/>
            <w:noWrap/>
            <w:vAlign w:val="center"/>
            <w:hideMark/>
          </w:tcPr>
          <w:p w14:paraId="33E2AE53" w14:textId="77777777" w:rsidR="00127127" w:rsidRDefault="00127127">
            <w:pPr>
              <w:rPr>
                <w:rFonts w:ascii="Arial" w:hAnsi="Arial" w:cs="Arial"/>
                <w:color w:val="000000"/>
                <w:sz w:val="22"/>
                <w:szCs w:val="22"/>
              </w:rPr>
            </w:pPr>
            <w:r>
              <w:rPr>
                <w:rFonts w:ascii="Arial" w:hAnsi="Arial" w:cs="Arial"/>
                <w:color w:val="000000"/>
                <w:sz w:val="22"/>
                <w:szCs w:val="22"/>
              </w:rPr>
              <w:t xml:space="preserve"> London CIV – </w:t>
            </w:r>
            <w:proofErr w:type="spellStart"/>
            <w:r>
              <w:rPr>
                <w:rFonts w:ascii="Arial" w:hAnsi="Arial" w:cs="Arial"/>
                <w:color w:val="000000"/>
                <w:sz w:val="22"/>
                <w:szCs w:val="22"/>
              </w:rPr>
              <w:t>Pyrford</w:t>
            </w:r>
            <w:proofErr w:type="spellEnd"/>
            <w:r>
              <w:rPr>
                <w:rFonts w:ascii="Arial" w:hAnsi="Arial" w:cs="Arial"/>
                <w:color w:val="000000"/>
                <w:sz w:val="22"/>
                <w:szCs w:val="22"/>
              </w:rPr>
              <w:t>/Newton</w:t>
            </w:r>
          </w:p>
        </w:tc>
        <w:tc>
          <w:tcPr>
            <w:tcW w:w="2409" w:type="dxa"/>
            <w:shd w:val="clear" w:color="000000" w:fill="FFFFFF"/>
            <w:noWrap/>
            <w:vAlign w:val="center"/>
            <w:hideMark/>
          </w:tcPr>
          <w:p w14:paraId="1A46682B" w14:textId="77777777" w:rsidR="00127127" w:rsidRDefault="00127127">
            <w:pPr>
              <w:jc w:val="right"/>
              <w:rPr>
                <w:rFonts w:ascii="Arial" w:hAnsi="Arial" w:cs="Arial"/>
                <w:color w:val="000000"/>
                <w:sz w:val="22"/>
                <w:szCs w:val="22"/>
              </w:rPr>
            </w:pPr>
            <w:r>
              <w:rPr>
                <w:rFonts w:ascii="Arial" w:hAnsi="Arial" w:cs="Arial"/>
                <w:color w:val="000000"/>
                <w:sz w:val="22"/>
                <w:szCs w:val="22"/>
              </w:rPr>
              <w:t>373,303</w:t>
            </w:r>
          </w:p>
        </w:tc>
        <w:tc>
          <w:tcPr>
            <w:tcW w:w="2127" w:type="dxa"/>
            <w:shd w:val="clear" w:color="000000" w:fill="FFFFFF"/>
            <w:noWrap/>
            <w:vAlign w:val="center"/>
            <w:hideMark/>
          </w:tcPr>
          <w:p w14:paraId="1A16EE13" w14:textId="77777777" w:rsidR="00127127" w:rsidRDefault="00127127">
            <w:pPr>
              <w:jc w:val="right"/>
              <w:rPr>
                <w:rFonts w:ascii="Arial" w:hAnsi="Arial" w:cs="Arial"/>
                <w:color w:val="000000"/>
                <w:sz w:val="22"/>
                <w:szCs w:val="22"/>
              </w:rPr>
            </w:pPr>
            <w:r>
              <w:rPr>
                <w:rFonts w:ascii="Arial" w:hAnsi="Arial" w:cs="Arial"/>
                <w:color w:val="000000"/>
                <w:sz w:val="22"/>
                <w:szCs w:val="22"/>
              </w:rPr>
              <w:t>24.70%</w:t>
            </w:r>
          </w:p>
        </w:tc>
      </w:tr>
      <w:tr w:rsidR="00127127" w14:paraId="64700AB6" w14:textId="77777777" w:rsidTr="004F65D9">
        <w:trPr>
          <w:trHeight w:val="315"/>
        </w:trPr>
        <w:tc>
          <w:tcPr>
            <w:tcW w:w="3256" w:type="dxa"/>
            <w:shd w:val="clear" w:color="auto" w:fill="auto"/>
            <w:noWrap/>
            <w:vAlign w:val="center"/>
            <w:hideMark/>
          </w:tcPr>
          <w:p w14:paraId="3B1A8B15" w14:textId="77777777" w:rsidR="00127127" w:rsidRDefault="00127127">
            <w:pPr>
              <w:rPr>
                <w:rFonts w:ascii="Arial" w:hAnsi="Arial" w:cs="Arial"/>
                <w:color w:val="000000"/>
                <w:sz w:val="22"/>
                <w:szCs w:val="22"/>
              </w:rPr>
            </w:pPr>
            <w:r>
              <w:rPr>
                <w:rFonts w:ascii="Arial" w:hAnsi="Arial" w:cs="Arial"/>
                <w:color w:val="000000"/>
                <w:sz w:val="22"/>
                <w:szCs w:val="22"/>
              </w:rPr>
              <w:t xml:space="preserve"> Hermes </w:t>
            </w:r>
          </w:p>
        </w:tc>
        <w:tc>
          <w:tcPr>
            <w:tcW w:w="2409" w:type="dxa"/>
            <w:shd w:val="clear" w:color="000000" w:fill="FFFFFF"/>
            <w:noWrap/>
            <w:vAlign w:val="center"/>
            <w:hideMark/>
          </w:tcPr>
          <w:p w14:paraId="045677E1" w14:textId="77777777" w:rsidR="00127127" w:rsidRDefault="00127127">
            <w:pPr>
              <w:jc w:val="right"/>
              <w:rPr>
                <w:rFonts w:ascii="Arial" w:hAnsi="Arial" w:cs="Arial"/>
                <w:color w:val="000000"/>
                <w:sz w:val="22"/>
                <w:szCs w:val="22"/>
              </w:rPr>
            </w:pPr>
            <w:r>
              <w:rPr>
                <w:rFonts w:ascii="Arial" w:hAnsi="Arial" w:cs="Arial"/>
                <w:color w:val="000000"/>
                <w:sz w:val="22"/>
                <w:szCs w:val="22"/>
              </w:rPr>
              <w:t>76,043</w:t>
            </w:r>
          </w:p>
        </w:tc>
        <w:tc>
          <w:tcPr>
            <w:tcW w:w="2127" w:type="dxa"/>
            <w:shd w:val="clear" w:color="000000" w:fill="FFFFFF"/>
            <w:noWrap/>
            <w:vAlign w:val="center"/>
            <w:hideMark/>
          </w:tcPr>
          <w:p w14:paraId="04419EA6" w14:textId="77777777" w:rsidR="00127127" w:rsidRDefault="00127127">
            <w:pPr>
              <w:jc w:val="right"/>
              <w:rPr>
                <w:rFonts w:ascii="Arial" w:hAnsi="Arial" w:cs="Arial"/>
                <w:color w:val="000000"/>
                <w:sz w:val="22"/>
                <w:szCs w:val="22"/>
              </w:rPr>
            </w:pPr>
            <w:r>
              <w:rPr>
                <w:rFonts w:ascii="Arial" w:hAnsi="Arial" w:cs="Arial"/>
                <w:color w:val="000000"/>
                <w:sz w:val="22"/>
                <w:szCs w:val="22"/>
              </w:rPr>
              <w:t>5.03%</w:t>
            </w:r>
          </w:p>
        </w:tc>
      </w:tr>
    </w:tbl>
    <w:p w14:paraId="49DDA0F5" w14:textId="77777777" w:rsidR="003C45DA" w:rsidRDefault="003C45DA" w:rsidP="003C45DA">
      <w:pPr>
        <w:pStyle w:val="BodyTextIndent2"/>
        <w:spacing w:after="0" w:line="240" w:lineRule="auto"/>
        <w:ind w:left="502"/>
        <w:jc w:val="both"/>
        <w:rPr>
          <w:rFonts w:ascii="Arial" w:hAnsi="Arial" w:cs="Arial"/>
          <w:b/>
          <w:sz w:val="22"/>
          <w:szCs w:val="22"/>
        </w:rPr>
      </w:pPr>
    </w:p>
    <w:p w14:paraId="6396F8A0" w14:textId="77777777" w:rsidR="004A7AF6" w:rsidRPr="008A0A4E" w:rsidRDefault="004A7AF6" w:rsidP="003C45DA">
      <w:pPr>
        <w:pStyle w:val="BodyTextIndent2"/>
        <w:spacing w:after="0" w:line="240" w:lineRule="auto"/>
        <w:ind w:left="502"/>
        <w:jc w:val="both"/>
        <w:rPr>
          <w:rFonts w:ascii="Arial" w:hAnsi="Arial" w:cs="Arial"/>
          <w:b/>
          <w:sz w:val="22"/>
          <w:szCs w:val="22"/>
        </w:rPr>
      </w:pPr>
    </w:p>
    <w:p w14:paraId="5674B14B" w14:textId="77777777" w:rsidR="003C45DA" w:rsidRPr="008A0A4E" w:rsidRDefault="003C45DA" w:rsidP="00FC1536">
      <w:pPr>
        <w:pStyle w:val="BodyTextIndent2"/>
        <w:numPr>
          <w:ilvl w:val="0"/>
          <w:numId w:val="24"/>
        </w:numPr>
        <w:spacing w:after="0" w:line="240" w:lineRule="auto"/>
        <w:ind w:left="502"/>
        <w:jc w:val="both"/>
        <w:rPr>
          <w:rFonts w:ascii="Arial" w:hAnsi="Arial" w:cs="Arial"/>
          <w:b/>
          <w:sz w:val="22"/>
          <w:szCs w:val="22"/>
        </w:rPr>
      </w:pPr>
      <w:r w:rsidRPr="008A0A4E">
        <w:rPr>
          <w:rFonts w:ascii="Arial" w:hAnsi="Arial" w:cs="Arial"/>
          <w:b/>
          <w:sz w:val="22"/>
          <w:szCs w:val="22"/>
        </w:rPr>
        <w:t>Investment Strategy Statement</w:t>
      </w:r>
    </w:p>
    <w:p w14:paraId="55C25F5D" w14:textId="77777777" w:rsidR="003C45DA" w:rsidRPr="008A0A4E" w:rsidRDefault="003C45DA" w:rsidP="003C45DA">
      <w:pPr>
        <w:pStyle w:val="BodyTextIndent2"/>
        <w:spacing w:after="0" w:line="240" w:lineRule="auto"/>
        <w:ind w:left="426"/>
        <w:jc w:val="both"/>
        <w:rPr>
          <w:rFonts w:ascii="Arial" w:hAnsi="Arial" w:cs="Arial"/>
          <w:b/>
          <w:sz w:val="22"/>
          <w:szCs w:val="22"/>
        </w:rPr>
      </w:pPr>
    </w:p>
    <w:p w14:paraId="29D1101F" w14:textId="046948F9" w:rsidR="002D629E" w:rsidRDefault="003C45DA" w:rsidP="00230772">
      <w:pPr>
        <w:tabs>
          <w:tab w:val="left" w:pos="426"/>
        </w:tabs>
        <w:ind w:left="425"/>
        <w:jc w:val="both"/>
        <w:rPr>
          <w:rStyle w:val="Hyperlink"/>
          <w:rFonts w:ascii="Arial" w:hAnsi="Arial" w:cs="Arial"/>
          <w:sz w:val="22"/>
          <w:szCs w:val="22"/>
        </w:rPr>
      </w:pPr>
      <w:r w:rsidRPr="008A0A4E">
        <w:rPr>
          <w:rFonts w:ascii="Arial" w:hAnsi="Arial" w:cs="Arial"/>
          <w:sz w:val="22"/>
          <w:szCs w:val="22"/>
        </w:rPr>
        <w:t>An Investment Strategy Statement was agreed by the Council’s Investment Committee on 1</w:t>
      </w:r>
      <w:r w:rsidR="00171D2E">
        <w:rPr>
          <w:rFonts w:ascii="Arial" w:hAnsi="Arial" w:cs="Arial"/>
          <w:sz w:val="22"/>
          <w:szCs w:val="22"/>
        </w:rPr>
        <w:t>6 December</w:t>
      </w:r>
      <w:r w:rsidRPr="008A0A4E">
        <w:rPr>
          <w:rFonts w:ascii="Arial" w:hAnsi="Arial" w:cs="Arial"/>
          <w:sz w:val="22"/>
          <w:szCs w:val="22"/>
        </w:rPr>
        <w:t xml:space="preserve"> 20</w:t>
      </w:r>
      <w:r w:rsidR="00171D2E">
        <w:rPr>
          <w:rFonts w:ascii="Arial" w:hAnsi="Arial" w:cs="Arial"/>
          <w:sz w:val="22"/>
          <w:szCs w:val="22"/>
        </w:rPr>
        <w:t>20</w:t>
      </w:r>
      <w:r w:rsidRPr="008A0A4E">
        <w:rPr>
          <w:rFonts w:ascii="Arial" w:hAnsi="Arial" w:cs="Arial"/>
          <w:sz w:val="22"/>
          <w:szCs w:val="22"/>
        </w:rPr>
        <w:t xml:space="preserve"> and is updated periodically to reflect changes made in Investment Management arrangements. The nature and extent of risk arising from financial instruments and how the Fund manages those risks is included in the Investment Strategy Statement. Copies can be obtained from the Council’s Pension website: </w:t>
      </w:r>
      <w:hyperlink r:id="rId16" w:history="1">
        <w:r w:rsidRPr="008A0A4E">
          <w:rPr>
            <w:rStyle w:val="Hyperlink"/>
            <w:rFonts w:ascii="Arial" w:hAnsi="Arial" w:cs="Arial"/>
            <w:sz w:val="22"/>
            <w:szCs w:val="22"/>
          </w:rPr>
          <w:t>http://www.lbbdpensionfund.org</w:t>
        </w:r>
      </w:hyperlink>
    </w:p>
    <w:p w14:paraId="17E3DF39" w14:textId="77777777" w:rsidR="00E05231" w:rsidRDefault="00E05231" w:rsidP="00230772">
      <w:pPr>
        <w:tabs>
          <w:tab w:val="left" w:pos="426"/>
        </w:tabs>
        <w:ind w:left="425"/>
        <w:jc w:val="both"/>
        <w:rPr>
          <w:rFonts w:ascii="Arial" w:hAnsi="Arial" w:cs="Arial"/>
          <w:color w:val="0000FF"/>
          <w:sz w:val="22"/>
          <w:szCs w:val="22"/>
          <w:u w:val="single"/>
        </w:rPr>
      </w:pPr>
    </w:p>
    <w:p w14:paraId="47DE6597" w14:textId="77777777" w:rsidR="0084363E" w:rsidRDefault="0084363E" w:rsidP="00230772">
      <w:pPr>
        <w:tabs>
          <w:tab w:val="left" w:pos="426"/>
        </w:tabs>
        <w:ind w:left="425"/>
        <w:jc w:val="both"/>
        <w:rPr>
          <w:rFonts w:ascii="Arial" w:hAnsi="Arial" w:cs="Arial"/>
          <w:color w:val="0000FF"/>
          <w:sz w:val="22"/>
          <w:szCs w:val="22"/>
          <w:u w:val="single"/>
        </w:rPr>
      </w:pPr>
    </w:p>
    <w:p w14:paraId="0559F88A" w14:textId="77777777" w:rsidR="00D94BB1" w:rsidRDefault="00D94BB1" w:rsidP="00230772">
      <w:pPr>
        <w:tabs>
          <w:tab w:val="left" w:pos="426"/>
        </w:tabs>
        <w:ind w:left="425"/>
        <w:jc w:val="both"/>
        <w:rPr>
          <w:rFonts w:ascii="Arial" w:hAnsi="Arial" w:cs="Arial"/>
          <w:color w:val="0000FF"/>
          <w:sz w:val="22"/>
          <w:szCs w:val="22"/>
          <w:u w:val="single"/>
        </w:rPr>
      </w:pPr>
    </w:p>
    <w:p w14:paraId="40598FA8" w14:textId="77777777" w:rsidR="00E4682F" w:rsidRDefault="00E4682F" w:rsidP="00230772">
      <w:pPr>
        <w:tabs>
          <w:tab w:val="left" w:pos="426"/>
        </w:tabs>
        <w:ind w:left="425"/>
        <w:jc w:val="both"/>
        <w:rPr>
          <w:rFonts w:ascii="Arial" w:hAnsi="Arial" w:cs="Arial"/>
          <w:color w:val="0000FF"/>
          <w:sz w:val="22"/>
          <w:szCs w:val="22"/>
          <w:u w:val="single"/>
        </w:rPr>
      </w:pPr>
    </w:p>
    <w:p w14:paraId="13ADD89B" w14:textId="77777777" w:rsidR="00D94BB1" w:rsidRDefault="00D94BB1" w:rsidP="00230772">
      <w:pPr>
        <w:tabs>
          <w:tab w:val="left" w:pos="426"/>
        </w:tabs>
        <w:ind w:left="425"/>
        <w:jc w:val="both"/>
        <w:rPr>
          <w:rFonts w:ascii="Arial" w:hAnsi="Arial" w:cs="Arial"/>
          <w:color w:val="0000FF"/>
          <w:sz w:val="22"/>
          <w:szCs w:val="22"/>
          <w:u w:val="single"/>
        </w:rPr>
      </w:pPr>
    </w:p>
    <w:p w14:paraId="51368D7F" w14:textId="77777777" w:rsidR="00FC1536" w:rsidRPr="00230772" w:rsidRDefault="00FC1536" w:rsidP="00230772">
      <w:pPr>
        <w:tabs>
          <w:tab w:val="left" w:pos="426"/>
        </w:tabs>
        <w:ind w:left="425"/>
        <w:jc w:val="both"/>
        <w:rPr>
          <w:rFonts w:ascii="Arial" w:hAnsi="Arial" w:cs="Arial"/>
          <w:color w:val="0000FF"/>
          <w:sz w:val="22"/>
          <w:szCs w:val="22"/>
          <w:u w:val="single"/>
        </w:rPr>
      </w:pPr>
    </w:p>
    <w:p w14:paraId="4F9C4E44" w14:textId="51C9A728" w:rsidR="003C45DA" w:rsidRPr="00380556" w:rsidRDefault="003C45DA" w:rsidP="00FC1536">
      <w:pPr>
        <w:pStyle w:val="BodyTextIndent2"/>
        <w:numPr>
          <w:ilvl w:val="0"/>
          <w:numId w:val="24"/>
        </w:numPr>
        <w:spacing w:after="0" w:line="240" w:lineRule="auto"/>
        <w:ind w:left="502"/>
        <w:jc w:val="both"/>
        <w:rPr>
          <w:rFonts w:ascii="Arial" w:hAnsi="Arial" w:cs="Arial"/>
          <w:b/>
          <w:sz w:val="22"/>
          <w:szCs w:val="22"/>
        </w:rPr>
      </w:pPr>
      <w:r w:rsidRPr="00380556">
        <w:rPr>
          <w:rFonts w:ascii="Arial" w:hAnsi="Arial" w:cs="Arial"/>
          <w:b/>
          <w:sz w:val="22"/>
          <w:szCs w:val="22"/>
        </w:rPr>
        <w:t xml:space="preserve">Actuarial position </w:t>
      </w:r>
    </w:p>
    <w:p w14:paraId="3A7364AA" w14:textId="77777777" w:rsidR="003C45DA" w:rsidRPr="00380556" w:rsidRDefault="003C45DA" w:rsidP="003C45DA">
      <w:pPr>
        <w:ind w:left="720"/>
        <w:jc w:val="both"/>
        <w:rPr>
          <w:rFonts w:ascii="Arial" w:hAnsi="Arial" w:cs="Arial"/>
          <w:b/>
          <w:sz w:val="22"/>
          <w:szCs w:val="22"/>
        </w:rPr>
      </w:pPr>
    </w:p>
    <w:p w14:paraId="77E99F0D" w14:textId="77777777" w:rsidR="003C45DA" w:rsidRPr="00380556" w:rsidRDefault="003C45DA" w:rsidP="003C45DA">
      <w:pPr>
        <w:tabs>
          <w:tab w:val="left" w:pos="851"/>
        </w:tabs>
        <w:ind w:left="284"/>
        <w:jc w:val="both"/>
        <w:rPr>
          <w:rFonts w:ascii="Arial" w:hAnsi="Arial" w:cs="Arial"/>
          <w:b/>
          <w:sz w:val="22"/>
          <w:szCs w:val="22"/>
        </w:rPr>
      </w:pPr>
      <w:r w:rsidRPr="00380556">
        <w:rPr>
          <w:rFonts w:ascii="Arial" w:hAnsi="Arial" w:cs="Arial"/>
          <w:b/>
          <w:sz w:val="22"/>
          <w:szCs w:val="22"/>
        </w:rPr>
        <w:t>Actuarial assumptions</w:t>
      </w:r>
      <w:r w:rsidRPr="00380556">
        <w:rPr>
          <w:rFonts w:ascii="Arial" w:hAnsi="Arial" w:cs="Arial"/>
          <w:color w:val="FF0000"/>
          <w:sz w:val="22"/>
          <w:szCs w:val="22"/>
        </w:rPr>
        <w:t xml:space="preserve"> </w:t>
      </w:r>
    </w:p>
    <w:p w14:paraId="5887B8FF" w14:textId="77777777" w:rsidR="003C45DA" w:rsidRPr="00B70B44" w:rsidRDefault="003C45DA" w:rsidP="003C45DA">
      <w:pPr>
        <w:tabs>
          <w:tab w:val="left" w:pos="851"/>
        </w:tabs>
        <w:ind w:left="284"/>
        <w:jc w:val="both"/>
        <w:rPr>
          <w:rFonts w:ascii="Arial" w:hAnsi="Arial" w:cs="Arial"/>
          <w:b/>
          <w:sz w:val="22"/>
          <w:szCs w:val="22"/>
          <w:highlight w:val="yellow"/>
        </w:rPr>
      </w:pPr>
    </w:p>
    <w:p w14:paraId="69D0F177" w14:textId="7CE0F7C4" w:rsidR="003C45DA" w:rsidRPr="002E1ED9" w:rsidRDefault="00F04AFF" w:rsidP="003C45DA">
      <w:pPr>
        <w:tabs>
          <w:tab w:val="left" w:pos="851"/>
          <w:tab w:val="left" w:pos="1560"/>
        </w:tabs>
        <w:ind w:left="284"/>
        <w:jc w:val="both"/>
        <w:rPr>
          <w:rFonts w:ascii="Arial" w:hAnsi="Arial" w:cs="Arial"/>
          <w:sz w:val="22"/>
          <w:szCs w:val="22"/>
        </w:rPr>
      </w:pPr>
      <w:r>
        <w:rPr>
          <w:rFonts w:ascii="Arial" w:hAnsi="Arial" w:cs="Arial"/>
          <w:sz w:val="22"/>
          <w:szCs w:val="22"/>
        </w:rPr>
        <w:t xml:space="preserve">In line with </w:t>
      </w:r>
      <w:r w:rsidR="00AF00A1">
        <w:rPr>
          <w:rFonts w:ascii="Arial" w:hAnsi="Arial" w:cs="Arial"/>
          <w:sz w:val="22"/>
          <w:szCs w:val="22"/>
        </w:rPr>
        <w:t>LGPS Regulations, a full actuarial val</w:t>
      </w:r>
      <w:r w:rsidR="00AC6385">
        <w:rPr>
          <w:rFonts w:ascii="Arial" w:hAnsi="Arial" w:cs="Arial"/>
          <w:sz w:val="22"/>
          <w:szCs w:val="22"/>
        </w:rPr>
        <w:t xml:space="preserve">uation is carried out every 3 years. The purpose of this is to </w:t>
      </w:r>
      <w:r w:rsidR="007D1D78">
        <w:rPr>
          <w:rFonts w:ascii="Arial" w:hAnsi="Arial" w:cs="Arial"/>
          <w:sz w:val="22"/>
          <w:szCs w:val="22"/>
        </w:rPr>
        <w:t xml:space="preserve">ensure the </w:t>
      </w:r>
      <w:proofErr w:type="gramStart"/>
      <w:r w:rsidR="007D1D78">
        <w:rPr>
          <w:rFonts w:ascii="Arial" w:hAnsi="Arial" w:cs="Arial"/>
          <w:sz w:val="22"/>
          <w:szCs w:val="22"/>
        </w:rPr>
        <w:t>long term</w:t>
      </w:r>
      <w:proofErr w:type="gramEnd"/>
      <w:r w:rsidR="007D1D78">
        <w:rPr>
          <w:rFonts w:ascii="Arial" w:hAnsi="Arial" w:cs="Arial"/>
          <w:sz w:val="22"/>
          <w:szCs w:val="22"/>
        </w:rPr>
        <w:t xml:space="preserve"> solvency o</w:t>
      </w:r>
      <w:r w:rsidR="0087545F">
        <w:rPr>
          <w:rFonts w:ascii="Arial" w:hAnsi="Arial" w:cs="Arial"/>
          <w:sz w:val="22"/>
          <w:szCs w:val="22"/>
        </w:rPr>
        <w:t xml:space="preserve">f the fund and that </w:t>
      </w:r>
      <w:r w:rsidR="0083155D">
        <w:rPr>
          <w:rFonts w:ascii="Arial" w:hAnsi="Arial" w:cs="Arial"/>
          <w:sz w:val="22"/>
          <w:szCs w:val="22"/>
        </w:rPr>
        <w:t xml:space="preserve">it </w:t>
      </w:r>
      <w:proofErr w:type="gramStart"/>
      <w:r w:rsidR="0083155D">
        <w:rPr>
          <w:rFonts w:ascii="Arial" w:hAnsi="Arial" w:cs="Arial"/>
          <w:sz w:val="22"/>
          <w:szCs w:val="22"/>
        </w:rPr>
        <w:t>is able to</w:t>
      </w:r>
      <w:proofErr w:type="gramEnd"/>
      <w:r w:rsidR="0083155D">
        <w:rPr>
          <w:rFonts w:ascii="Arial" w:hAnsi="Arial" w:cs="Arial"/>
          <w:sz w:val="22"/>
          <w:szCs w:val="22"/>
        </w:rPr>
        <w:t xml:space="preserve"> meet its liabilities to past and present contri</w:t>
      </w:r>
      <w:r w:rsidR="009E0C7C">
        <w:rPr>
          <w:rFonts w:ascii="Arial" w:hAnsi="Arial" w:cs="Arial"/>
          <w:sz w:val="22"/>
          <w:szCs w:val="22"/>
        </w:rPr>
        <w:t xml:space="preserve">butors. </w:t>
      </w:r>
      <w:r w:rsidR="003E47DD">
        <w:rPr>
          <w:rFonts w:ascii="Arial" w:hAnsi="Arial" w:cs="Arial"/>
          <w:sz w:val="22"/>
          <w:szCs w:val="22"/>
        </w:rPr>
        <w:t>Employer contribution</w:t>
      </w:r>
      <w:r w:rsidR="00BA05A6">
        <w:rPr>
          <w:rFonts w:ascii="Arial" w:hAnsi="Arial" w:cs="Arial"/>
          <w:sz w:val="22"/>
          <w:szCs w:val="22"/>
        </w:rPr>
        <w:t xml:space="preserve"> rates</w:t>
      </w:r>
      <w:r w:rsidR="003E47DD">
        <w:rPr>
          <w:rFonts w:ascii="Arial" w:hAnsi="Arial" w:cs="Arial"/>
          <w:sz w:val="22"/>
          <w:szCs w:val="22"/>
        </w:rPr>
        <w:t xml:space="preserve"> are set </w:t>
      </w:r>
      <w:r w:rsidR="00AF662D">
        <w:rPr>
          <w:rFonts w:ascii="Arial" w:hAnsi="Arial" w:cs="Arial"/>
          <w:sz w:val="22"/>
          <w:szCs w:val="22"/>
        </w:rPr>
        <w:t>in this process</w:t>
      </w:r>
      <w:r w:rsidR="00BA05A6">
        <w:rPr>
          <w:rFonts w:ascii="Arial" w:hAnsi="Arial" w:cs="Arial"/>
          <w:sz w:val="22"/>
          <w:szCs w:val="22"/>
        </w:rPr>
        <w:t xml:space="preserve"> for the forthcoming triennial period.</w:t>
      </w:r>
      <w:r w:rsidR="009C034A">
        <w:rPr>
          <w:rFonts w:ascii="Arial" w:hAnsi="Arial" w:cs="Arial"/>
          <w:sz w:val="22"/>
          <w:szCs w:val="22"/>
        </w:rPr>
        <w:t xml:space="preserve"> </w:t>
      </w:r>
      <w:r w:rsidR="003C45DA" w:rsidRPr="002E1ED9">
        <w:rPr>
          <w:rFonts w:ascii="Arial" w:hAnsi="Arial" w:cs="Arial"/>
          <w:sz w:val="22"/>
          <w:szCs w:val="22"/>
        </w:rPr>
        <w:t>The 20</w:t>
      </w:r>
      <w:r w:rsidR="002E1ED9" w:rsidRPr="002E1ED9">
        <w:rPr>
          <w:rFonts w:ascii="Arial" w:hAnsi="Arial" w:cs="Arial"/>
          <w:sz w:val="22"/>
          <w:szCs w:val="22"/>
        </w:rPr>
        <w:t>22</w:t>
      </w:r>
      <w:r w:rsidR="003C45DA" w:rsidRPr="002E1ED9">
        <w:rPr>
          <w:rFonts w:ascii="Arial" w:hAnsi="Arial" w:cs="Arial"/>
          <w:sz w:val="22"/>
          <w:szCs w:val="22"/>
        </w:rPr>
        <w:t xml:space="preserve"> triennial review of the Fund took place as </w:t>
      </w:r>
      <w:proofErr w:type="gramStart"/>
      <w:r w:rsidR="003C45DA" w:rsidRPr="002E1ED9">
        <w:rPr>
          <w:rFonts w:ascii="Arial" w:hAnsi="Arial" w:cs="Arial"/>
          <w:sz w:val="22"/>
          <w:szCs w:val="22"/>
        </w:rPr>
        <w:t>at</w:t>
      </w:r>
      <w:proofErr w:type="gramEnd"/>
      <w:r w:rsidR="003C45DA" w:rsidRPr="002E1ED9">
        <w:rPr>
          <w:rFonts w:ascii="Arial" w:hAnsi="Arial" w:cs="Arial"/>
          <w:sz w:val="22"/>
          <w:szCs w:val="22"/>
        </w:rPr>
        <w:t xml:space="preserve"> 31 March 20</w:t>
      </w:r>
      <w:r w:rsidR="002E1ED9" w:rsidRPr="002E1ED9">
        <w:rPr>
          <w:rFonts w:ascii="Arial" w:hAnsi="Arial" w:cs="Arial"/>
          <w:sz w:val="22"/>
          <w:szCs w:val="22"/>
        </w:rPr>
        <w:t>22</w:t>
      </w:r>
      <w:r w:rsidR="003C45DA" w:rsidRPr="002E1ED9">
        <w:rPr>
          <w:rFonts w:ascii="Arial" w:hAnsi="Arial" w:cs="Arial"/>
          <w:sz w:val="22"/>
          <w:szCs w:val="22"/>
        </w:rPr>
        <w:t xml:space="preserve"> </w:t>
      </w:r>
      <w:r w:rsidR="009C034A">
        <w:rPr>
          <w:rFonts w:ascii="Arial" w:hAnsi="Arial" w:cs="Arial"/>
          <w:sz w:val="22"/>
          <w:szCs w:val="22"/>
        </w:rPr>
        <w:t>by Barnett Waddingham</w:t>
      </w:r>
      <w:r w:rsidR="0066485D">
        <w:rPr>
          <w:rFonts w:ascii="Arial" w:hAnsi="Arial" w:cs="Arial"/>
          <w:sz w:val="22"/>
          <w:szCs w:val="22"/>
        </w:rPr>
        <w:t xml:space="preserve"> the funds actuary </w:t>
      </w:r>
      <w:r w:rsidR="003C45DA" w:rsidRPr="002E1ED9">
        <w:rPr>
          <w:rFonts w:ascii="Arial" w:hAnsi="Arial" w:cs="Arial"/>
          <w:sz w:val="22"/>
          <w:szCs w:val="22"/>
        </w:rPr>
        <w:t>and the salient features of that review were as follows:</w:t>
      </w:r>
    </w:p>
    <w:p w14:paraId="0FCC527A" w14:textId="77777777" w:rsidR="003C45DA" w:rsidRPr="00B70B44" w:rsidRDefault="003C45DA" w:rsidP="003C45DA">
      <w:pPr>
        <w:ind w:left="720"/>
        <w:jc w:val="both"/>
        <w:rPr>
          <w:rFonts w:ascii="Arial" w:hAnsi="Arial" w:cs="Arial"/>
          <w:sz w:val="22"/>
          <w:szCs w:val="22"/>
          <w:highlight w:val="yellow"/>
        </w:rPr>
      </w:pPr>
    </w:p>
    <w:p w14:paraId="3354BA77" w14:textId="0D5ADFD4" w:rsidR="0073307D" w:rsidRPr="00F40A7D" w:rsidRDefault="00F40A7D" w:rsidP="00F40A7D">
      <w:pPr>
        <w:numPr>
          <w:ilvl w:val="0"/>
          <w:numId w:val="27"/>
        </w:numPr>
        <w:ind w:left="709" w:hanging="283"/>
        <w:jc w:val="both"/>
        <w:rPr>
          <w:rFonts w:ascii="Arial" w:hAnsi="Arial" w:cs="Arial"/>
          <w:sz w:val="22"/>
          <w:szCs w:val="22"/>
        </w:rPr>
      </w:pPr>
      <w:r w:rsidRPr="00F40A7D">
        <w:rPr>
          <w:rFonts w:ascii="Arial" w:hAnsi="Arial" w:cs="Arial"/>
          <w:sz w:val="22"/>
          <w:szCs w:val="22"/>
        </w:rPr>
        <w:t xml:space="preserve">The funding target is to achieve a funding level of at least 100% over a specific </w:t>
      </w:r>
      <w:proofErr w:type="gramStart"/>
      <w:r w:rsidRPr="00F40A7D">
        <w:rPr>
          <w:rFonts w:ascii="Arial" w:hAnsi="Arial" w:cs="Arial"/>
          <w:sz w:val="22"/>
          <w:szCs w:val="22"/>
        </w:rPr>
        <w:t>period;</w:t>
      </w:r>
      <w:proofErr w:type="gramEnd"/>
    </w:p>
    <w:p w14:paraId="45D5F12B" w14:textId="3F3019A6" w:rsidR="003C45DA" w:rsidRPr="004B11B8" w:rsidRDefault="003C45DA" w:rsidP="00621008">
      <w:pPr>
        <w:numPr>
          <w:ilvl w:val="0"/>
          <w:numId w:val="27"/>
        </w:numPr>
        <w:ind w:left="709" w:hanging="283"/>
        <w:jc w:val="both"/>
        <w:rPr>
          <w:rFonts w:ascii="Arial" w:hAnsi="Arial" w:cs="Arial"/>
          <w:sz w:val="22"/>
          <w:szCs w:val="22"/>
        </w:rPr>
      </w:pPr>
      <w:r w:rsidRPr="004B11B8">
        <w:rPr>
          <w:rFonts w:ascii="Arial" w:hAnsi="Arial" w:cs="Arial"/>
          <w:sz w:val="22"/>
          <w:szCs w:val="22"/>
        </w:rPr>
        <w:t>Market value of the scheme’s assets at the date of the valuation were £</w:t>
      </w:r>
      <w:r w:rsidR="0066533A" w:rsidRPr="004B11B8">
        <w:rPr>
          <w:rFonts w:ascii="Arial" w:hAnsi="Arial" w:cs="Arial"/>
          <w:sz w:val="22"/>
          <w:szCs w:val="22"/>
        </w:rPr>
        <w:t>1,</w:t>
      </w:r>
      <w:r w:rsidR="004B11B8" w:rsidRPr="004B11B8">
        <w:rPr>
          <w:rFonts w:ascii="Arial" w:hAnsi="Arial" w:cs="Arial"/>
          <w:sz w:val="22"/>
          <w:szCs w:val="22"/>
        </w:rPr>
        <w:t>317</w:t>
      </w:r>
      <w:r w:rsidRPr="004B11B8">
        <w:rPr>
          <w:rFonts w:ascii="Arial" w:hAnsi="Arial" w:cs="Arial"/>
          <w:sz w:val="22"/>
          <w:szCs w:val="22"/>
        </w:rPr>
        <w:t xml:space="preserve"> </w:t>
      </w:r>
      <w:proofErr w:type="gramStart"/>
      <w:r w:rsidRPr="004B11B8">
        <w:rPr>
          <w:rFonts w:ascii="Arial" w:hAnsi="Arial" w:cs="Arial"/>
          <w:sz w:val="22"/>
          <w:szCs w:val="22"/>
        </w:rPr>
        <w:t>million;</w:t>
      </w:r>
      <w:proofErr w:type="gramEnd"/>
    </w:p>
    <w:p w14:paraId="3B91D889" w14:textId="22953F11" w:rsidR="003C45DA" w:rsidRPr="003308B5" w:rsidRDefault="003C45DA" w:rsidP="00621008">
      <w:pPr>
        <w:numPr>
          <w:ilvl w:val="0"/>
          <w:numId w:val="27"/>
        </w:numPr>
        <w:ind w:left="709" w:hanging="283"/>
        <w:jc w:val="both"/>
        <w:rPr>
          <w:rFonts w:ascii="Arial" w:hAnsi="Arial" w:cs="Arial"/>
          <w:sz w:val="22"/>
          <w:szCs w:val="22"/>
        </w:rPr>
      </w:pPr>
      <w:r w:rsidRPr="003308B5">
        <w:rPr>
          <w:rFonts w:ascii="Arial" w:hAnsi="Arial" w:cs="Arial"/>
          <w:sz w:val="22"/>
          <w:szCs w:val="22"/>
        </w:rPr>
        <w:t>The past service liabilities at the rate of the valuation were £1,</w:t>
      </w:r>
      <w:r w:rsidR="003308B5" w:rsidRPr="003308B5">
        <w:rPr>
          <w:rFonts w:ascii="Arial" w:hAnsi="Arial" w:cs="Arial"/>
          <w:sz w:val="22"/>
          <w:szCs w:val="22"/>
        </w:rPr>
        <w:t>306</w:t>
      </w:r>
      <w:r w:rsidRPr="003308B5">
        <w:rPr>
          <w:rFonts w:ascii="Arial" w:hAnsi="Arial" w:cs="Arial"/>
          <w:sz w:val="22"/>
          <w:szCs w:val="22"/>
        </w:rPr>
        <w:t xml:space="preserve"> Million;</w:t>
      </w:r>
      <w:r w:rsidR="006C7CDA">
        <w:rPr>
          <w:rFonts w:ascii="Arial" w:hAnsi="Arial" w:cs="Arial"/>
          <w:sz w:val="22"/>
          <w:szCs w:val="22"/>
        </w:rPr>
        <w:t xml:space="preserve"> and</w:t>
      </w:r>
    </w:p>
    <w:p w14:paraId="652CD868" w14:textId="03D9B524" w:rsidR="003C45DA" w:rsidRDefault="003C45DA" w:rsidP="00621008">
      <w:pPr>
        <w:numPr>
          <w:ilvl w:val="0"/>
          <w:numId w:val="27"/>
        </w:numPr>
        <w:ind w:left="709" w:hanging="283"/>
        <w:jc w:val="both"/>
        <w:rPr>
          <w:rFonts w:ascii="Arial" w:hAnsi="Arial" w:cs="Arial"/>
          <w:sz w:val="22"/>
          <w:szCs w:val="22"/>
        </w:rPr>
      </w:pPr>
      <w:r w:rsidRPr="003308B5">
        <w:rPr>
          <w:rFonts w:ascii="Arial" w:hAnsi="Arial" w:cs="Arial"/>
          <w:sz w:val="22"/>
          <w:szCs w:val="22"/>
        </w:rPr>
        <w:t xml:space="preserve">The resulting funding level was </w:t>
      </w:r>
      <w:r w:rsidR="003308B5" w:rsidRPr="003308B5">
        <w:rPr>
          <w:rFonts w:ascii="Arial" w:hAnsi="Arial" w:cs="Arial"/>
          <w:sz w:val="22"/>
          <w:szCs w:val="22"/>
        </w:rPr>
        <w:t>101</w:t>
      </w:r>
      <w:r w:rsidRPr="003308B5">
        <w:rPr>
          <w:rFonts w:ascii="Arial" w:hAnsi="Arial" w:cs="Arial"/>
          <w:sz w:val="22"/>
          <w:szCs w:val="22"/>
        </w:rPr>
        <w:t>% (</w:t>
      </w:r>
      <w:r w:rsidR="003308B5" w:rsidRPr="003308B5">
        <w:rPr>
          <w:rFonts w:ascii="Arial" w:hAnsi="Arial" w:cs="Arial"/>
          <w:sz w:val="22"/>
          <w:szCs w:val="22"/>
        </w:rPr>
        <w:t>90</w:t>
      </w:r>
      <w:r w:rsidRPr="003308B5">
        <w:rPr>
          <w:rFonts w:ascii="Arial" w:hAnsi="Arial" w:cs="Arial"/>
          <w:sz w:val="22"/>
          <w:szCs w:val="22"/>
        </w:rPr>
        <w:t xml:space="preserve">% as </w:t>
      </w:r>
      <w:proofErr w:type="gramStart"/>
      <w:r w:rsidRPr="003308B5">
        <w:rPr>
          <w:rFonts w:ascii="Arial" w:hAnsi="Arial" w:cs="Arial"/>
          <w:sz w:val="22"/>
          <w:szCs w:val="22"/>
        </w:rPr>
        <w:t>at</w:t>
      </w:r>
      <w:proofErr w:type="gramEnd"/>
      <w:r w:rsidRPr="003308B5">
        <w:rPr>
          <w:rFonts w:ascii="Arial" w:hAnsi="Arial" w:cs="Arial"/>
          <w:sz w:val="22"/>
          <w:szCs w:val="22"/>
        </w:rPr>
        <w:t xml:space="preserve"> 31 March 201</w:t>
      </w:r>
      <w:r w:rsidR="003308B5" w:rsidRPr="003308B5">
        <w:rPr>
          <w:rFonts w:ascii="Arial" w:hAnsi="Arial" w:cs="Arial"/>
          <w:sz w:val="22"/>
          <w:szCs w:val="22"/>
        </w:rPr>
        <w:t>9</w:t>
      </w:r>
      <w:r w:rsidRPr="003308B5">
        <w:rPr>
          <w:rFonts w:ascii="Arial" w:hAnsi="Arial" w:cs="Arial"/>
          <w:sz w:val="22"/>
          <w:szCs w:val="22"/>
        </w:rPr>
        <w:t>)</w:t>
      </w:r>
      <w:r w:rsidR="006C7CDA">
        <w:rPr>
          <w:rFonts w:ascii="Arial" w:hAnsi="Arial" w:cs="Arial"/>
          <w:sz w:val="22"/>
          <w:szCs w:val="22"/>
        </w:rPr>
        <w:t xml:space="preserve">. </w:t>
      </w:r>
    </w:p>
    <w:p w14:paraId="044E70EF" w14:textId="77777777" w:rsidR="00A407B9" w:rsidRPr="006C7CDA" w:rsidRDefault="00A407B9" w:rsidP="006C7CDA">
      <w:pPr>
        <w:ind w:left="709"/>
        <w:jc w:val="both"/>
        <w:rPr>
          <w:rFonts w:ascii="Arial" w:hAnsi="Arial" w:cs="Arial"/>
          <w:sz w:val="22"/>
          <w:szCs w:val="22"/>
        </w:rPr>
      </w:pPr>
    </w:p>
    <w:p w14:paraId="39C5873E" w14:textId="7DA6BA9D" w:rsidR="00BE2E38" w:rsidRDefault="00365D69" w:rsidP="00D82390">
      <w:pPr>
        <w:ind w:left="284"/>
        <w:jc w:val="both"/>
        <w:rPr>
          <w:rFonts w:ascii="Arial" w:hAnsi="Arial" w:cs="Arial"/>
          <w:sz w:val="22"/>
          <w:szCs w:val="22"/>
        </w:rPr>
      </w:pPr>
      <w:r w:rsidRPr="00D82390">
        <w:rPr>
          <w:rFonts w:ascii="Arial" w:hAnsi="Arial" w:cs="Arial"/>
          <w:sz w:val="22"/>
          <w:szCs w:val="22"/>
        </w:rPr>
        <w:t>Some of t</w:t>
      </w:r>
      <w:r w:rsidR="003C45DA" w:rsidRPr="00D82390">
        <w:rPr>
          <w:rFonts w:ascii="Arial" w:hAnsi="Arial" w:cs="Arial"/>
          <w:sz w:val="22"/>
          <w:szCs w:val="22"/>
        </w:rPr>
        <w:t>he key financial assumptions adopted by the actuary for the valuation of members’ benefits at the 20</w:t>
      </w:r>
      <w:r w:rsidR="00D82390" w:rsidRPr="00D82390">
        <w:rPr>
          <w:rFonts w:ascii="Arial" w:hAnsi="Arial" w:cs="Arial"/>
          <w:sz w:val="22"/>
          <w:szCs w:val="22"/>
        </w:rPr>
        <w:t>22</w:t>
      </w:r>
      <w:r w:rsidR="003C45DA" w:rsidRPr="00D82390">
        <w:rPr>
          <w:rFonts w:ascii="Arial" w:hAnsi="Arial" w:cs="Arial"/>
          <w:sz w:val="22"/>
          <w:szCs w:val="22"/>
        </w:rPr>
        <w:t xml:space="preserve"> valuation are set out below:</w:t>
      </w:r>
    </w:p>
    <w:p w14:paraId="743102FE" w14:textId="77777777" w:rsidR="005D186E" w:rsidRDefault="005D186E" w:rsidP="00D82390">
      <w:pPr>
        <w:ind w:left="284"/>
        <w:jc w:val="both"/>
        <w:rPr>
          <w:rFonts w:ascii="Arial" w:hAnsi="Arial" w:cs="Arial"/>
          <w:sz w:val="22"/>
          <w:szCs w:val="22"/>
        </w:rPr>
      </w:pPr>
    </w:p>
    <w:tbl>
      <w:tblPr>
        <w:tblW w:w="6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1560"/>
        <w:gridCol w:w="1701"/>
      </w:tblGrid>
      <w:tr w:rsidR="005D186E" w:rsidRPr="00993FEB" w14:paraId="71A03F54" w14:textId="77777777" w:rsidTr="00875078">
        <w:trPr>
          <w:trHeight w:val="154"/>
        </w:trPr>
        <w:tc>
          <w:tcPr>
            <w:tcW w:w="3572" w:type="dxa"/>
            <w:noWrap/>
            <w:vAlign w:val="bottom"/>
          </w:tcPr>
          <w:p w14:paraId="3F9554E4" w14:textId="77777777" w:rsidR="005D186E" w:rsidRPr="008722F4" w:rsidRDefault="005D186E" w:rsidP="00875078">
            <w:pPr>
              <w:rPr>
                <w:rFonts w:ascii="Arial" w:hAnsi="Arial" w:cs="Arial"/>
                <w:color w:val="000000"/>
                <w:sz w:val="22"/>
                <w:szCs w:val="22"/>
                <w:highlight w:val="yellow"/>
              </w:rPr>
            </w:pPr>
            <w:r w:rsidRPr="004D101E">
              <w:rPr>
                <w:rFonts w:ascii="Arial" w:hAnsi="Arial" w:cs="Arial"/>
                <w:color w:val="000000"/>
                <w:sz w:val="22"/>
                <w:szCs w:val="22"/>
              </w:rPr>
              <w:t>Financial Assumptions</w:t>
            </w:r>
          </w:p>
        </w:tc>
        <w:tc>
          <w:tcPr>
            <w:tcW w:w="1560" w:type="dxa"/>
            <w:vAlign w:val="bottom"/>
          </w:tcPr>
          <w:p w14:paraId="5EE6958E" w14:textId="147F3986" w:rsidR="005D186E" w:rsidRPr="004A3AC2" w:rsidRDefault="005D186E" w:rsidP="00875078">
            <w:pPr>
              <w:jc w:val="center"/>
              <w:rPr>
                <w:rFonts w:ascii="Arial" w:hAnsi="Arial" w:cs="Arial"/>
                <w:b/>
                <w:color w:val="000000"/>
                <w:sz w:val="22"/>
                <w:szCs w:val="22"/>
              </w:rPr>
            </w:pPr>
            <w:r w:rsidRPr="004A3AC2">
              <w:rPr>
                <w:rFonts w:ascii="Arial" w:hAnsi="Arial" w:cs="Arial"/>
                <w:b/>
                <w:color w:val="000000"/>
                <w:sz w:val="22"/>
                <w:szCs w:val="22"/>
              </w:rPr>
              <w:t>2019</w:t>
            </w:r>
            <w:r w:rsidR="00435ECC" w:rsidRPr="004A3AC2">
              <w:rPr>
                <w:rFonts w:ascii="Arial" w:hAnsi="Arial" w:cs="Arial"/>
                <w:b/>
                <w:color w:val="000000"/>
                <w:sz w:val="22"/>
                <w:szCs w:val="22"/>
              </w:rPr>
              <w:t xml:space="preserve"> Valuation</w:t>
            </w:r>
          </w:p>
        </w:tc>
        <w:tc>
          <w:tcPr>
            <w:tcW w:w="1701" w:type="dxa"/>
            <w:noWrap/>
            <w:vAlign w:val="bottom"/>
          </w:tcPr>
          <w:p w14:paraId="4F04438C" w14:textId="657D628B" w:rsidR="005D186E" w:rsidRPr="00993FEB" w:rsidRDefault="005D186E" w:rsidP="00875078">
            <w:pPr>
              <w:jc w:val="center"/>
              <w:rPr>
                <w:rFonts w:ascii="Arial" w:hAnsi="Arial" w:cs="Arial"/>
                <w:b/>
                <w:bCs/>
                <w:color w:val="000000"/>
                <w:sz w:val="22"/>
                <w:szCs w:val="22"/>
              </w:rPr>
            </w:pPr>
            <w:r>
              <w:rPr>
                <w:rFonts w:ascii="Arial" w:hAnsi="Arial" w:cs="Arial"/>
                <w:b/>
                <w:bCs/>
                <w:color w:val="000000"/>
                <w:sz w:val="22"/>
                <w:szCs w:val="22"/>
              </w:rPr>
              <w:t>2022</w:t>
            </w:r>
            <w:r w:rsidR="00435ECC">
              <w:rPr>
                <w:rFonts w:ascii="Arial" w:hAnsi="Arial" w:cs="Arial"/>
                <w:b/>
                <w:bCs/>
                <w:color w:val="000000"/>
                <w:sz w:val="22"/>
                <w:szCs w:val="22"/>
              </w:rPr>
              <w:t xml:space="preserve"> Valuation</w:t>
            </w:r>
          </w:p>
        </w:tc>
      </w:tr>
      <w:tr w:rsidR="005D186E" w:rsidRPr="0038508F" w14:paraId="36296B83" w14:textId="77777777" w:rsidTr="00875078">
        <w:trPr>
          <w:trHeight w:val="147"/>
        </w:trPr>
        <w:tc>
          <w:tcPr>
            <w:tcW w:w="3572" w:type="dxa"/>
            <w:noWrap/>
            <w:vAlign w:val="bottom"/>
          </w:tcPr>
          <w:p w14:paraId="2BAA61D1" w14:textId="77777777" w:rsidR="005D186E" w:rsidRPr="008722F4" w:rsidRDefault="005D186E" w:rsidP="00875078">
            <w:pPr>
              <w:rPr>
                <w:rFonts w:ascii="Arial" w:hAnsi="Arial" w:cs="Arial"/>
                <w:color w:val="000000"/>
                <w:sz w:val="22"/>
                <w:szCs w:val="22"/>
                <w:highlight w:val="yellow"/>
              </w:rPr>
            </w:pPr>
          </w:p>
        </w:tc>
        <w:tc>
          <w:tcPr>
            <w:tcW w:w="1560" w:type="dxa"/>
            <w:vAlign w:val="bottom"/>
          </w:tcPr>
          <w:p w14:paraId="427762C5" w14:textId="77777777" w:rsidR="005D186E" w:rsidRPr="004A3AC2" w:rsidRDefault="005D186E" w:rsidP="00875078">
            <w:pPr>
              <w:jc w:val="center"/>
              <w:rPr>
                <w:rFonts w:ascii="Arial" w:hAnsi="Arial" w:cs="Arial"/>
                <w:b/>
                <w:color w:val="000000"/>
                <w:sz w:val="22"/>
                <w:szCs w:val="22"/>
              </w:rPr>
            </w:pPr>
            <w:r w:rsidRPr="004A3AC2">
              <w:rPr>
                <w:rFonts w:ascii="Arial" w:hAnsi="Arial" w:cs="Arial"/>
                <w:b/>
                <w:color w:val="000000"/>
                <w:sz w:val="22"/>
                <w:szCs w:val="22"/>
              </w:rPr>
              <w:t>£m</w:t>
            </w:r>
          </w:p>
        </w:tc>
        <w:tc>
          <w:tcPr>
            <w:tcW w:w="1701" w:type="dxa"/>
            <w:noWrap/>
            <w:vAlign w:val="bottom"/>
          </w:tcPr>
          <w:p w14:paraId="79150338" w14:textId="77777777" w:rsidR="005D186E" w:rsidRPr="0038508F" w:rsidRDefault="005D186E" w:rsidP="00875078">
            <w:pPr>
              <w:jc w:val="center"/>
              <w:rPr>
                <w:rFonts w:ascii="Arial" w:hAnsi="Arial" w:cs="Arial"/>
                <w:b/>
                <w:color w:val="000000"/>
                <w:sz w:val="22"/>
                <w:szCs w:val="22"/>
              </w:rPr>
            </w:pPr>
            <w:r w:rsidRPr="0038508F">
              <w:rPr>
                <w:rFonts w:ascii="Arial" w:hAnsi="Arial" w:cs="Arial"/>
                <w:b/>
                <w:color w:val="000000"/>
                <w:sz w:val="22"/>
                <w:szCs w:val="22"/>
              </w:rPr>
              <w:t>£m</w:t>
            </w:r>
          </w:p>
        </w:tc>
      </w:tr>
      <w:tr w:rsidR="005D186E" w:rsidRPr="0038508F" w14:paraId="593FC73B" w14:textId="77777777" w:rsidTr="00875078">
        <w:trPr>
          <w:trHeight w:val="80"/>
        </w:trPr>
        <w:tc>
          <w:tcPr>
            <w:tcW w:w="3572" w:type="dxa"/>
            <w:noWrap/>
            <w:vAlign w:val="bottom"/>
          </w:tcPr>
          <w:p w14:paraId="6E0E5748" w14:textId="77777777" w:rsidR="005D186E" w:rsidRPr="006C4DC7" w:rsidRDefault="005D186E" w:rsidP="00875078">
            <w:pPr>
              <w:rPr>
                <w:rFonts w:ascii="Arial" w:hAnsi="Arial" w:cs="Arial"/>
                <w:color w:val="000000"/>
                <w:sz w:val="22"/>
                <w:szCs w:val="22"/>
              </w:rPr>
            </w:pPr>
            <w:r>
              <w:rPr>
                <w:rFonts w:ascii="Arial" w:hAnsi="Arial" w:cs="Arial"/>
                <w:color w:val="000000"/>
                <w:sz w:val="22"/>
                <w:szCs w:val="22"/>
              </w:rPr>
              <w:t>Discount Rate</w:t>
            </w:r>
          </w:p>
        </w:tc>
        <w:tc>
          <w:tcPr>
            <w:tcW w:w="1560" w:type="dxa"/>
            <w:vAlign w:val="bottom"/>
          </w:tcPr>
          <w:p w14:paraId="37374511" w14:textId="16FE676E" w:rsidR="005D186E" w:rsidRPr="00C60F31" w:rsidRDefault="005D186E"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4</w:t>
            </w:r>
            <w:r w:rsidR="00435ECC">
              <w:rPr>
                <w:rFonts w:ascii="Arial" w:hAnsi="Arial" w:cs="Arial"/>
                <w:bCs/>
                <w:color w:val="000000"/>
                <w:sz w:val="22"/>
                <w:szCs w:val="22"/>
              </w:rPr>
              <w:t>.</w:t>
            </w:r>
            <w:r>
              <w:rPr>
                <w:rFonts w:ascii="Arial" w:hAnsi="Arial" w:cs="Arial"/>
                <w:bCs/>
                <w:color w:val="000000"/>
                <w:sz w:val="22"/>
                <w:szCs w:val="22"/>
              </w:rPr>
              <w:t>0%</w:t>
            </w:r>
          </w:p>
        </w:tc>
        <w:tc>
          <w:tcPr>
            <w:tcW w:w="1701" w:type="dxa"/>
            <w:noWrap/>
            <w:vAlign w:val="bottom"/>
          </w:tcPr>
          <w:p w14:paraId="5E6163D5" w14:textId="0C2D0370"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4.</w:t>
            </w:r>
            <w:r w:rsidR="001F2D84">
              <w:rPr>
                <w:rFonts w:ascii="Arial" w:hAnsi="Arial" w:cs="Arial"/>
                <w:b/>
                <w:color w:val="000000"/>
                <w:sz w:val="22"/>
                <w:szCs w:val="22"/>
              </w:rPr>
              <w:t>3</w:t>
            </w:r>
            <w:r>
              <w:rPr>
                <w:rFonts w:ascii="Arial" w:hAnsi="Arial" w:cs="Arial"/>
                <w:b/>
                <w:color w:val="000000"/>
                <w:sz w:val="22"/>
                <w:szCs w:val="22"/>
              </w:rPr>
              <w:t>%</w:t>
            </w:r>
          </w:p>
        </w:tc>
      </w:tr>
      <w:tr w:rsidR="005D186E" w:rsidRPr="0038508F" w14:paraId="53732BA8" w14:textId="77777777" w:rsidTr="00875078">
        <w:trPr>
          <w:trHeight w:val="147"/>
        </w:trPr>
        <w:tc>
          <w:tcPr>
            <w:tcW w:w="3572" w:type="dxa"/>
            <w:noWrap/>
            <w:vAlign w:val="bottom"/>
          </w:tcPr>
          <w:p w14:paraId="7ECB0F00" w14:textId="77777777" w:rsidR="005D186E" w:rsidRPr="008722F4" w:rsidRDefault="005D186E" w:rsidP="00875078">
            <w:pPr>
              <w:rPr>
                <w:rFonts w:ascii="Arial" w:hAnsi="Arial" w:cs="Arial"/>
                <w:color w:val="000000"/>
                <w:sz w:val="22"/>
                <w:szCs w:val="22"/>
                <w:highlight w:val="yellow"/>
              </w:rPr>
            </w:pPr>
            <w:r w:rsidRPr="001B2003">
              <w:rPr>
                <w:rFonts w:ascii="Arial" w:hAnsi="Arial" w:cs="Arial"/>
                <w:color w:val="000000"/>
                <w:sz w:val="22"/>
                <w:szCs w:val="22"/>
              </w:rPr>
              <w:t>Pension increases (CPI)</w:t>
            </w:r>
          </w:p>
        </w:tc>
        <w:tc>
          <w:tcPr>
            <w:tcW w:w="1560" w:type="dxa"/>
            <w:vAlign w:val="bottom"/>
          </w:tcPr>
          <w:p w14:paraId="4F0B7AC5" w14:textId="512FC9A8" w:rsidR="005D186E" w:rsidRPr="00C60F31" w:rsidRDefault="004369BD"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2.3</w:t>
            </w:r>
            <w:r w:rsidR="005D186E">
              <w:rPr>
                <w:rFonts w:ascii="Arial" w:hAnsi="Arial" w:cs="Arial"/>
                <w:bCs/>
                <w:color w:val="000000"/>
                <w:sz w:val="22"/>
                <w:szCs w:val="22"/>
              </w:rPr>
              <w:t>%</w:t>
            </w:r>
          </w:p>
        </w:tc>
        <w:tc>
          <w:tcPr>
            <w:tcW w:w="1701" w:type="dxa"/>
            <w:noWrap/>
            <w:vAlign w:val="bottom"/>
          </w:tcPr>
          <w:p w14:paraId="0671B681" w14:textId="31580FD8"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2.9%</w:t>
            </w:r>
          </w:p>
        </w:tc>
      </w:tr>
      <w:tr w:rsidR="005D186E" w:rsidRPr="0038508F" w14:paraId="30D204C9" w14:textId="77777777" w:rsidTr="00875078">
        <w:trPr>
          <w:trHeight w:val="147"/>
        </w:trPr>
        <w:tc>
          <w:tcPr>
            <w:tcW w:w="3572" w:type="dxa"/>
            <w:noWrap/>
            <w:vAlign w:val="bottom"/>
          </w:tcPr>
          <w:p w14:paraId="699CE5E7" w14:textId="77777777" w:rsidR="005D186E" w:rsidRPr="00506164" w:rsidRDefault="005D186E" w:rsidP="00875078">
            <w:pPr>
              <w:rPr>
                <w:rFonts w:ascii="Arial" w:hAnsi="Arial" w:cs="Arial"/>
                <w:color w:val="000000"/>
                <w:sz w:val="22"/>
                <w:szCs w:val="22"/>
              </w:rPr>
            </w:pPr>
            <w:r>
              <w:rPr>
                <w:rFonts w:ascii="Arial" w:hAnsi="Arial" w:cs="Arial"/>
                <w:color w:val="000000"/>
                <w:sz w:val="22"/>
                <w:szCs w:val="22"/>
              </w:rPr>
              <w:t>Salary increases</w:t>
            </w:r>
          </w:p>
        </w:tc>
        <w:tc>
          <w:tcPr>
            <w:tcW w:w="1560" w:type="dxa"/>
            <w:vAlign w:val="bottom"/>
          </w:tcPr>
          <w:p w14:paraId="432CC1B5" w14:textId="7A71F212" w:rsidR="005D186E" w:rsidRPr="00C60F31" w:rsidRDefault="005D186E"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3.</w:t>
            </w:r>
            <w:r w:rsidR="001F50F2">
              <w:rPr>
                <w:rFonts w:ascii="Arial" w:hAnsi="Arial" w:cs="Arial"/>
                <w:bCs/>
                <w:color w:val="000000"/>
                <w:sz w:val="22"/>
                <w:szCs w:val="22"/>
              </w:rPr>
              <w:t>0</w:t>
            </w:r>
            <w:r>
              <w:rPr>
                <w:rFonts w:ascii="Arial" w:hAnsi="Arial" w:cs="Arial"/>
                <w:bCs/>
                <w:color w:val="000000"/>
                <w:sz w:val="22"/>
                <w:szCs w:val="22"/>
              </w:rPr>
              <w:t>%</w:t>
            </w:r>
          </w:p>
        </w:tc>
        <w:tc>
          <w:tcPr>
            <w:tcW w:w="1701" w:type="dxa"/>
            <w:noWrap/>
            <w:vAlign w:val="bottom"/>
          </w:tcPr>
          <w:p w14:paraId="27102116" w14:textId="5CC7B2C3"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3.9%</w:t>
            </w:r>
          </w:p>
        </w:tc>
      </w:tr>
    </w:tbl>
    <w:p w14:paraId="01DA0BB1" w14:textId="77777777" w:rsidR="007823F9" w:rsidRDefault="007823F9" w:rsidP="00412999">
      <w:pPr>
        <w:autoSpaceDE w:val="0"/>
        <w:autoSpaceDN w:val="0"/>
        <w:ind w:left="284"/>
        <w:jc w:val="both"/>
        <w:rPr>
          <w:rFonts w:ascii="Arial" w:hAnsi="Arial" w:cs="Arial"/>
          <w:b/>
          <w:bCs/>
          <w:sz w:val="22"/>
          <w:szCs w:val="22"/>
        </w:rPr>
      </w:pPr>
    </w:p>
    <w:p w14:paraId="30FC55C3" w14:textId="77777777" w:rsidR="00C51E0D" w:rsidRDefault="00C51E0D" w:rsidP="007823F9">
      <w:pPr>
        <w:ind w:left="284"/>
        <w:jc w:val="both"/>
        <w:rPr>
          <w:rFonts w:ascii="Arial" w:hAnsi="Arial" w:cs="Arial"/>
          <w:b/>
          <w:sz w:val="22"/>
          <w:szCs w:val="22"/>
        </w:rPr>
      </w:pPr>
    </w:p>
    <w:p w14:paraId="59120979" w14:textId="0A6A744D" w:rsidR="007823F9" w:rsidRPr="00AA12C3" w:rsidRDefault="007823F9" w:rsidP="007823F9">
      <w:pPr>
        <w:ind w:left="284"/>
        <w:jc w:val="both"/>
        <w:rPr>
          <w:rFonts w:ascii="Arial" w:hAnsi="Arial" w:cs="Arial"/>
          <w:b/>
          <w:sz w:val="22"/>
          <w:szCs w:val="22"/>
        </w:rPr>
      </w:pPr>
      <w:r w:rsidRPr="00AA12C3">
        <w:rPr>
          <w:rFonts w:ascii="Arial" w:hAnsi="Arial" w:cs="Arial"/>
          <w:b/>
          <w:sz w:val="22"/>
          <w:szCs w:val="22"/>
        </w:rPr>
        <w:t>Funding level and position</w:t>
      </w:r>
    </w:p>
    <w:p w14:paraId="24025015" w14:textId="77777777" w:rsidR="007823F9" w:rsidRPr="00AA12C3" w:rsidRDefault="007823F9" w:rsidP="007823F9">
      <w:pPr>
        <w:ind w:left="284"/>
        <w:jc w:val="both"/>
        <w:rPr>
          <w:rFonts w:ascii="Arial" w:hAnsi="Arial" w:cs="Arial"/>
          <w:b/>
          <w:sz w:val="22"/>
          <w:szCs w:val="22"/>
        </w:rPr>
      </w:pPr>
    </w:p>
    <w:p w14:paraId="07C70967" w14:textId="77777777" w:rsidR="007823F9" w:rsidRPr="00AA12C3" w:rsidRDefault="007823F9" w:rsidP="007823F9">
      <w:pPr>
        <w:ind w:left="284"/>
        <w:jc w:val="both"/>
        <w:rPr>
          <w:rFonts w:ascii="Arial" w:hAnsi="Arial" w:cs="Arial"/>
          <w:sz w:val="22"/>
          <w:szCs w:val="22"/>
        </w:rPr>
      </w:pPr>
      <w:r w:rsidRPr="00AA12C3">
        <w:rPr>
          <w:rFonts w:ascii="Arial" w:hAnsi="Arial" w:cs="Arial"/>
          <w:sz w:val="22"/>
          <w:szCs w:val="22"/>
        </w:rPr>
        <w:t xml:space="preserve">The table below shows the detailed funding level for the 2022 valuation: </w:t>
      </w:r>
    </w:p>
    <w:p w14:paraId="79C06ABD" w14:textId="77777777" w:rsidR="007823F9" w:rsidRPr="007942E3" w:rsidRDefault="007823F9" w:rsidP="007823F9">
      <w:pPr>
        <w:ind w:left="284"/>
        <w:jc w:val="both"/>
        <w:rPr>
          <w:rFonts w:ascii="Arial" w:hAnsi="Arial" w:cs="Arial"/>
          <w:sz w:val="22"/>
          <w:szCs w:val="22"/>
          <w:highlight w:val="yellow"/>
        </w:rPr>
      </w:pPr>
    </w:p>
    <w:tbl>
      <w:tblPr>
        <w:tblW w:w="8646" w:type="dxa"/>
        <w:tblInd w:w="426" w:type="dxa"/>
        <w:tblLook w:val="00A0" w:firstRow="1" w:lastRow="0" w:firstColumn="1" w:lastColumn="0" w:noHBand="0" w:noVBand="0"/>
      </w:tblPr>
      <w:tblGrid>
        <w:gridCol w:w="6378"/>
        <w:gridCol w:w="1134"/>
        <w:gridCol w:w="1134"/>
      </w:tblGrid>
      <w:tr w:rsidR="007823F9" w:rsidRPr="00462A81" w14:paraId="632D12C7" w14:textId="77777777" w:rsidTr="00875078">
        <w:trPr>
          <w:trHeight w:val="279"/>
        </w:trPr>
        <w:tc>
          <w:tcPr>
            <w:tcW w:w="6378" w:type="dxa"/>
          </w:tcPr>
          <w:p w14:paraId="65CBC8F2" w14:textId="77777777" w:rsidR="007823F9" w:rsidRPr="00462A81" w:rsidRDefault="007823F9" w:rsidP="00875078">
            <w:pPr>
              <w:jc w:val="both"/>
              <w:rPr>
                <w:rFonts w:ascii="Arial" w:hAnsi="Arial" w:cs="Arial"/>
                <w:b/>
                <w:sz w:val="22"/>
                <w:szCs w:val="22"/>
              </w:rPr>
            </w:pPr>
            <w:r w:rsidRPr="00462A81">
              <w:rPr>
                <w:rFonts w:ascii="Arial" w:hAnsi="Arial" w:cs="Arial"/>
                <w:b/>
                <w:sz w:val="22"/>
                <w:szCs w:val="22"/>
              </w:rPr>
              <w:t>Employer contribution rates</w:t>
            </w:r>
          </w:p>
        </w:tc>
        <w:tc>
          <w:tcPr>
            <w:tcW w:w="2268" w:type="dxa"/>
            <w:gridSpan w:val="2"/>
          </w:tcPr>
          <w:p w14:paraId="55E8E885" w14:textId="77777777" w:rsidR="007823F9" w:rsidRPr="00DF166D" w:rsidRDefault="007823F9" w:rsidP="00875078">
            <w:pPr>
              <w:jc w:val="center"/>
              <w:rPr>
                <w:rFonts w:ascii="Arial" w:hAnsi="Arial" w:cs="Arial"/>
                <w:b/>
                <w:bCs/>
                <w:sz w:val="22"/>
                <w:szCs w:val="22"/>
              </w:rPr>
            </w:pPr>
            <w:r w:rsidRPr="00DF166D">
              <w:rPr>
                <w:rFonts w:ascii="Arial" w:hAnsi="Arial" w:cs="Arial"/>
                <w:b/>
                <w:bCs/>
                <w:sz w:val="22"/>
                <w:szCs w:val="22"/>
              </w:rPr>
              <w:t xml:space="preserve">As </w:t>
            </w:r>
            <w:proofErr w:type="gramStart"/>
            <w:r w:rsidRPr="00DF166D">
              <w:rPr>
                <w:rFonts w:ascii="Arial" w:hAnsi="Arial" w:cs="Arial"/>
                <w:b/>
                <w:bCs/>
                <w:sz w:val="22"/>
                <w:szCs w:val="22"/>
              </w:rPr>
              <w:t>at</w:t>
            </w:r>
            <w:proofErr w:type="gramEnd"/>
            <w:r w:rsidRPr="00DF166D">
              <w:rPr>
                <w:rFonts w:ascii="Arial" w:hAnsi="Arial" w:cs="Arial"/>
                <w:b/>
                <w:bCs/>
                <w:sz w:val="22"/>
                <w:szCs w:val="22"/>
              </w:rPr>
              <w:t xml:space="preserve"> 31 March</w:t>
            </w:r>
          </w:p>
        </w:tc>
      </w:tr>
      <w:tr w:rsidR="007823F9" w:rsidRPr="00462A81" w14:paraId="7A9C0944" w14:textId="77777777" w:rsidTr="00875078">
        <w:trPr>
          <w:trHeight w:val="279"/>
        </w:trPr>
        <w:tc>
          <w:tcPr>
            <w:tcW w:w="6378" w:type="dxa"/>
          </w:tcPr>
          <w:p w14:paraId="53363BAD" w14:textId="77777777" w:rsidR="007823F9" w:rsidRPr="00462A81" w:rsidRDefault="007823F9" w:rsidP="00875078">
            <w:pPr>
              <w:rPr>
                <w:rFonts w:ascii="Arial" w:hAnsi="Arial" w:cs="Arial"/>
                <w:sz w:val="22"/>
                <w:szCs w:val="22"/>
              </w:rPr>
            </w:pPr>
          </w:p>
        </w:tc>
        <w:tc>
          <w:tcPr>
            <w:tcW w:w="1134" w:type="dxa"/>
          </w:tcPr>
          <w:p w14:paraId="629C3E74" w14:textId="77777777" w:rsidR="007823F9" w:rsidRPr="004A3AC2" w:rsidRDefault="007823F9" w:rsidP="00875078">
            <w:pPr>
              <w:jc w:val="center"/>
              <w:rPr>
                <w:rFonts w:ascii="Arial" w:hAnsi="Arial" w:cs="Arial"/>
                <w:b/>
                <w:bCs/>
                <w:sz w:val="22"/>
                <w:szCs w:val="22"/>
              </w:rPr>
            </w:pPr>
            <w:r w:rsidRPr="004A3AC2">
              <w:rPr>
                <w:rFonts w:ascii="Arial" w:hAnsi="Arial" w:cs="Arial"/>
                <w:b/>
                <w:bCs/>
                <w:sz w:val="22"/>
                <w:szCs w:val="22"/>
              </w:rPr>
              <w:t>2019</w:t>
            </w:r>
          </w:p>
        </w:tc>
        <w:tc>
          <w:tcPr>
            <w:tcW w:w="1134" w:type="dxa"/>
          </w:tcPr>
          <w:p w14:paraId="1F14C37B" w14:textId="77777777" w:rsidR="007823F9" w:rsidRPr="00DF166D" w:rsidRDefault="007823F9" w:rsidP="00875078">
            <w:pPr>
              <w:jc w:val="center"/>
              <w:rPr>
                <w:rFonts w:ascii="Arial" w:hAnsi="Arial" w:cs="Arial"/>
                <w:b/>
                <w:bCs/>
                <w:sz w:val="22"/>
                <w:szCs w:val="22"/>
              </w:rPr>
            </w:pPr>
            <w:r w:rsidRPr="00DF166D">
              <w:rPr>
                <w:rFonts w:ascii="Arial" w:hAnsi="Arial" w:cs="Arial"/>
                <w:b/>
                <w:bCs/>
                <w:sz w:val="22"/>
                <w:szCs w:val="22"/>
              </w:rPr>
              <w:t>2022</w:t>
            </w:r>
          </w:p>
        </w:tc>
      </w:tr>
      <w:tr w:rsidR="007823F9" w:rsidRPr="00462A81" w14:paraId="0BE58266" w14:textId="77777777" w:rsidTr="00875078">
        <w:trPr>
          <w:trHeight w:val="279"/>
        </w:trPr>
        <w:tc>
          <w:tcPr>
            <w:tcW w:w="6378" w:type="dxa"/>
          </w:tcPr>
          <w:p w14:paraId="4F1C6FC3" w14:textId="77777777" w:rsidR="007823F9" w:rsidRPr="00462A81" w:rsidRDefault="007823F9" w:rsidP="00875078">
            <w:pPr>
              <w:jc w:val="both"/>
              <w:rPr>
                <w:rFonts w:ascii="Arial" w:hAnsi="Arial" w:cs="Arial"/>
                <w:sz w:val="22"/>
                <w:szCs w:val="22"/>
              </w:rPr>
            </w:pPr>
            <w:r w:rsidRPr="00462A81">
              <w:rPr>
                <w:rFonts w:ascii="Arial" w:hAnsi="Arial" w:cs="Arial"/>
                <w:sz w:val="22"/>
                <w:szCs w:val="22"/>
              </w:rPr>
              <w:t>Primary Rate (net Employer Future Service Cost)</w:t>
            </w:r>
          </w:p>
        </w:tc>
        <w:tc>
          <w:tcPr>
            <w:tcW w:w="1134" w:type="dxa"/>
          </w:tcPr>
          <w:p w14:paraId="10F861A3"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19.8%</w:t>
            </w:r>
          </w:p>
        </w:tc>
        <w:tc>
          <w:tcPr>
            <w:tcW w:w="1134" w:type="dxa"/>
          </w:tcPr>
          <w:p w14:paraId="23C65CDE"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21.2%</w:t>
            </w:r>
          </w:p>
        </w:tc>
      </w:tr>
      <w:tr w:rsidR="007823F9" w:rsidRPr="00462A81" w14:paraId="2BBAADC5" w14:textId="77777777" w:rsidTr="00875078">
        <w:trPr>
          <w:trHeight w:val="263"/>
        </w:trPr>
        <w:tc>
          <w:tcPr>
            <w:tcW w:w="6378" w:type="dxa"/>
            <w:shd w:val="clear" w:color="auto" w:fill="auto"/>
          </w:tcPr>
          <w:p w14:paraId="7EC83D0C" w14:textId="347D5B87" w:rsidR="007823F9" w:rsidRPr="007E6943" w:rsidRDefault="007823F9" w:rsidP="00875078">
            <w:pPr>
              <w:jc w:val="both"/>
              <w:rPr>
                <w:rFonts w:ascii="Arial" w:hAnsi="Arial" w:cs="Arial"/>
                <w:sz w:val="22"/>
                <w:szCs w:val="22"/>
              </w:rPr>
            </w:pPr>
            <w:r w:rsidRPr="007E6943">
              <w:rPr>
                <w:rFonts w:ascii="Arial" w:hAnsi="Arial" w:cs="Arial"/>
                <w:sz w:val="22"/>
                <w:szCs w:val="22"/>
              </w:rPr>
              <w:t>Secondary Rate (Past Service Adjustment – 14</w:t>
            </w:r>
            <w:r w:rsidR="0084363E">
              <w:rPr>
                <w:rFonts w:ascii="Arial" w:hAnsi="Arial" w:cs="Arial"/>
                <w:sz w:val="22"/>
                <w:szCs w:val="22"/>
              </w:rPr>
              <w:t xml:space="preserve"> </w:t>
            </w:r>
            <w:proofErr w:type="gramStart"/>
            <w:r w:rsidRPr="007E6943">
              <w:rPr>
                <w:rFonts w:ascii="Arial" w:hAnsi="Arial" w:cs="Arial"/>
                <w:sz w:val="22"/>
                <w:szCs w:val="22"/>
              </w:rPr>
              <w:t>year</w:t>
            </w:r>
            <w:proofErr w:type="gramEnd"/>
            <w:r w:rsidRPr="007E6943">
              <w:rPr>
                <w:rFonts w:ascii="Arial" w:hAnsi="Arial" w:cs="Arial"/>
                <w:sz w:val="22"/>
                <w:szCs w:val="22"/>
              </w:rPr>
              <w:t xml:space="preserve"> spread)</w:t>
            </w:r>
          </w:p>
        </w:tc>
        <w:tc>
          <w:tcPr>
            <w:tcW w:w="1134" w:type="dxa"/>
            <w:tcBorders>
              <w:bottom w:val="single" w:sz="4" w:space="0" w:color="auto"/>
            </w:tcBorders>
          </w:tcPr>
          <w:p w14:paraId="62DAE5D3"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3.0%</w:t>
            </w:r>
          </w:p>
        </w:tc>
        <w:tc>
          <w:tcPr>
            <w:tcW w:w="1134" w:type="dxa"/>
            <w:tcBorders>
              <w:bottom w:val="single" w:sz="4" w:space="0" w:color="auto"/>
            </w:tcBorders>
          </w:tcPr>
          <w:p w14:paraId="02AFC239"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0.8%</w:t>
            </w:r>
          </w:p>
        </w:tc>
      </w:tr>
      <w:tr w:rsidR="007823F9" w:rsidRPr="00462A81" w14:paraId="1E5BA237" w14:textId="77777777" w:rsidTr="00875078">
        <w:trPr>
          <w:trHeight w:val="279"/>
        </w:trPr>
        <w:tc>
          <w:tcPr>
            <w:tcW w:w="6378" w:type="dxa"/>
          </w:tcPr>
          <w:p w14:paraId="33A926BA" w14:textId="77777777" w:rsidR="007823F9" w:rsidRPr="00462A81" w:rsidRDefault="007823F9" w:rsidP="00875078">
            <w:pPr>
              <w:jc w:val="both"/>
              <w:rPr>
                <w:rFonts w:ascii="Arial" w:hAnsi="Arial" w:cs="Arial"/>
                <w:b/>
                <w:sz w:val="22"/>
                <w:szCs w:val="22"/>
              </w:rPr>
            </w:pPr>
            <w:r w:rsidRPr="00462A81">
              <w:rPr>
                <w:rFonts w:ascii="Arial" w:hAnsi="Arial" w:cs="Arial"/>
                <w:b/>
                <w:sz w:val="22"/>
                <w:szCs w:val="22"/>
              </w:rPr>
              <w:t>Total Contribution Rate</w:t>
            </w:r>
          </w:p>
        </w:tc>
        <w:tc>
          <w:tcPr>
            <w:tcW w:w="1134" w:type="dxa"/>
            <w:tcBorders>
              <w:top w:val="single" w:sz="4" w:space="0" w:color="auto"/>
            </w:tcBorders>
          </w:tcPr>
          <w:p w14:paraId="7B3F74F9"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22.8%</w:t>
            </w:r>
          </w:p>
        </w:tc>
        <w:tc>
          <w:tcPr>
            <w:tcW w:w="1134" w:type="dxa"/>
            <w:tcBorders>
              <w:top w:val="single" w:sz="4" w:space="0" w:color="auto"/>
            </w:tcBorders>
          </w:tcPr>
          <w:p w14:paraId="4C7778A1"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22%</w:t>
            </w:r>
          </w:p>
        </w:tc>
      </w:tr>
    </w:tbl>
    <w:p w14:paraId="3C6AD6C5" w14:textId="77777777" w:rsidR="007823F9" w:rsidRPr="007942E3" w:rsidRDefault="007823F9" w:rsidP="007823F9">
      <w:pPr>
        <w:ind w:left="284"/>
        <w:jc w:val="both"/>
        <w:rPr>
          <w:rFonts w:ascii="Arial" w:hAnsi="Arial" w:cs="Arial"/>
          <w:sz w:val="22"/>
          <w:szCs w:val="22"/>
          <w:highlight w:val="yellow"/>
        </w:rPr>
      </w:pPr>
    </w:p>
    <w:p w14:paraId="706B225C" w14:textId="688AED8E" w:rsidR="007823F9" w:rsidRPr="0002441A" w:rsidRDefault="0002441A" w:rsidP="00E35F69">
      <w:pPr>
        <w:ind w:left="284"/>
        <w:jc w:val="both"/>
        <w:rPr>
          <w:rFonts w:ascii="Arial" w:hAnsi="Arial" w:cs="Arial"/>
          <w:color w:val="000000"/>
          <w:sz w:val="22"/>
          <w:szCs w:val="22"/>
        </w:rPr>
      </w:pPr>
      <w:r w:rsidRPr="0002441A">
        <w:rPr>
          <w:rFonts w:ascii="Arial" w:hAnsi="Arial" w:cs="Arial"/>
          <w:color w:val="000000"/>
          <w:sz w:val="22"/>
          <w:szCs w:val="22"/>
        </w:rPr>
        <w:t xml:space="preserve">Full details of the </w:t>
      </w:r>
      <w:r w:rsidR="00E35F69">
        <w:rPr>
          <w:rFonts w:ascii="Arial" w:hAnsi="Arial" w:cs="Arial"/>
          <w:color w:val="000000"/>
          <w:sz w:val="22"/>
          <w:szCs w:val="22"/>
        </w:rPr>
        <w:t xml:space="preserve">individual </w:t>
      </w:r>
      <w:proofErr w:type="gramStart"/>
      <w:r w:rsidRPr="0002441A">
        <w:rPr>
          <w:rFonts w:ascii="Arial" w:hAnsi="Arial" w:cs="Arial"/>
          <w:color w:val="000000"/>
          <w:sz w:val="22"/>
          <w:szCs w:val="22"/>
        </w:rPr>
        <w:t>employers</w:t>
      </w:r>
      <w:proofErr w:type="gramEnd"/>
      <w:r w:rsidRPr="0002441A">
        <w:rPr>
          <w:rFonts w:ascii="Arial" w:hAnsi="Arial" w:cs="Arial"/>
          <w:color w:val="000000"/>
          <w:sz w:val="22"/>
          <w:szCs w:val="22"/>
        </w:rPr>
        <w:t xml:space="preserve"> contribution rates payable can be found in the</w:t>
      </w:r>
      <w:r w:rsidR="00E35F69">
        <w:rPr>
          <w:rFonts w:ascii="Arial" w:hAnsi="Arial" w:cs="Arial"/>
          <w:color w:val="000000"/>
          <w:sz w:val="22"/>
          <w:szCs w:val="22"/>
        </w:rPr>
        <w:t xml:space="preserve"> </w:t>
      </w:r>
      <w:r w:rsidR="00E35F69" w:rsidRPr="00E35F69">
        <w:rPr>
          <w:rFonts w:ascii="Arial" w:hAnsi="Arial" w:cs="Arial"/>
          <w:color w:val="000000"/>
          <w:sz w:val="22"/>
          <w:szCs w:val="22"/>
        </w:rPr>
        <w:t xml:space="preserve">Rates and Adjustment Certificate </w:t>
      </w:r>
      <w:r w:rsidR="00E35F69">
        <w:rPr>
          <w:rFonts w:ascii="Arial" w:hAnsi="Arial" w:cs="Arial"/>
          <w:color w:val="000000"/>
          <w:sz w:val="22"/>
          <w:szCs w:val="22"/>
        </w:rPr>
        <w:t xml:space="preserve">in the </w:t>
      </w:r>
      <w:r w:rsidRPr="0002441A">
        <w:rPr>
          <w:rFonts w:ascii="Arial" w:hAnsi="Arial" w:cs="Arial"/>
          <w:color w:val="000000"/>
          <w:sz w:val="22"/>
          <w:szCs w:val="22"/>
        </w:rPr>
        <w:t>20</w:t>
      </w:r>
      <w:r>
        <w:rPr>
          <w:rFonts w:ascii="Arial" w:hAnsi="Arial" w:cs="Arial"/>
          <w:color w:val="000000"/>
          <w:sz w:val="22"/>
          <w:szCs w:val="22"/>
        </w:rPr>
        <w:t>22</w:t>
      </w:r>
      <w:r w:rsidRPr="0002441A">
        <w:rPr>
          <w:rFonts w:ascii="Arial" w:hAnsi="Arial" w:cs="Arial"/>
          <w:color w:val="000000"/>
          <w:sz w:val="22"/>
          <w:szCs w:val="22"/>
        </w:rPr>
        <w:t xml:space="preserve"> actuarial valuation report</w:t>
      </w:r>
      <w:r w:rsidR="00E35F69">
        <w:rPr>
          <w:rFonts w:ascii="Arial" w:hAnsi="Arial" w:cs="Arial"/>
          <w:color w:val="000000"/>
          <w:sz w:val="22"/>
          <w:szCs w:val="22"/>
        </w:rPr>
        <w:t xml:space="preserve">. </w:t>
      </w:r>
    </w:p>
    <w:p w14:paraId="70036B6A" w14:textId="77777777" w:rsidR="0002441A" w:rsidRDefault="0002441A" w:rsidP="0002441A">
      <w:pPr>
        <w:autoSpaceDE w:val="0"/>
        <w:autoSpaceDN w:val="0"/>
        <w:ind w:left="284"/>
        <w:jc w:val="both"/>
        <w:rPr>
          <w:rFonts w:ascii="Arial" w:hAnsi="Arial" w:cs="Arial"/>
          <w:b/>
          <w:bCs/>
          <w:sz w:val="22"/>
          <w:szCs w:val="22"/>
        </w:rPr>
      </w:pPr>
    </w:p>
    <w:p w14:paraId="506054AC" w14:textId="34ECF371" w:rsidR="003C45DA" w:rsidRPr="00190398" w:rsidRDefault="00D20FCA" w:rsidP="00FC1536">
      <w:pPr>
        <w:pStyle w:val="ListParagraph"/>
        <w:numPr>
          <w:ilvl w:val="0"/>
          <w:numId w:val="24"/>
        </w:numPr>
        <w:autoSpaceDE w:val="0"/>
        <w:autoSpaceDN w:val="0"/>
        <w:jc w:val="both"/>
        <w:rPr>
          <w:rFonts w:ascii="Arial" w:hAnsi="Arial" w:cs="Arial"/>
          <w:b/>
          <w:bCs/>
        </w:rPr>
      </w:pPr>
      <w:r w:rsidRPr="00190398">
        <w:rPr>
          <w:rFonts w:ascii="Arial" w:hAnsi="Arial" w:cs="Arial"/>
          <w:b/>
          <w:bCs/>
        </w:rPr>
        <w:t xml:space="preserve">Actuarial </w:t>
      </w:r>
      <w:r w:rsidR="003C45DA" w:rsidRPr="00190398">
        <w:rPr>
          <w:rFonts w:ascii="Arial" w:hAnsi="Arial" w:cs="Arial"/>
          <w:b/>
          <w:bCs/>
        </w:rPr>
        <w:t xml:space="preserve">Present </w:t>
      </w:r>
      <w:r w:rsidR="00F6401A" w:rsidRPr="00190398">
        <w:rPr>
          <w:rFonts w:ascii="Arial" w:hAnsi="Arial" w:cs="Arial"/>
          <w:b/>
          <w:bCs/>
        </w:rPr>
        <w:t>V</w:t>
      </w:r>
      <w:r w:rsidR="003C45DA" w:rsidRPr="00190398">
        <w:rPr>
          <w:rFonts w:ascii="Arial" w:hAnsi="Arial" w:cs="Arial"/>
          <w:b/>
          <w:bCs/>
        </w:rPr>
        <w:t xml:space="preserve">alue of </w:t>
      </w:r>
      <w:r w:rsidR="00F6401A" w:rsidRPr="00190398">
        <w:rPr>
          <w:rFonts w:ascii="Arial" w:hAnsi="Arial" w:cs="Arial"/>
          <w:b/>
          <w:bCs/>
        </w:rPr>
        <w:t xml:space="preserve">Promised Retirement Benefits </w:t>
      </w:r>
    </w:p>
    <w:p w14:paraId="4C02BE54" w14:textId="1CF9A102" w:rsidR="00EA5181" w:rsidRDefault="009C727C" w:rsidP="00EA5181">
      <w:pPr>
        <w:ind w:left="284"/>
        <w:jc w:val="both"/>
        <w:rPr>
          <w:rFonts w:ascii="Arial" w:hAnsi="Arial" w:cs="Arial"/>
          <w:color w:val="000000"/>
          <w:sz w:val="22"/>
          <w:szCs w:val="22"/>
        </w:rPr>
      </w:pPr>
      <w:r>
        <w:rPr>
          <w:rFonts w:ascii="Arial" w:hAnsi="Arial" w:cs="Arial"/>
          <w:color w:val="000000"/>
          <w:sz w:val="22"/>
          <w:szCs w:val="22"/>
        </w:rPr>
        <w:t>T</w:t>
      </w:r>
      <w:r w:rsidRPr="009C727C">
        <w:rPr>
          <w:rFonts w:ascii="Arial" w:hAnsi="Arial" w:cs="Arial"/>
          <w:color w:val="000000"/>
          <w:sz w:val="22"/>
          <w:szCs w:val="22"/>
        </w:rPr>
        <w:t>he fund’s actuary</w:t>
      </w:r>
      <w:r>
        <w:rPr>
          <w:rFonts w:ascii="Arial" w:hAnsi="Arial" w:cs="Arial"/>
          <w:color w:val="000000"/>
          <w:sz w:val="22"/>
          <w:szCs w:val="22"/>
        </w:rPr>
        <w:t xml:space="preserve"> Barnet</w:t>
      </w:r>
      <w:r w:rsidR="00EA5181">
        <w:rPr>
          <w:rFonts w:ascii="Arial" w:hAnsi="Arial" w:cs="Arial"/>
          <w:color w:val="000000"/>
          <w:sz w:val="22"/>
          <w:szCs w:val="22"/>
        </w:rPr>
        <w:t>t Waddingham</w:t>
      </w:r>
      <w:r w:rsidRPr="009C727C">
        <w:rPr>
          <w:rFonts w:ascii="Arial" w:hAnsi="Arial" w:cs="Arial"/>
          <w:color w:val="000000"/>
          <w:sz w:val="22"/>
          <w:szCs w:val="22"/>
        </w:rPr>
        <w:t xml:space="preserve"> also undertakes a valuation of the pension fund liabilities on an IAS 19 basis every year using the same base data as the funding valuation rolled forward to the current financial </w:t>
      </w:r>
      <w:r w:rsidR="00190398" w:rsidRPr="009C727C">
        <w:rPr>
          <w:rFonts w:ascii="Arial" w:hAnsi="Arial" w:cs="Arial"/>
          <w:color w:val="000000"/>
          <w:sz w:val="22"/>
          <w:szCs w:val="22"/>
        </w:rPr>
        <w:t>year but</w:t>
      </w:r>
      <w:r w:rsidRPr="009C727C">
        <w:rPr>
          <w:rFonts w:ascii="Arial" w:hAnsi="Arial" w:cs="Arial"/>
          <w:color w:val="000000"/>
          <w:sz w:val="22"/>
          <w:szCs w:val="22"/>
        </w:rPr>
        <w:t xml:space="preserve"> taking account of changes in membership numbers and updating assumptions to the current year.</w:t>
      </w:r>
      <w:r w:rsidR="00EA5181">
        <w:rPr>
          <w:rFonts w:ascii="Arial" w:hAnsi="Arial" w:cs="Arial"/>
          <w:color w:val="000000"/>
          <w:sz w:val="22"/>
          <w:szCs w:val="22"/>
        </w:rPr>
        <w:t xml:space="preserve"> </w:t>
      </w:r>
    </w:p>
    <w:p w14:paraId="30A76FC2" w14:textId="77777777" w:rsidR="00EA5181" w:rsidRDefault="00EA5181" w:rsidP="00EA5181">
      <w:pPr>
        <w:ind w:left="284"/>
        <w:jc w:val="both"/>
        <w:rPr>
          <w:rFonts w:ascii="Arial" w:hAnsi="Arial" w:cs="Arial"/>
          <w:color w:val="000000"/>
          <w:sz w:val="22"/>
          <w:szCs w:val="22"/>
        </w:rPr>
      </w:pPr>
    </w:p>
    <w:p w14:paraId="1A9D1C4F" w14:textId="0EA1F1BE" w:rsidR="003C45DA" w:rsidRDefault="003C45DA" w:rsidP="00EA5181">
      <w:pPr>
        <w:ind w:left="284"/>
        <w:jc w:val="both"/>
        <w:rPr>
          <w:rFonts w:ascii="Arial" w:hAnsi="Arial" w:cs="Arial"/>
          <w:color w:val="000000"/>
          <w:sz w:val="22"/>
          <w:szCs w:val="22"/>
        </w:rPr>
      </w:pPr>
      <w:r w:rsidRPr="00F12232">
        <w:rPr>
          <w:rFonts w:ascii="Arial" w:hAnsi="Arial" w:cs="Arial"/>
          <w:color w:val="000000"/>
          <w:sz w:val="22"/>
          <w:szCs w:val="22"/>
        </w:rPr>
        <w:t>This</w:t>
      </w:r>
      <w:r w:rsidRPr="008A0A4E">
        <w:rPr>
          <w:rFonts w:ascii="Arial" w:hAnsi="Arial" w:cs="Arial"/>
          <w:color w:val="000000"/>
          <w:sz w:val="22"/>
          <w:szCs w:val="22"/>
        </w:rPr>
        <w:t xml:space="preserve"> figure is used for statutory accounting purposes by the Pension Fund and complies with the requirements of IAS 26 Accounting and Reporting by Retirement Benefit Plans. </w:t>
      </w:r>
    </w:p>
    <w:p w14:paraId="346700B1" w14:textId="77777777" w:rsidR="00AA7DFF" w:rsidRDefault="00AA7DFF" w:rsidP="00EA5181">
      <w:pPr>
        <w:ind w:left="284"/>
        <w:jc w:val="both"/>
        <w:rPr>
          <w:rFonts w:ascii="Arial" w:hAnsi="Arial" w:cs="Arial"/>
          <w:color w:val="000000"/>
          <w:sz w:val="22"/>
          <w:szCs w:val="22"/>
        </w:rPr>
      </w:pPr>
    </w:p>
    <w:p w14:paraId="7D09BE94" w14:textId="77777777" w:rsidR="00AA7DFF" w:rsidRDefault="00AA7DFF" w:rsidP="00EA5181">
      <w:pPr>
        <w:ind w:left="284"/>
        <w:jc w:val="both"/>
        <w:rPr>
          <w:rFonts w:ascii="Arial" w:hAnsi="Arial" w:cs="Arial"/>
          <w:color w:val="000000"/>
          <w:sz w:val="22"/>
          <w:szCs w:val="22"/>
        </w:rPr>
      </w:pPr>
    </w:p>
    <w:p w14:paraId="397A6D4B" w14:textId="77777777" w:rsidR="007A3727" w:rsidRDefault="007A3727" w:rsidP="00EA5181">
      <w:pPr>
        <w:ind w:left="284"/>
        <w:jc w:val="both"/>
        <w:rPr>
          <w:rFonts w:ascii="Arial" w:hAnsi="Arial" w:cs="Arial"/>
          <w:color w:val="000000"/>
          <w:sz w:val="22"/>
          <w:szCs w:val="22"/>
        </w:rPr>
      </w:pPr>
    </w:p>
    <w:p w14:paraId="07536D29" w14:textId="77777777" w:rsidR="00EC14FB" w:rsidRDefault="00EC14FB" w:rsidP="00EA5181">
      <w:pPr>
        <w:ind w:left="284"/>
        <w:jc w:val="both"/>
        <w:rPr>
          <w:rFonts w:ascii="Arial" w:hAnsi="Arial" w:cs="Arial"/>
          <w:color w:val="000000"/>
          <w:sz w:val="22"/>
          <w:szCs w:val="22"/>
        </w:rPr>
      </w:pPr>
    </w:p>
    <w:p w14:paraId="0DA40F79" w14:textId="77777777" w:rsidR="00993FEB" w:rsidRDefault="00993FEB" w:rsidP="00EA5181">
      <w:pPr>
        <w:ind w:left="284"/>
        <w:jc w:val="both"/>
        <w:rPr>
          <w:rFonts w:ascii="Arial" w:hAnsi="Arial" w:cs="Arial"/>
          <w:color w:val="000000"/>
          <w:sz w:val="22"/>
          <w:szCs w:val="22"/>
        </w:rPr>
      </w:pPr>
    </w:p>
    <w:tbl>
      <w:tblPr>
        <w:tblW w:w="8680" w:type="dxa"/>
        <w:tblInd w:w="392" w:type="dxa"/>
        <w:tblLook w:val="00A0" w:firstRow="1" w:lastRow="0" w:firstColumn="1" w:lastColumn="0" w:noHBand="0" w:noVBand="0"/>
      </w:tblPr>
      <w:tblGrid>
        <w:gridCol w:w="5704"/>
        <w:gridCol w:w="1501"/>
        <w:gridCol w:w="1475"/>
      </w:tblGrid>
      <w:tr w:rsidR="00993FEB" w:rsidRPr="004615FF" w14:paraId="13456646" w14:textId="77777777" w:rsidTr="00875078">
        <w:trPr>
          <w:trHeight w:val="154"/>
        </w:trPr>
        <w:tc>
          <w:tcPr>
            <w:tcW w:w="5704" w:type="dxa"/>
            <w:tcBorders>
              <w:top w:val="nil"/>
              <w:left w:val="nil"/>
              <w:bottom w:val="nil"/>
              <w:right w:val="nil"/>
            </w:tcBorders>
            <w:noWrap/>
            <w:vAlign w:val="bottom"/>
          </w:tcPr>
          <w:p w14:paraId="5C738174" w14:textId="17A83262" w:rsidR="00993FEB" w:rsidRPr="004615FF" w:rsidRDefault="00993FEB" w:rsidP="00875078">
            <w:pPr>
              <w:rPr>
                <w:rFonts w:ascii="Arial" w:hAnsi="Arial" w:cs="Arial"/>
                <w:color w:val="000000"/>
                <w:sz w:val="22"/>
                <w:szCs w:val="22"/>
              </w:rPr>
            </w:pPr>
          </w:p>
        </w:tc>
        <w:tc>
          <w:tcPr>
            <w:tcW w:w="1501" w:type="dxa"/>
            <w:tcBorders>
              <w:top w:val="nil"/>
              <w:left w:val="nil"/>
              <w:bottom w:val="nil"/>
              <w:right w:val="nil"/>
            </w:tcBorders>
            <w:vAlign w:val="bottom"/>
          </w:tcPr>
          <w:p w14:paraId="563A2B43" w14:textId="73E344A8" w:rsidR="00993FEB" w:rsidRPr="004A3AC2" w:rsidRDefault="00993FEB" w:rsidP="00875078">
            <w:pPr>
              <w:jc w:val="center"/>
              <w:rPr>
                <w:rFonts w:ascii="Arial" w:hAnsi="Arial" w:cs="Arial"/>
                <w:b/>
                <w:color w:val="000000"/>
                <w:sz w:val="22"/>
                <w:szCs w:val="22"/>
              </w:rPr>
            </w:pPr>
            <w:r w:rsidRPr="004A3AC2">
              <w:rPr>
                <w:rFonts w:ascii="Arial" w:hAnsi="Arial" w:cs="Arial"/>
                <w:b/>
                <w:color w:val="000000"/>
                <w:sz w:val="22"/>
                <w:szCs w:val="22"/>
              </w:rPr>
              <w:t xml:space="preserve">As </w:t>
            </w:r>
            <w:proofErr w:type="gramStart"/>
            <w:r w:rsidRPr="004A3AC2">
              <w:rPr>
                <w:rFonts w:ascii="Arial" w:hAnsi="Arial" w:cs="Arial"/>
                <w:b/>
                <w:color w:val="000000"/>
                <w:sz w:val="22"/>
                <w:szCs w:val="22"/>
              </w:rPr>
              <w:t>at</w:t>
            </w:r>
            <w:proofErr w:type="gramEnd"/>
            <w:r w:rsidRPr="004A3AC2">
              <w:rPr>
                <w:rFonts w:ascii="Arial" w:hAnsi="Arial" w:cs="Arial"/>
                <w:b/>
                <w:color w:val="000000"/>
                <w:sz w:val="22"/>
                <w:szCs w:val="22"/>
              </w:rPr>
              <w:t xml:space="preserve"> 31 March 202</w:t>
            </w:r>
            <w:r w:rsidR="00902969" w:rsidRPr="004A3AC2">
              <w:rPr>
                <w:rFonts w:ascii="Arial" w:hAnsi="Arial" w:cs="Arial"/>
                <w:b/>
                <w:color w:val="000000"/>
                <w:sz w:val="22"/>
                <w:szCs w:val="22"/>
              </w:rPr>
              <w:t>4</w:t>
            </w:r>
          </w:p>
        </w:tc>
        <w:tc>
          <w:tcPr>
            <w:tcW w:w="1475" w:type="dxa"/>
            <w:tcBorders>
              <w:top w:val="nil"/>
              <w:left w:val="nil"/>
              <w:bottom w:val="nil"/>
              <w:right w:val="nil"/>
            </w:tcBorders>
            <w:noWrap/>
            <w:vAlign w:val="bottom"/>
          </w:tcPr>
          <w:p w14:paraId="109A874E" w14:textId="21E2739A" w:rsidR="00993FEB" w:rsidRPr="004615FF" w:rsidRDefault="00993FEB" w:rsidP="00875078">
            <w:pPr>
              <w:jc w:val="center"/>
              <w:rPr>
                <w:rFonts w:ascii="Arial" w:hAnsi="Arial" w:cs="Arial"/>
                <w:b/>
                <w:bCs/>
                <w:color w:val="000000"/>
                <w:sz w:val="22"/>
                <w:szCs w:val="22"/>
              </w:rPr>
            </w:pPr>
            <w:r w:rsidRPr="004615FF">
              <w:rPr>
                <w:rFonts w:ascii="Arial" w:hAnsi="Arial" w:cs="Arial"/>
                <w:b/>
                <w:bCs/>
                <w:color w:val="000000"/>
                <w:sz w:val="22"/>
                <w:szCs w:val="22"/>
              </w:rPr>
              <w:t xml:space="preserve">As </w:t>
            </w:r>
            <w:proofErr w:type="gramStart"/>
            <w:r w:rsidRPr="004615FF">
              <w:rPr>
                <w:rFonts w:ascii="Arial" w:hAnsi="Arial" w:cs="Arial"/>
                <w:b/>
                <w:bCs/>
                <w:color w:val="000000"/>
                <w:sz w:val="22"/>
                <w:szCs w:val="22"/>
              </w:rPr>
              <w:t>at</w:t>
            </w:r>
            <w:proofErr w:type="gramEnd"/>
            <w:r w:rsidRPr="004615FF">
              <w:rPr>
                <w:rFonts w:ascii="Arial" w:hAnsi="Arial" w:cs="Arial"/>
                <w:b/>
                <w:bCs/>
                <w:color w:val="000000"/>
                <w:sz w:val="22"/>
                <w:szCs w:val="22"/>
              </w:rPr>
              <w:t xml:space="preserve"> 31 March 202</w:t>
            </w:r>
            <w:r w:rsidR="00902969">
              <w:rPr>
                <w:rFonts w:ascii="Arial" w:hAnsi="Arial" w:cs="Arial"/>
                <w:b/>
                <w:bCs/>
                <w:color w:val="000000"/>
                <w:sz w:val="22"/>
                <w:szCs w:val="22"/>
              </w:rPr>
              <w:t>5</w:t>
            </w:r>
          </w:p>
        </w:tc>
      </w:tr>
      <w:tr w:rsidR="00993FEB" w:rsidRPr="004615FF" w14:paraId="19F98E73" w14:textId="77777777" w:rsidTr="00875078">
        <w:trPr>
          <w:trHeight w:val="147"/>
        </w:trPr>
        <w:tc>
          <w:tcPr>
            <w:tcW w:w="5704" w:type="dxa"/>
            <w:tcBorders>
              <w:top w:val="nil"/>
              <w:left w:val="nil"/>
              <w:bottom w:val="nil"/>
              <w:right w:val="nil"/>
            </w:tcBorders>
            <w:noWrap/>
            <w:vAlign w:val="bottom"/>
          </w:tcPr>
          <w:p w14:paraId="687141FA" w14:textId="2AA189A2" w:rsidR="00993FEB" w:rsidRPr="004615FF" w:rsidRDefault="00993FEB" w:rsidP="00875078">
            <w:pPr>
              <w:rPr>
                <w:rFonts w:ascii="Arial" w:hAnsi="Arial" w:cs="Arial"/>
                <w:color w:val="000000"/>
                <w:sz w:val="22"/>
                <w:szCs w:val="22"/>
              </w:rPr>
            </w:pPr>
          </w:p>
        </w:tc>
        <w:tc>
          <w:tcPr>
            <w:tcW w:w="1501" w:type="dxa"/>
            <w:tcBorders>
              <w:top w:val="nil"/>
              <w:left w:val="nil"/>
              <w:bottom w:val="nil"/>
              <w:right w:val="nil"/>
            </w:tcBorders>
            <w:vAlign w:val="bottom"/>
          </w:tcPr>
          <w:p w14:paraId="5BFCF6A6" w14:textId="77777777" w:rsidR="00993FEB" w:rsidRPr="004A3AC2" w:rsidRDefault="00993FEB" w:rsidP="00875078">
            <w:pPr>
              <w:jc w:val="center"/>
              <w:rPr>
                <w:rFonts w:ascii="Arial" w:hAnsi="Arial" w:cs="Arial"/>
                <w:b/>
                <w:color w:val="000000"/>
                <w:sz w:val="22"/>
                <w:szCs w:val="22"/>
              </w:rPr>
            </w:pPr>
            <w:r w:rsidRPr="004A3AC2">
              <w:rPr>
                <w:rFonts w:ascii="Arial" w:hAnsi="Arial" w:cs="Arial"/>
                <w:b/>
                <w:color w:val="000000"/>
                <w:sz w:val="22"/>
                <w:szCs w:val="22"/>
              </w:rPr>
              <w:t>£m</w:t>
            </w:r>
          </w:p>
        </w:tc>
        <w:tc>
          <w:tcPr>
            <w:tcW w:w="1475" w:type="dxa"/>
            <w:tcBorders>
              <w:top w:val="nil"/>
              <w:left w:val="nil"/>
              <w:bottom w:val="nil"/>
              <w:right w:val="nil"/>
            </w:tcBorders>
            <w:noWrap/>
            <w:vAlign w:val="bottom"/>
          </w:tcPr>
          <w:p w14:paraId="128F2E8D" w14:textId="77777777" w:rsidR="00993FEB" w:rsidRPr="004615FF" w:rsidRDefault="00993FEB" w:rsidP="00875078">
            <w:pPr>
              <w:jc w:val="center"/>
              <w:rPr>
                <w:rFonts w:ascii="Arial" w:hAnsi="Arial" w:cs="Arial"/>
                <w:b/>
                <w:color w:val="000000"/>
                <w:sz w:val="22"/>
                <w:szCs w:val="22"/>
              </w:rPr>
            </w:pPr>
            <w:r w:rsidRPr="004615FF">
              <w:rPr>
                <w:rFonts w:ascii="Arial" w:hAnsi="Arial" w:cs="Arial"/>
                <w:b/>
                <w:color w:val="000000"/>
                <w:sz w:val="22"/>
                <w:szCs w:val="22"/>
              </w:rPr>
              <w:t>£m</w:t>
            </w:r>
          </w:p>
        </w:tc>
      </w:tr>
      <w:tr w:rsidR="00902969" w:rsidRPr="004615FF" w14:paraId="7F26A06E" w14:textId="77777777" w:rsidTr="00875078">
        <w:trPr>
          <w:trHeight w:val="80"/>
        </w:trPr>
        <w:tc>
          <w:tcPr>
            <w:tcW w:w="5704" w:type="dxa"/>
            <w:tcBorders>
              <w:top w:val="nil"/>
              <w:left w:val="nil"/>
              <w:bottom w:val="nil"/>
              <w:right w:val="nil"/>
            </w:tcBorders>
            <w:noWrap/>
            <w:vAlign w:val="bottom"/>
          </w:tcPr>
          <w:p w14:paraId="15DA803C" w14:textId="528B1CE7" w:rsidR="00902969" w:rsidRPr="004615FF" w:rsidRDefault="00902969" w:rsidP="00902969">
            <w:pPr>
              <w:rPr>
                <w:rFonts w:ascii="Arial" w:hAnsi="Arial" w:cs="Arial"/>
                <w:color w:val="000000"/>
                <w:sz w:val="22"/>
                <w:szCs w:val="22"/>
              </w:rPr>
            </w:pPr>
            <w:r w:rsidRPr="004615FF">
              <w:rPr>
                <w:rFonts w:ascii="Arial" w:hAnsi="Arial" w:cs="Arial"/>
                <w:color w:val="000000"/>
                <w:sz w:val="22"/>
                <w:szCs w:val="22"/>
              </w:rPr>
              <w:t xml:space="preserve">Present Value of Promised Retirement Benefits </w:t>
            </w:r>
          </w:p>
        </w:tc>
        <w:tc>
          <w:tcPr>
            <w:tcW w:w="1501" w:type="dxa"/>
            <w:tcBorders>
              <w:top w:val="nil"/>
              <w:left w:val="nil"/>
              <w:bottom w:val="nil"/>
              <w:right w:val="nil"/>
            </w:tcBorders>
            <w:vAlign w:val="bottom"/>
          </w:tcPr>
          <w:p w14:paraId="7A7648F2" w14:textId="69ABA462" w:rsidR="00902969" w:rsidRPr="00902969" w:rsidRDefault="00902969" w:rsidP="00902969">
            <w:pPr>
              <w:tabs>
                <w:tab w:val="left" w:pos="742"/>
              </w:tabs>
              <w:ind w:right="-7"/>
              <w:jc w:val="right"/>
              <w:rPr>
                <w:rFonts w:ascii="Arial" w:hAnsi="Arial" w:cs="Arial"/>
                <w:bCs/>
                <w:color w:val="000000"/>
                <w:sz w:val="22"/>
                <w:szCs w:val="22"/>
              </w:rPr>
            </w:pPr>
            <w:r w:rsidRPr="00902969">
              <w:rPr>
                <w:rFonts w:ascii="Arial" w:hAnsi="Arial" w:cs="Arial"/>
                <w:bCs/>
                <w:color w:val="000000"/>
                <w:sz w:val="22"/>
                <w:szCs w:val="22"/>
              </w:rPr>
              <w:t>1,345</w:t>
            </w:r>
          </w:p>
        </w:tc>
        <w:tc>
          <w:tcPr>
            <w:tcW w:w="1475" w:type="dxa"/>
            <w:tcBorders>
              <w:top w:val="nil"/>
              <w:left w:val="nil"/>
              <w:bottom w:val="nil"/>
              <w:right w:val="nil"/>
            </w:tcBorders>
            <w:noWrap/>
            <w:vAlign w:val="bottom"/>
          </w:tcPr>
          <w:p w14:paraId="26D9733D" w14:textId="14522FB0" w:rsidR="00902969" w:rsidRPr="004615FF" w:rsidRDefault="00902969" w:rsidP="00902969">
            <w:pPr>
              <w:tabs>
                <w:tab w:val="left" w:pos="742"/>
              </w:tabs>
              <w:ind w:right="-7"/>
              <w:jc w:val="right"/>
              <w:rPr>
                <w:rFonts w:ascii="Arial" w:hAnsi="Arial" w:cs="Arial"/>
                <w:b/>
                <w:color w:val="000000"/>
                <w:sz w:val="22"/>
                <w:szCs w:val="22"/>
              </w:rPr>
            </w:pPr>
            <w:r w:rsidRPr="004615FF">
              <w:rPr>
                <w:rFonts w:ascii="Arial" w:hAnsi="Arial" w:cs="Arial"/>
                <w:b/>
                <w:color w:val="000000"/>
                <w:sz w:val="22"/>
                <w:szCs w:val="22"/>
              </w:rPr>
              <w:t>1,</w:t>
            </w:r>
            <w:r>
              <w:rPr>
                <w:rFonts w:ascii="Arial" w:hAnsi="Arial" w:cs="Arial"/>
                <w:b/>
                <w:color w:val="000000"/>
                <w:sz w:val="22"/>
                <w:szCs w:val="22"/>
              </w:rPr>
              <w:t>182</w:t>
            </w:r>
          </w:p>
        </w:tc>
      </w:tr>
      <w:tr w:rsidR="00902969" w:rsidRPr="004615FF" w14:paraId="62306B68" w14:textId="77777777" w:rsidTr="00875078">
        <w:trPr>
          <w:trHeight w:val="147"/>
        </w:trPr>
        <w:tc>
          <w:tcPr>
            <w:tcW w:w="5704" w:type="dxa"/>
            <w:tcBorders>
              <w:top w:val="nil"/>
              <w:left w:val="nil"/>
              <w:right w:val="nil"/>
            </w:tcBorders>
            <w:noWrap/>
            <w:vAlign w:val="bottom"/>
          </w:tcPr>
          <w:p w14:paraId="07E5A1C9" w14:textId="582F4503" w:rsidR="00902969" w:rsidRPr="004615FF" w:rsidRDefault="00902969" w:rsidP="00902969">
            <w:pPr>
              <w:rPr>
                <w:rFonts w:ascii="Arial" w:hAnsi="Arial" w:cs="Arial"/>
                <w:color w:val="000000"/>
                <w:sz w:val="22"/>
                <w:szCs w:val="22"/>
              </w:rPr>
            </w:pPr>
            <w:r w:rsidRPr="004615FF">
              <w:rPr>
                <w:rFonts w:ascii="Arial" w:hAnsi="Arial" w:cs="Arial"/>
                <w:color w:val="000000"/>
                <w:sz w:val="22"/>
                <w:szCs w:val="22"/>
              </w:rPr>
              <w:t xml:space="preserve">Fair Value of Scheme Assets (bid value) </w:t>
            </w:r>
          </w:p>
        </w:tc>
        <w:tc>
          <w:tcPr>
            <w:tcW w:w="1501" w:type="dxa"/>
            <w:tcBorders>
              <w:top w:val="nil"/>
              <w:left w:val="nil"/>
              <w:right w:val="nil"/>
            </w:tcBorders>
            <w:vAlign w:val="bottom"/>
          </w:tcPr>
          <w:p w14:paraId="0F7C5F62" w14:textId="1940532D" w:rsidR="00902969" w:rsidRPr="00902969" w:rsidRDefault="00902969" w:rsidP="00902969">
            <w:pPr>
              <w:tabs>
                <w:tab w:val="left" w:pos="742"/>
              </w:tabs>
              <w:ind w:right="-7"/>
              <w:jc w:val="right"/>
              <w:rPr>
                <w:rFonts w:ascii="Arial" w:hAnsi="Arial" w:cs="Arial"/>
                <w:bCs/>
                <w:color w:val="000000"/>
                <w:sz w:val="22"/>
                <w:szCs w:val="22"/>
              </w:rPr>
            </w:pPr>
            <w:r w:rsidRPr="00902969">
              <w:rPr>
                <w:rFonts w:ascii="Arial" w:hAnsi="Arial" w:cs="Arial"/>
                <w:bCs/>
                <w:color w:val="000000"/>
                <w:sz w:val="22"/>
                <w:szCs w:val="22"/>
              </w:rPr>
              <w:t>1,474</w:t>
            </w:r>
          </w:p>
        </w:tc>
        <w:tc>
          <w:tcPr>
            <w:tcW w:w="1475" w:type="dxa"/>
            <w:tcBorders>
              <w:top w:val="nil"/>
              <w:left w:val="nil"/>
              <w:right w:val="nil"/>
            </w:tcBorders>
            <w:noWrap/>
            <w:vAlign w:val="bottom"/>
          </w:tcPr>
          <w:p w14:paraId="3163F165" w14:textId="4F357EAB" w:rsidR="00902969" w:rsidRPr="004615FF" w:rsidRDefault="00902969" w:rsidP="00902969">
            <w:pPr>
              <w:tabs>
                <w:tab w:val="left" w:pos="742"/>
              </w:tabs>
              <w:ind w:right="-7"/>
              <w:jc w:val="right"/>
              <w:rPr>
                <w:rFonts w:ascii="Arial" w:hAnsi="Arial" w:cs="Arial"/>
                <w:b/>
                <w:color w:val="000000"/>
                <w:sz w:val="22"/>
                <w:szCs w:val="22"/>
              </w:rPr>
            </w:pPr>
            <w:r w:rsidRPr="004615FF">
              <w:rPr>
                <w:rFonts w:ascii="Arial" w:hAnsi="Arial" w:cs="Arial"/>
                <w:b/>
                <w:color w:val="000000"/>
                <w:sz w:val="22"/>
                <w:szCs w:val="22"/>
              </w:rPr>
              <w:t>1,</w:t>
            </w:r>
            <w:r>
              <w:rPr>
                <w:rFonts w:ascii="Arial" w:hAnsi="Arial" w:cs="Arial"/>
                <w:b/>
                <w:color w:val="000000"/>
                <w:sz w:val="22"/>
                <w:szCs w:val="22"/>
              </w:rPr>
              <w:t>548</w:t>
            </w:r>
          </w:p>
        </w:tc>
      </w:tr>
      <w:tr w:rsidR="00902969" w:rsidRPr="008722F4" w14:paraId="71696B22" w14:textId="77777777" w:rsidTr="00875078">
        <w:trPr>
          <w:trHeight w:val="154"/>
        </w:trPr>
        <w:tc>
          <w:tcPr>
            <w:tcW w:w="5704" w:type="dxa"/>
            <w:tcBorders>
              <w:left w:val="nil"/>
              <w:bottom w:val="nil"/>
              <w:right w:val="nil"/>
            </w:tcBorders>
          </w:tcPr>
          <w:p w14:paraId="296C816A" w14:textId="65224338" w:rsidR="00902969" w:rsidRPr="004615FF" w:rsidRDefault="00902969" w:rsidP="00902969">
            <w:pPr>
              <w:rPr>
                <w:rFonts w:ascii="Arial" w:hAnsi="Arial" w:cs="Arial"/>
                <w:color w:val="000000"/>
                <w:sz w:val="22"/>
                <w:szCs w:val="22"/>
              </w:rPr>
            </w:pPr>
            <w:r w:rsidRPr="004615FF">
              <w:rPr>
                <w:rFonts w:ascii="Arial" w:hAnsi="Arial" w:cs="Arial"/>
                <w:color w:val="000000"/>
                <w:sz w:val="22"/>
                <w:szCs w:val="22"/>
              </w:rPr>
              <w:t xml:space="preserve">Net Liability </w:t>
            </w:r>
          </w:p>
        </w:tc>
        <w:tc>
          <w:tcPr>
            <w:tcW w:w="1501" w:type="dxa"/>
            <w:tcBorders>
              <w:top w:val="single" w:sz="4" w:space="0" w:color="auto"/>
              <w:left w:val="nil"/>
              <w:bottom w:val="nil"/>
              <w:right w:val="nil"/>
            </w:tcBorders>
            <w:vAlign w:val="bottom"/>
          </w:tcPr>
          <w:p w14:paraId="42AD88A3" w14:textId="14D88527" w:rsidR="00902969" w:rsidRPr="00902969" w:rsidRDefault="00902969" w:rsidP="00902969">
            <w:pPr>
              <w:tabs>
                <w:tab w:val="left" w:pos="742"/>
              </w:tabs>
              <w:ind w:right="-7"/>
              <w:jc w:val="right"/>
              <w:rPr>
                <w:rFonts w:ascii="Arial" w:hAnsi="Arial" w:cs="Arial"/>
                <w:bCs/>
                <w:color w:val="000000"/>
                <w:sz w:val="22"/>
                <w:szCs w:val="22"/>
              </w:rPr>
            </w:pPr>
            <w:r w:rsidRPr="00902969">
              <w:rPr>
                <w:rFonts w:ascii="Arial" w:hAnsi="Arial" w:cs="Arial"/>
                <w:bCs/>
                <w:color w:val="000000"/>
                <w:sz w:val="22"/>
                <w:szCs w:val="22"/>
              </w:rPr>
              <w:t>(129)</w:t>
            </w:r>
          </w:p>
        </w:tc>
        <w:tc>
          <w:tcPr>
            <w:tcW w:w="1475" w:type="dxa"/>
            <w:tcBorders>
              <w:top w:val="single" w:sz="4" w:space="0" w:color="auto"/>
              <w:left w:val="nil"/>
              <w:bottom w:val="nil"/>
              <w:right w:val="nil"/>
            </w:tcBorders>
            <w:noWrap/>
            <w:vAlign w:val="bottom"/>
          </w:tcPr>
          <w:p w14:paraId="165FB9D9" w14:textId="4558D3D2" w:rsidR="00902969" w:rsidRPr="004615FF" w:rsidRDefault="00902969" w:rsidP="00902969">
            <w:pPr>
              <w:tabs>
                <w:tab w:val="left" w:pos="742"/>
              </w:tabs>
              <w:ind w:right="-7"/>
              <w:jc w:val="right"/>
              <w:rPr>
                <w:rFonts w:ascii="Arial" w:hAnsi="Arial" w:cs="Arial"/>
                <w:b/>
                <w:color w:val="000000"/>
                <w:sz w:val="22"/>
                <w:szCs w:val="22"/>
              </w:rPr>
            </w:pPr>
            <w:r w:rsidRPr="004615FF">
              <w:rPr>
                <w:rFonts w:ascii="Arial" w:hAnsi="Arial" w:cs="Arial"/>
                <w:b/>
                <w:color w:val="000000"/>
                <w:sz w:val="22"/>
                <w:szCs w:val="22"/>
              </w:rPr>
              <w:t>(</w:t>
            </w:r>
            <w:r>
              <w:rPr>
                <w:rFonts w:ascii="Arial" w:hAnsi="Arial" w:cs="Arial"/>
                <w:b/>
                <w:color w:val="000000"/>
                <w:sz w:val="22"/>
                <w:szCs w:val="22"/>
              </w:rPr>
              <w:t>366</w:t>
            </w:r>
            <w:r w:rsidRPr="004615FF">
              <w:rPr>
                <w:rFonts w:ascii="Arial" w:hAnsi="Arial" w:cs="Arial"/>
                <w:b/>
                <w:color w:val="000000"/>
                <w:sz w:val="22"/>
                <w:szCs w:val="22"/>
              </w:rPr>
              <w:t>)</w:t>
            </w:r>
          </w:p>
        </w:tc>
      </w:tr>
    </w:tbl>
    <w:p w14:paraId="40A1953F" w14:textId="77777777" w:rsidR="00993FEB" w:rsidRDefault="00993FEB" w:rsidP="00993FEB">
      <w:pPr>
        <w:spacing w:line="20" w:lineRule="atLeast"/>
        <w:rPr>
          <w:rFonts w:ascii="Arial" w:hAnsi="Arial" w:cs="Arial"/>
          <w:b/>
          <w:sz w:val="22"/>
          <w:szCs w:val="22"/>
        </w:rPr>
      </w:pPr>
    </w:p>
    <w:p w14:paraId="1853C3AA" w14:textId="77777777" w:rsidR="003C45DA" w:rsidRPr="008A0A4E" w:rsidRDefault="003C45DA" w:rsidP="00BA2BC5">
      <w:pPr>
        <w:jc w:val="both"/>
        <w:rPr>
          <w:rFonts w:ascii="Arial" w:hAnsi="Arial" w:cs="Arial"/>
          <w:color w:val="000000"/>
          <w:sz w:val="22"/>
          <w:szCs w:val="22"/>
        </w:rPr>
      </w:pPr>
    </w:p>
    <w:p w14:paraId="13234387" w14:textId="46931DC8" w:rsidR="003C45DA" w:rsidRPr="008A0A4E" w:rsidRDefault="003C45DA" w:rsidP="00412999">
      <w:pPr>
        <w:ind w:left="284"/>
        <w:jc w:val="both"/>
        <w:rPr>
          <w:rFonts w:ascii="Arial" w:hAnsi="Arial" w:cs="Arial"/>
          <w:color w:val="000000"/>
          <w:sz w:val="22"/>
          <w:szCs w:val="22"/>
        </w:rPr>
      </w:pPr>
      <w:r w:rsidRPr="00C922D1">
        <w:rPr>
          <w:rFonts w:ascii="Arial" w:hAnsi="Arial" w:cs="Arial"/>
          <w:color w:val="000000"/>
          <w:sz w:val="22"/>
          <w:szCs w:val="22"/>
        </w:rPr>
        <w:t>The figure is prepared for the purposes of IAS 26 and has no validity in other circumstances. It is not relevant for calculations undertaken for funding purposes and setting contributions payable to the Fund, which is carried out on a triennial basis.</w:t>
      </w:r>
    </w:p>
    <w:p w14:paraId="682F92DA" w14:textId="77777777" w:rsidR="003C45DA" w:rsidRDefault="003C45DA" w:rsidP="00412999">
      <w:pPr>
        <w:ind w:left="284"/>
        <w:rPr>
          <w:rFonts w:ascii="Arial" w:hAnsi="Arial" w:cs="Arial"/>
          <w:color w:val="000000"/>
          <w:sz w:val="22"/>
          <w:szCs w:val="22"/>
        </w:rPr>
      </w:pPr>
    </w:p>
    <w:p w14:paraId="07F3E4FC" w14:textId="372ABB9A" w:rsidR="00C922D1" w:rsidRPr="00A7575D" w:rsidRDefault="00052443" w:rsidP="00412999">
      <w:pPr>
        <w:ind w:left="284"/>
        <w:rPr>
          <w:rFonts w:ascii="Arial" w:hAnsi="Arial" w:cs="Arial"/>
          <w:b/>
          <w:bCs/>
          <w:color w:val="000000"/>
          <w:sz w:val="22"/>
          <w:szCs w:val="22"/>
        </w:rPr>
      </w:pPr>
      <w:r w:rsidRPr="00A7575D">
        <w:rPr>
          <w:rFonts w:ascii="Arial" w:hAnsi="Arial" w:cs="Arial"/>
          <w:b/>
          <w:bCs/>
          <w:color w:val="000000"/>
          <w:sz w:val="22"/>
          <w:szCs w:val="22"/>
        </w:rPr>
        <w:t xml:space="preserve">Financial </w:t>
      </w:r>
      <w:r w:rsidR="0034730B" w:rsidRPr="00A7575D">
        <w:rPr>
          <w:rFonts w:ascii="Arial" w:hAnsi="Arial" w:cs="Arial"/>
          <w:b/>
          <w:bCs/>
          <w:color w:val="000000"/>
          <w:sz w:val="22"/>
          <w:szCs w:val="22"/>
        </w:rPr>
        <w:t xml:space="preserve">Assumptions </w:t>
      </w:r>
    </w:p>
    <w:p w14:paraId="6648FB0B" w14:textId="77777777" w:rsidR="00C922D1" w:rsidRDefault="00C922D1" w:rsidP="00412999">
      <w:pPr>
        <w:ind w:left="284"/>
        <w:rPr>
          <w:rFonts w:ascii="Arial" w:hAnsi="Arial" w:cs="Arial"/>
          <w:color w:val="000000"/>
          <w:sz w:val="22"/>
          <w:szCs w:val="22"/>
        </w:rPr>
      </w:pPr>
    </w:p>
    <w:p w14:paraId="55823D65" w14:textId="548E8A94" w:rsidR="00A7575D" w:rsidRDefault="00A7575D" w:rsidP="00412999">
      <w:pPr>
        <w:ind w:left="284"/>
        <w:rPr>
          <w:rFonts w:ascii="Arial" w:hAnsi="Arial" w:cs="Arial"/>
          <w:color w:val="000000"/>
          <w:sz w:val="22"/>
          <w:szCs w:val="22"/>
        </w:rPr>
      </w:pPr>
      <w:r>
        <w:rPr>
          <w:rFonts w:ascii="Arial" w:hAnsi="Arial" w:cs="Arial"/>
          <w:color w:val="000000"/>
          <w:sz w:val="22"/>
          <w:szCs w:val="22"/>
        </w:rPr>
        <w:t>The key financial assumptions used are</w:t>
      </w:r>
      <w:r w:rsidR="00C55A74">
        <w:rPr>
          <w:rFonts w:ascii="Arial" w:hAnsi="Arial" w:cs="Arial"/>
          <w:color w:val="000000"/>
          <w:sz w:val="22"/>
          <w:szCs w:val="22"/>
        </w:rPr>
        <w:t xml:space="preserve">: </w:t>
      </w:r>
    </w:p>
    <w:p w14:paraId="74F1C554" w14:textId="77777777" w:rsidR="00E52884" w:rsidRDefault="00E52884" w:rsidP="00412999">
      <w:pPr>
        <w:ind w:left="284"/>
        <w:rPr>
          <w:rFonts w:ascii="Arial" w:hAnsi="Arial" w:cs="Arial"/>
          <w:color w:val="000000"/>
          <w:sz w:val="22"/>
          <w:szCs w:val="22"/>
        </w:rPr>
      </w:pPr>
    </w:p>
    <w:tbl>
      <w:tblPr>
        <w:tblW w:w="6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1560"/>
        <w:gridCol w:w="1701"/>
      </w:tblGrid>
      <w:tr w:rsidR="00E40DD7" w:rsidRPr="008722F4" w14:paraId="6C1EA038" w14:textId="77777777" w:rsidTr="00E40DD7">
        <w:trPr>
          <w:trHeight w:val="154"/>
        </w:trPr>
        <w:tc>
          <w:tcPr>
            <w:tcW w:w="3572" w:type="dxa"/>
            <w:noWrap/>
            <w:vAlign w:val="bottom"/>
          </w:tcPr>
          <w:p w14:paraId="4D7AC2CD" w14:textId="13A86798" w:rsidR="00E40DD7" w:rsidRPr="008722F4" w:rsidRDefault="00E40DD7" w:rsidP="00E40DD7">
            <w:pPr>
              <w:rPr>
                <w:rFonts w:ascii="Arial" w:hAnsi="Arial" w:cs="Arial"/>
                <w:color w:val="000000"/>
                <w:sz w:val="22"/>
                <w:szCs w:val="22"/>
                <w:highlight w:val="yellow"/>
              </w:rPr>
            </w:pPr>
            <w:r w:rsidRPr="004D101E">
              <w:rPr>
                <w:rFonts w:ascii="Arial" w:hAnsi="Arial" w:cs="Arial"/>
                <w:color w:val="000000"/>
                <w:sz w:val="22"/>
                <w:szCs w:val="22"/>
              </w:rPr>
              <w:t>Financial Assumptions</w:t>
            </w:r>
          </w:p>
        </w:tc>
        <w:tc>
          <w:tcPr>
            <w:tcW w:w="1560" w:type="dxa"/>
            <w:vAlign w:val="bottom"/>
          </w:tcPr>
          <w:p w14:paraId="00F71195" w14:textId="52A1E4C2" w:rsidR="00E40DD7" w:rsidRPr="004A3AC2" w:rsidRDefault="00E40DD7" w:rsidP="00E40DD7">
            <w:pPr>
              <w:jc w:val="center"/>
              <w:rPr>
                <w:rFonts w:ascii="Arial" w:hAnsi="Arial" w:cs="Arial"/>
                <w:b/>
                <w:bCs/>
                <w:color w:val="000000"/>
                <w:sz w:val="22"/>
                <w:szCs w:val="22"/>
              </w:rPr>
            </w:pPr>
            <w:r w:rsidRPr="004A3AC2">
              <w:rPr>
                <w:rFonts w:ascii="Arial" w:hAnsi="Arial" w:cs="Arial"/>
                <w:b/>
                <w:bCs/>
                <w:color w:val="000000"/>
                <w:sz w:val="22"/>
                <w:szCs w:val="22"/>
              </w:rPr>
              <w:t xml:space="preserve">As </w:t>
            </w:r>
            <w:proofErr w:type="gramStart"/>
            <w:r w:rsidRPr="004A3AC2">
              <w:rPr>
                <w:rFonts w:ascii="Arial" w:hAnsi="Arial" w:cs="Arial"/>
                <w:b/>
                <w:bCs/>
                <w:color w:val="000000"/>
                <w:sz w:val="22"/>
                <w:szCs w:val="22"/>
              </w:rPr>
              <w:t>at</w:t>
            </w:r>
            <w:proofErr w:type="gramEnd"/>
            <w:r w:rsidRPr="004A3AC2">
              <w:rPr>
                <w:rFonts w:ascii="Arial" w:hAnsi="Arial" w:cs="Arial"/>
                <w:b/>
                <w:bCs/>
                <w:color w:val="000000"/>
                <w:sz w:val="22"/>
                <w:szCs w:val="22"/>
              </w:rPr>
              <w:t xml:space="preserve"> 31 March 2024</w:t>
            </w:r>
          </w:p>
        </w:tc>
        <w:tc>
          <w:tcPr>
            <w:tcW w:w="1701" w:type="dxa"/>
            <w:noWrap/>
            <w:vAlign w:val="bottom"/>
          </w:tcPr>
          <w:p w14:paraId="28A20ECD" w14:textId="706843BB" w:rsidR="00E40DD7" w:rsidRPr="00993FEB" w:rsidRDefault="00E40DD7" w:rsidP="00E40DD7">
            <w:pPr>
              <w:jc w:val="center"/>
              <w:rPr>
                <w:rFonts w:ascii="Arial" w:hAnsi="Arial" w:cs="Arial"/>
                <w:b/>
                <w:bCs/>
                <w:color w:val="000000"/>
                <w:sz w:val="22"/>
                <w:szCs w:val="22"/>
              </w:rPr>
            </w:pPr>
            <w:r w:rsidRPr="00993FEB">
              <w:rPr>
                <w:rFonts w:ascii="Arial" w:hAnsi="Arial" w:cs="Arial"/>
                <w:b/>
                <w:bCs/>
                <w:color w:val="000000"/>
                <w:sz w:val="22"/>
                <w:szCs w:val="22"/>
              </w:rPr>
              <w:t xml:space="preserve">As </w:t>
            </w:r>
            <w:proofErr w:type="gramStart"/>
            <w:r w:rsidRPr="00993FEB">
              <w:rPr>
                <w:rFonts w:ascii="Arial" w:hAnsi="Arial" w:cs="Arial"/>
                <w:b/>
                <w:bCs/>
                <w:color w:val="000000"/>
                <w:sz w:val="22"/>
                <w:szCs w:val="22"/>
              </w:rPr>
              <w:t>at</w:t>
            </w:r>
            <w:proofErr w:type="gramEnd"/>
            <w:r w:rsidRPr="00993FEB">
              <w:rPr>
                <w:rFonts w:ascii="Arial" w:hAnsi="Arial" w:cs="Arial"/>
                <w:b/>
                <w:bCs/>
                <w:color w:val="000000"/>
                <w:sz w:val="22"/>
                <w:szCs w:val="22"/>
              </w:rPr>
              <w:t xml:space="preserve"> 31 March 202</w:t>
            </w:r>
            <w:r>
              <w:rPr>
                <w:rFonts w:ascii="Arial" w:hAnsi="Arial" w:cs="Arial"/>
                <w:b/>
                <w:bCs/>
                <w:color w:val="000000"/>
                <w:sz w:val="22"/>
                <w:szCs w:val="22"/>
              </w:rPr>
              <w:t>5</w:t>
            </w:r>
          </w:p>
        </w:tc>
      </w:tr>
      <w:tr w:rsidR="00E40DD7" w:rsidRPr="008722F4" w14:paraId="7DC8BFE2" w14:textId="77777777" w:rsidTr="00E40DD7">
        <w:trPr>
          <w:trHeight w:val="147"/>
        </w:trPr>
        <w:tc>
          <w:tcPr>
            <w:tcW w:w="3572" w:type="dxa"/>
            <w:noWrap/>
            <w:vAlign w:val="bottom"/>
          </w:tcPr>
          <w:p w14:paraId="6DF564B3" w14:textId="77777777" w:rsidR="00E40DD7" w:rsidRPr="008722F4" w:rsidRDefault="00E40DD7" w:rsidP="00E40DD7">
            <w:pPr>
              <w:rPr>
                <w:rFonts w:ascii="Arial" w:hAnsi="Arial" w:cs="Arial"/>
                <w:color w:val="000000"/>
                <w:sz w:val="22"/>
                <w:szCs w:val="22"/>
                <w:highlight w:val="yellow"/>
              </w:rPr>
            </w:pPr>
          </w:p>
        </w:tc>
        <w:tc>
          <w:tcPr>
            <w:tcW w:w="1560" w:type="dxa"/>
            <w:vAlign w:val="bottom"/>
          </w:tcPr>
          <w:p w14:paraId="098D1EEE" w14:textId="27D1BD78" w:rsidR="00E40DD7" w:rsidRPr="004A3AC2" w:rsidRDefault="00E40DD7" w:rsidP="00E40DD7">
            <w:pPr>
              <w:jc w:val="center"/>
              <w:rPr>
                <w:rFonts w:ascii="Arial" w:hAnsi="Arial" w:cs="Arial"/>
                <w:b/>
                <w:bCs/>
                <w:color w:val="000000"/>
                <w:sz w:val="22"/>
                <w:szCs w:val="22"/>
              </w:rPr>
            </w:pPr>
            <w:r w:rsidRPr="004A3AC2">
              <w:rPr>
                <w:rFonts w:ascii="Arial" w:hAnsi="Arial" w:cs="Arial"/>
                <w:b/>
                <w:bCs/>
                <w:color w:val="000000"/>
                <w:sz w:val="22"/>
                <w:szCs w:val="22"/>
              </w:rPr>
              <w:t>£m</w:t>
            </w:r>
          </w:p>
        </w:tc>
        <w:tc>
          <w:tcPr>
            <w:tcW w:w="1701" w:type="dxa"/>
            <w:noWrap/>
            <w:vAlign w:val="bottom"/>
          </w:tcPr>
          <w:p w14:paraId="7C08EF14" w14:textId="77777777" w:rsidR="00E40DD7" w:rsidRPr="0038508F" w:rsidRDefault="00E40DD7" w:rsidP="00E40DD7">
            <w:pPr>
              <w:jc w:val="center"/>
              <w:rPr>
                <w:rFonts w:ascii="Arial" w:hAnsi="Arial" w:cs="Arial"/>
                <w:b/>
                <w:color w:val="000000"/>
                <w:sz w:val="22"/>
                <w:szCs w:val="22"/>
              </w:rPr>
            </w:pPr>
            <w:r w:rsidRPr="0038508F">
              <w:rPr>
                <w:rFonts w:ascii="Arial" w:hAnsi="Arial" w:cs="Arial"/>
                <w:b/>
                <w:color w:val="000000"/>
                <w:sz w:val="22"/>
                <w:szCs w:val="22"/>
              </w:rPr>
              <w:t>£m</w:t>
            </w:r>
          </w:p>
        </w:tc>
      </w:tr>
      <w:tr w:rsidR="00E40DD7" w:rsidRPr="008722F4" w14:paraId="6EB8813F" w14:textId="77777777" w:rsidTr="00E40DD7">
        <w:trPr>
          <w:trHeight w:val="80"/>
        </w:trPr>
        <w:tc>
          <w:tcPr>
            <w:tcW w:w="3572" w:type="dxa"/>
            <w:noWrap/>
            <w:vAlign w:val="bottom"/>
          </w:tcPr>
          <w:p w14:paraId="1976376B" w14:textId="43A52B6C" w:rsidR="00E40DD7" w:rsidRPr="006C4DC7" w:rsidRDefault="00E40DD7" w:rsidP="00E40DD7">
            <w:pPr>
              <w:rPr>
                <w:rFonts w:ascii="Arial" w:hAnsi="Arial" w:cs="Arial"/>
                <w:color w:val="000000"/>
                <w:sz w:val="22"/>
                <w:szCs w:val="22"/>
              </w:rPr>
            </w:pPr>
            <w:r>
              <w:rPr>
                <w:rFonts w:ascii="Arial" w:hAnsi="Arial" w:cs="Arial"/>
                <w:color w:val="000000"/>
                <w:sz w:val="22"/>
                <w:szCs w:val="22"/>
              </w:rPr>
              <w:t>Discount Rate</w:t>
            </w:r>
          </w:p>
        </w:tc>
        <w:tc>
          <w:tcPr>
            <w:tcW w:w="1560" w:type="dxa"/>
            <w:vAlign w:val="bottom"/>
          </w:tcPr>
          <w:p w14:paraId="04BE458A" w14:textId="345E7A03" w:rsidR="00E40DD7" w:rsidRPr="00E40DD7" w:rsidRDefault="00E40DD7" w:rsidP="00E40DD7">
            <w:pPr>
              <w:tabs>
                <w:tab w:val="left" w:pos="742"/>
              </w:tabs>
              <w:ind w:right="-7"/>
              <w:jc w:val="right"/>
              <w:rPr>
                <w:rFonts w:ascii="Arial" w:hAnsi="Arial" w:cs="Arial"/>
                <w:color w:val="000000"/>
                <w:sz w:val="22"/>
                <w:szCs w:val="22"/>
              </w:rPr>
            </w:pPr>
            <w:r w:rsidRPr="00E40DD7">
              <w:rPr>
                <w:rFonts w:ascii="Arial" w:hAnsi="Arial" w:cs="Arial"/>
                <w:color w:val="000000"/>
                <w:sz w:val="22"/>
                <w:szCs w:val="22"/>
              </w:rPr>
              <w:t>4.90%</w:t>
            </w:r>
          </w:p>
        </w:tc>
        <w:tc>
          <w:tcPr>
            <w:tcW w:w="1701" w:type="dxa"/>
            <w:noWrap/>
            <w:vAlign w:val="bottom"/>
          </w:tcPr>
          <w:p w14:paraId="04CAAF6C" w14:textId="0732394C" w:rsidR="00E40DD7" w:rsidRPr="0038508F" w:rsidRDefault="005575CA" w:rsidP="00E40DD7">
            <w:pPr>
              <w:tabs>
                <w:tab w:val="left" w:pos="742"/>
              </w:tabs>
              <w:ind w:right="-7"/>
              <w:jc w:val="right"/>
              <w:rPr>
                <w:rFonts w:ascii="Arial" w:hAnsi="Arial" w:cs="Arial"/>
                <w:b/>
                <w:color w:val="000000"/>
                <w:sz w:val="22"/>
                <w:szCs w:val="22"/>
              </w:rPr>
            </w:pPr>
            <w:r>
              <w:rPr>
                <w:rFonts w:ascii="Arial" w:hAnsi="Arial" w:cs="Arial"/>
                <w:b/>
                <w:color w:val="000000"/>
                <w:sz w:val="22"/>
                <w:szCs w:val="22"/>
              </w:rPr>
              <w:t>5.85</w:t>
            </w:r>
            <w:r w:rsidR="00E40DD7">
              <w:rPr>
                <w:rFonts w:ascii="Arial" w:hAnsi="Arial" w:cs="Arial"/>
                <w:b/>
                <w:color w:val="000000"/>
                <w:sz w:val="22"/>
                <w:szCs w:val="22"/>
              </w:rPr>
              <w:t>%</w:t>
            </w:r>
          </w:p>
        </w:tc>
      </w:tr>
      <w:tr w:rsidR="00E40DD7" w:rsidRPr="008722F4" w14:paraId="5ACA311C" w14:textId="77777777" w:rsidTr="00E40DD7">
        <w:trPr>
          <w:trHeight w:val="147"/>
        </w:trPr>
        <w:tc>
          <w:tcPr>
            <w:tcW w:w="3572" w:type="dxa"/>
            <w:noWrap/>
            <w:vAlign w:val="bottom"/>
          </w:tcPr>
          <w:p w14:paraId="374344E0" w14:textId="3DE68C40" w:rsidR="00E40DD7" w:rsidRPr="008722F4" w:rsidRDefault="00E40DD7" w:rsidP="00E40DD7">
            <w:pPr>
              <w:rPr>
                <w:rFonts w:ascii="Arial" w:hAnsi="Arial" w:cs="Arial"/>
                <w:color w:val="000000"/>
                <w:sz w:val="22"/>
                <w:szCs w:val="22"/>
                <w:highlight w:val="yellow"/>
              </w:rPr>
            </w:pPr>
            <w:r w:rsidRPr="001B2003">
              <w:rPr>
                <w:rFonts w:ascii="Arial" w:hAnsi="Arial" w:cs="Arial"/>
                <w:color w:val="000000"/>
                <w:sz w:val="22"/>
                <w:szCs w:val="22"/>
              </w:rPr>
              <w:t>Pension increases (CPI)</w:t>
            </w:r>
          </w:p>
        </w:tc>
        <w:tc>
          <w:tcPr>
            <w:tcW w:w="1560" w:type="dxa"/>
            <w:vAlign w:val="bottom"/>
          </w:tcPr>
          <w:p w14:paraId="2E2E06DC" w14:textId="277BA1A1" w:rsidR="00E40DD7" w:rsidRPr="00E40DD7" w:rsidRDefault="00E40DD7" w:rsidP="00E40DD7">
            <w:pPr>
              <w:tabs>
                <w:tab w:val="left" w:pos="742"/>
              </w:tabs>
              <w:ind w:right="-7"/>
              <w:jc w:val="right"/>
              <w:rPr>
                <w:rFonts w:ascii="Arial" w:hAnsi="Arial" w:cs="Arial"/>
                <w:color w:val="000000"/>
                <w:sz w:val="22"/>
                <w:szCs w:val="22"/>
              </w:rPr>
            </w:pPr>
            <w:r w:rsidRPr="00E40DD7">
              <w:rPr>
                <w:rFonts w:ascii="Arial" w:hAnsi="Arial" w:cs="Arial"/>
                <w:color w:val="000000"/>
                <w:sz w:val="22"/>
                <w:szCs w:val="22"/>
              </w:rPr>
              <w:t>2.90%</w:t>
            </w:r>
          </w:p>
        </w:tc>
        <w:tc>
          <w:tcPr>
            <w:tcW w:w="1701" w:type="dxa"/>
            <w:noWrap/>
            <w:vAlign w:val="bottom"/>
          </w:tcPr>
          <w:p w14:paraId="24A7F762" w14:textId="3F572B9A" w:rsidR="00E40DD7" w:rsidRPr="0038508F" w:rsidRDefault="00E40DD7" w:rsidP="00E40DD7">
            <w:pPr>
              <w:tabs>
                <w:tab w:val="left" w:pos="742"/>
              </w:tabs>
              <w:ind w:right="-7"/>
              <w:jc w:val="right"/>
              <w:rPr>
                <w:rFonts w:ascii="Arial" w:hAnsi="Arial" w:cs="Arial"/>
                <w:b/>
                <w:color w:val="000000"/>
                <w:sz w:val="22"/>
                <w:szCs w:val="22"/>
              </w:rPr>
            </w:pPr>
            <w:r>
              <w:rPr>
                <w:rFonts w:ascii="Arial" w:hAnsi="Arial" w:cs="Arial"/>
                <w:b/>
                <w:color w:val="000000"/>
                <w:sz w:val="22"/>
                <w:szCs w:val="22"/>
              </w:rPr>
              <w:t>2.90%</w:t>
            </w:r>
          </w:p>
        </w:tc>
      </w:tr>
      <w:tr w:rsidR="00E40DD7" w:rsidRPr="008722F4" w14:paraId="2322638B" w14:textId="77777777" w:rsidTr="00E40DD7">
        <w:trPr>
          <w:trHeight w:val="147"/>
        </w:trPr>
        <w:tc>
          <w:tcPr>
            <w:tcW w:w="3572" w:type="dxa"/>
            <w:noWrap/>
            <w:vAlign w:val="bottom"/>
          </w:tcPr>
          <w:p w14:paraId="317A8063" w14:textId="1D6741EB" w:rsidR="00E40DD7" w:rsidRPr="00506164" w:rsidRDefault="00E40DD7" w:rsidP="00E40DD7">
            <w:pPr>
              <w:rPr>
                <w:rFonts w:ascii="Arial" w:hAnsi="Arial" w:cs="Arial"/>
                <w:color w:val="000000"/>
                <w:sz w:val="22"/>
                <w:szCs w:val="22"/>
              </w:rPr>
            </w:pPr>
            <w:r>
              <w:rPr>
                <w:rFonts w:ascii="Arial" w:hAnsi="Arial" w:cs="Arial"/>
                <w:color w:val="000000"/>
                <w:sz w:val="22"/>
                <w:szCs w:val="22"/>
              </w:rPr>
              <w:t>RPI inflation</w:t>
            </w:r>
          </w:p>
        </w:tc>
        <w:tc>
          <w:tcPr>
            <w:tcW w:w="1560" w:type="dxa"/>
            <w:vAlign w:val="bottom"/>
          </w:tcPr>
          <w:p w14:paraId="6119AE05" w14:textId="4CF45D7A" w:rsidR="00E40DD7" w:rsidRPr="00E40DD7" w:rsidRDefault="00E40DD7" w:rsidP="00E40DD7">
            <w:pPr>
              <w:tabs>
                <w:tab w:val="left" w:pos="742"/>
              </w:tabs>
              <w:ind w:right="-7"/>
              <w:jc w:val="right"/>
              <w:rPr>
                <w:rFonts w:ascii="Arial" w:hAnsi="Arial" w:cs="Arial"/>
                <w:color w:val="000000"/>
                <w:sz w:val="22"/>
                <w:szCs w:val="22"/>
              </w:rPr>
            </w:pPr>
            <w:r w:rsidRPr="00E40DD7">
              <w:rPr>
                <w:rFonts w:ascii="Arial" w:hAnsi="Arial" w:cs="Arial"/>
                <w:color w:val="000000"/>
                <w:sz w:val="22"/>
                <w:szCs w:val="22"/>
              </w:rPr>
              <w:t>3.20%</w:t>
            </w:r>
          </w:p>
        </w:tc>
        <w:tc>
          <w:tcPr>
            <w:tcW w:w="1701" w:type="dxa"/>
            <w:noWrap/>
            <w:vAlign w:val="bottom"/>
          </w:tcPr>
          <w:p w14:paraId="569B6945" w14:textId="05FD5C71" w:rsidR="00E40DD7" w:rsidRPr="0038508F" w:rsidRDefault="00E40DD7" w:rsidP="00E40DD7">
            <w:pPr>
              <w:tabs>
                <w:tab w:val="left" w:pos="742"/>
              </w:tabs>
              <w:ind w:right="-7"/>
              <w:jc w:val="right"/>
              <w:rPr>
                <w:rFonts w:ascii="Arial" w:hAnsi="Arial" w:cs="Arial"/>
                <w:b/>
                <w:color w:val="000000"/>
                <w:sz w:val="22"/>
                <w:szCs w:val="22"/>
              </w:rPr>
            </w:pPr>
            <w:r>
              <w:rPr>
                <w:rFonts w:ascii="Arial" w:hAnsi="Arial" w:cs="Arial"/>
                <w:b/>
                <w:color w:val="000000"/>
                <w:sz w:val="22"/>
                <w:szCs w:val="22"/>
              </w:rPr>
              <w:t>3.20%</w:t>
            </w:r>
          </w:p>
        </w:tc>
      </w:tr>
      <w:tr w:rsidR="00E40DD7" w:rsidRPr="008722F4" w14:paraId="540998CF" w14:textId="77777777" w:rsidTr="00E40DD7">
        <w:trPr>
          <w:trHeight w:val="147"/>
        </w:trPr>
        <w:tc>
          <w:tcPr>
            <w:tcW w:w="3572" w:type="dxa"/>
            <w:noWrap/>
            <w:vAlign w:val="bottom"/>
          </w:tcPr>
          <w:p w14:paraId="4748C622" w14:textId="0486A0A8" w:rsidR="00E40DD7" w:rsidRPr="00506164" w:rsidRDefault="00E40DD7" w:rsidP="00E40DD7">
            <w:pPr>
              <w:rPr>
                <w:rFonts w:ascii="Arial" w:hAnsi="Arial" w:cs="Arial"/>
                <w:color w:val="000000"/>
                <w:sz w:val="22"/>
                <w:szCs w:val="22"/>
              </w:rPr>
            </w:pPr>
            <w:r>
              <w:rPr>
                <w:rFonts w:ascii="Arial" w:hAnsi="Arial" w:cs="Arial"/>
                <w:color w:val="000000"/>
                <w:sz w:val="22"/>
                <w:szCs w:val="22"/>
              </w:rPr>
              <w:t>Salary increases</w:t>
            </w:r>
          </w:p>
        </w:tc>
        <w:tc>
          <w:tcPr>
            <w:tcW w:w="1560" w:type="dxa"/>
            <w:vAlign w:val="bottom"/>
          </w:tcPr>
          <w:p w14:paraId="5E375076" w14:textId="55B2EFCE" w:rsidR="00E40DD7" w:rsidRPr="00E40DD7" w:rsidRDefault="00E40DD7" w:rsidP="00E40DD7">
            <w:pPr>
              <w:tabs>
                <w:tab w:val="left" w:pos="742"/>
              </w:tabs>
              <w:ind w:right="-7"/>
              <w:jc w:val="right"/>
              <w:rPr>
                <w:rFonts w:ascii="Arial" w:hAnsi="Arial" w:cs="Arial"/>
                <w:color w:val="000000"/>
                <w:sz w:val="22"/>
                <w:szCs w:val="22"/>
              </w:rPr>
            </w:pPr>
            <w:r w:rsidRPr="00E40DD7">
              <w:rPr>
                <w:rFonts w:ascii="Arial" w:hAnsi="Arial" w:cs="Arial"/>
                <w:color w:val="000000"/>
                <w:sz w:val="22"/>
                <w:szCs w:val="22"/>
              </w:rPr>
              <w:t>3.90%</w:t>
            </w:r>
          </w:p>
        </w:tc>
        <w:tc>
          <w:tcPr>
            <w:tcW w:w="1701" w:type="dxa"/>
            <w:noWrap/>
            <w:vAlign w:val="bottom"/>
          </w:tcPr>
          <w:p w14:paraId="058ED838" w14:textId="14273541" w:rsidR="00E40DD7" w:rsidRPr="0038508F" w:rsidRDefault="00E40DD7" w:rsidP="00E40DD7">
            <w:pPr>
              <w:tabs>
                <w:tab w:val="left" w:pos="742"/>
              </w:tabs>
              <w:ind w:right="-7"/>
              <w:jc w:val="right"/>
              <w:rPr>
                <w:rFonts w:ascii="Arial" w:hAnsi="Arial" w:cs="Arial"/>
                <w:b/>
                <w:color w:val="000000"/>
                <w:sz w:val="22"/>
                <w:szCs w:val="22"/>
              </w:rPr>
            </w:pPr>
            <w:r>
              <w:rPr>
                <w:rFonts w:ascii="Arial" w:hAnsi="Arial" w:cs="Arial"/>
                <w:b/>
                <w:color w:val="000000"/>
                <w:sz w:val="22"/>
                <w:szCs w:val="22"/>
              </w:rPr>
              <w:t>3.90%</w:t>
            </w:r>
          </w:p>
        </w:tc>
      </w:tr>
    </w:tbl>
    <w:p w14:paraId="0875CCC4" w14:textId="77777777" w:rsidR="00E52884" w:rsidRDefault="00E52884" w:rsidP="00412999">
      <w:pPr>
        <w:ind w:left="284"/>
        <w:rPr>
          <w:rFonts w:ascii="Arial" w:hAnsi="Arial" w:cs="Arial"/>
          <w:color w:val="000000"/>
          <w:sz w:val="22"/>
          <w:szCs w:val="22"/>
        </w:rPr>
      </w:pPr>
    </w:p>
    <w:p w14:paraId="2B2B090E" w14:textId="314BAD33" w:rsidR="005A3EBB" w:rsidRDefault="00F71820" w:rsidP="00412999">
      <w:pPr>
        <w:ind w:left="284"/>
        <w:rPr>
          <w:rFonts w:ascii="Arial" w:hAnsi="Arial" w:cs="Arial"/>
          <w:b/>
          <w:bCs/>
          <w:color w:val="000000"/>
          <w:sz w:val="22"/>
          <w:szCs w:val="22"/>
        </w:rPr>
      </w:pPr>
      <w:r w:rsidRPr="00F71820">
        <w:rPr>
          <w:rFonts w:ascii="Arial" w:hAnsi="Arial" w:cs="Arial"/>
          <w:b/>
          <w:bCs/>
          <w:color w:val="000000"/>
          <w:sz w:val="22"/>
          <w:szCs w:val="22"/>
        </w:rPr>
        <w:t>Demographic Assumptions</w:t>
      </w:r>
    </w:p>
    <w:p w14:paraId="08982F3F" w14:textId="77777777" w:rsidR="005E074E" w:rsidRDefault="005E074E" w:rsidP="00412999">
      <w:pPr>
        <w:ind w:left="284"/>
        <w:rPr>
          <w:rFonts w:ascii="Arial" w:hAnsi="Arial" w:cs="Arial"/>
          <w:b/>
          <w:bCs/>
          <w:color w:val="000000"/>
          <w:sz w:val="22"/>
          <w:szCs w:val="22"/>
        </w:rPr>
      </w:pPr>
    </w:p>
    <w:p w14:paraId="668B3E02" w14:textId="553D6F41" w:rsidR="005E074E" w:rsidRDefault="00956E24" w:rsidP="008C09EE">
      <w:pPr>
        <w:ind w:left="284"/>
        <w:rPr>
          <w:rFonts w:ascii="Arial" w:hAnsi="Arial" w:cs="Arial"/>
          <w:color w:val="000000"/>
          <w:sz w:val="22"/>
          <w:szCs w:val="22"/>
        </w:rPr>
      </w:pPr>
      <w:r>
        <w:rPr>
          <w:rFonts w:ascii="Arial" w:hAnsi="Arial" w:cs="Arial"/>
          <w:color w:val="000000"/>
          <w:sz w:val="22"/>
          <w:szCs w:val="22"/>
        </w:rPr>
        <w:t xml:space="preserve">Barnett Waddingham have adopted a set of </w:t>
      </w:r>
      <w:r w:rsidR="008C09EE" w:rsidRPr="008C09EE">
        <w:rPr>
          <w:rFonts w:ascii="Arial" w:hAnsi="Arial" w:cs="Arial"/>
          <w:color w:val="000000"/>
          <w:sz w:val="22"/>
          <w:szCs w:val="22"/>
        </w:rPr>
        <w:t>demographic assumptions that are consistent with those used for the most recent Fund</w:t>
      </w:r>
      <w:r w:rsidR="008C09EE">
        <w:rPr>
          <w:rFonts w:ascii="Arial" w:hAnsi="Arial" w:cs="Arial"/>
          <w:color w:val="000000"/>
          <w:sz w:val="22"/>
          <w:szCs w:val="22"/>
        </w:rPr>
        <w:t xml:space="preserve"> </w:t>
      </w:r>
      <w:r w:rsidR="008C09EE" w:rsidRPr="008C09EE">
        <w:rPr>
          <w:rFonts w:ascii="Arial" w:hAnsi="Arial" w:cs="Arial"/>
          <w:color w:val="000000"/>
          <w:sz w:val="22"/>
          <w:szCs w:val="22"/>
        </w:rPr>
        <w:t xml:space="preserve">valuation, which was carried out as </w:t>
      </w:r>
      <w:proofErr w:type="gramStart"/>
      <w:r w:rsidR="008C09EE" w:rsidRPr="008C09EE">
        <w:rPr>
          <w:rFonts w:ascii="Arial" w:hAnsi="Arial" w:cs="Arial"/>
          <w:color w:val="000000"/>
          <w:sz w:val="22"/>
          <w:szCs w:val="22"/>
        </w:rPr>
        <w:t>at</w:t>
      </w:r>
      <w:proofErr w:type="gramEnd"/>
      <w:r w:rsidR="008C09EE" w:rsidRPr="008C09EE">
        <w:rPr>
          <w:rFonts w:ascii="Arial" w:hAnsi="Arial" w:cs="Arial"/>
          <w:color w:val="000000"/>
          <w:sz w:val="22"/>
          <w:szCs w:val="22"/>
        </w:rPr>
        <w:t xml:space="preserve"> 31 March 2022</w:t>
      </w:r>
      <w:r w:rsidR="00AB03A1">
        <w:rPr>
          <w:rFonts w:ascii="Arial" w:hAnsi="Arial" w:cs="Arial"/>
          <w:color w:val="000000"/>
          <w:sz w:val="22"/>
          <w:szCs w:val="22"/>
        </w:rPr>
        <w:t xml:space="preserve">, </w:t>
      </w:r>
      <w:r w:rsidR="00AB03A1" w:rsidRPr="00AB03A1">
        <w:rPr>
          <w:rFonts w:ascii="Arial" w:hAnsi="Arial" w:cs="Arial"/>
          <w:color w:val="000000"/>
          <w:sz w:val="22"/>
          <w:szCs w:val="22"/>
        </w:rPr>
        <w:t>except for an update of the CMI projection model.</w:t>
      </w:r>
      <w:r w:rsidR="00C132F6">
        <w:rPr>
          <w:rFonts w:ascii="Arial" w:hAnsi="Arial" w:cs="Arial"/>
          <w:color w:val="000000"/>
          <w:sz w:val="22"/>
          <w:szCs w:val="22"/>
        </w:rPr>
        <w:t xml:space="preserve"> The CMI 202</w:t>
      </w:r>
      <w:r w:rsidR="00010039">
        <w:rPr>
          <w:rFonts w:ascii="Arial" w:hAnsi="Arial" w:cs="Arial"/>
          <w:color w:val="000000"/>
          <w:sz w:val="22"/>
          <w:szCs w:val="22"/>
        </w:rPr>
        <w:t>2</w:t>
      </w:r>
      <w:r w:rsidR="00C132F6">
        <w:rPr>
          <w:rFonts w:ascii="Arial" w:hAnsi="Arial" w:cs="Arial"/>
          <w:color w:val="000000"/>
          <w:sz w:val="22"/>
          <w:szCs w:val="22"/>
        </w:rPr>
        <w:t xml:space="preserve"> model was </w:t>
      </w:r>
      <w:proofErr w:type="gramStart"/>
      <w:r w:rsidR="00C132F6">
        <w:rPr>
          <w:rFonts w:ascii="Arial" w:hAnsi="Arial" w:cs="Arial"/>
          <w:color w:val="000000"/>
          <w:sz w:val="22"/>
          <w:szCs w:val="22"/>
        </w:rPr>
        <w:t xml:space="preserve">used  </w:t>
      </w:r>
      <w:r w:rsidR="00E96409" w:rsidRPr="00E96409">
        <w:rPr>
          <w:rFonts w:ascii="Arial" w:hAnsi="Arial" w:cs="Arial"/>
          <w:color w:val="000000"/>
          <w:sz w:val="22"/>
          <w:szCs w:val="22"/>
        </w:rPr>
        <w:t>as</w:t>
      </w:r>
      <w:proofErr w:type="gramEnd"/>
      <w:r w:rsidR="00E96409" w:rsidRPr="00E96409">
        <w:rPr>
          <w:rFonts w:ascii="Arial" w:hAnsi="Arial" w:cs="Arial"/>
          <w:color w:val="000000"/>
          <w:sz w:val="22"/>
          <w:szCs w:val="22"/>
        </w:rPr>
        <w:t xml:space="preserve"> </w:t>
      </w:r>
      <w:proofErr w:type="gramStart"/>
      <w:r w:rsidR="00E96409" w:rsidRPr="00E96409">
        <w:rPr>
          <w:rFonts w:ascii="Arial" w:hAnsi="Arial" w:cs="Arial"/>
          <w:color w:val="000000"/>
          <w:sz w:val="22"/>
          <w:szCs w:val="22"/>
        </w:rPr>
        <w:t>at</w:t>
      </w:r>
      <w:proofErr w:type="gramEnd"/>
      <w:r w:rsidR="00E96409" w:rsidRPr="00E96409">
        <w:rPr>
          <w:rFonts w:ascii="Arial" w:hAnsi="Arial" w:cs="Arial"/>
          <w:color w:val="000000"/>
          <w:sz w:val="22"/>
          <w:szCs w:val="22"/>
        </w:rPr>
        <w:t xml:space="preserve"> 31 March 202</w:t>
      </w:r>
      <w:r w:rsidR="00010039">
        <w:rPr>
          <w:rFonts w:ascii="Arial" w:hAnsi="Arial" w:cs="Arial"/>
          <w:color w:val="000000"/>
          <w:sz w:val="22"/>
          <w:szCs w:val="22"/>
        </w:rPr>
        <w:t>4</w:t>
      </w:r>
      <w:r w:rsidR="004F0808">
        <w:rPr>
          <w:rFonts w:ascii="Arial" w:hAnsi="Arial" w:cs="Arial"/>
          <w:color w:val="000000"/>
          <w:sz w:val="22"/>
          <w:szCs w:val="22"/>
        </w:rPr>
        <w:t xml:space="preserve"> and the CMI 202</w:t>
      </w:r>
      <w:r w:rsidR="00010039">
        <w:rPr>
          <w:rFonts w:ascii="Arial" w:hAnsi="Arial" w:cs="Arial"/>
          <w:color w:val="000000"/>
          <w:sz w:val="22"/>
          <w:szCs w:val="22"/>
        </w:rPr>
        <w:t>3</w:t>
      </w:r>
      <w:r w:rsidR="004F0808">
        <w:rPr>
          <w:rFonts w:ascii="Arial" w:hAnsi="Arial" w:cs="Arial"/>
          <w:color w:val="000000"/>
          <w:sz w:val="22"/>
          <w:szCs w:val="22"/>
        </w:rPr>
        <w:t xml:space="preserve"> model was used as at the 31 March 202</w:t>
      </w:r>
      <w:r w:rsidR="00010039">
        <w:rPr>
          <w:rFonts w:ascii="Arial" w:hAnsi="Arial" w:cs="Arial"/>
          <w:color w:val="000000"/>
          <w:sz w:val="22"/>
          <w:szCs w:val="22"/>
        </w:rPr>
        <w:t>5</w:t>
      </w:r>
      <w:r w:rsidR="00FA6B9F">
        <w:rPr>
          <w:rFonts w:ascii="Arial" w:hAnsi="Arial" w:cs="Arial"/>
          <w:color w:val="000000"/>
          <w:sz w:val="22"/>
          <w:szCs w:val="22"/>
        </w:rPr>
        <w:t xml:space="preserve"> valuation. </w:t>
      </w:r>
    </w:p>
    <w:p w14:paraId="1C319C60" w14:textId="77777777" w:rsidR="008E040E" w:rsidRDefault="008E040E" w:rsidP="008C09EE">
      <w:pPr>
        <w:ind w:left="284"/>
        <w:rPr>
          <w:rFonts w:ascii="Arial" w:hAnsi="Arial" w:cs="Arial"/>
          <w:color w:val="000000"/>
          <w:sz w:val="22"/>
          <w:szCs w:val="22"/>
        </w:rPr>
      </w:pPr>
    </w:p>
    <w:p w14:paraId="2051E880" w14:textId="3438906C" w:rsidR="008E040E" w:rsidRDefault="004E2D86" w:rsidP="008C09EE">
      <w:pPr>
        <w:ind w:left="284"/>
        <w:rPr>
          <w:rFonts w:ascii="Arial" w:hAnsi="Arial" w:cs="Arial"/>
          <w:color w:val="000000"/>
          <w:sz w:val="22"/>
          <w:szCs w:val="22"/>
        </w:rPr>
      </w:pPr>
      <w:r>
        <w:rPr>
          <w:rFonts w:ascii="Arial" w:hAnsi="Arial" w:cs="Arial"/>
          <w:color w:val="000000"/>
          <w:sz w:val="22"/>
          <w:szCs w:val="22"/>
        </w:rPr>
        <w:t xml:space="preserve">The assumed life expectancies </w:t>
      </w:r>
      <w:r w:rsidR="00956DD8">
        <w:rPr>
          <w:rFonts w:ascii="Arial" w:hAnsi="Arial" w:cs="Arial"/>
          <w:color w:val="000000"/>
          <w:sz w:val="22"/>
          <w:szCs w:val="22"/>
        </w:rPr>
        <w:t xml:space="preserve">are set out in the table below: </w:t>
      </w:r>
    </w:p>
    <w:p w14:paraId="70B60003" w14:textId="77777777" w:rsidR="008C6E87" w:rsidRDefault="008C6E87" w:rsidP="008C09EE">
      <w:pPr>
        <w:ind w:left="284"/>
        <w:rPr>
          <w:rFonts w:ascii="Arial" w:hAnsi="Arial" w:cs="Arial"/>
          <w:color w:val="00000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823"/>
        <w:gridCol w:w="950"/>
        <w:gridCol w:w="892"/>
        <w:gridCol w:w="1020"/>
      </w:tblGrid>
      <w:tr w:rsidR="0013019E" w:rsidRPr="008D1481" w14:paraId="56FAF740" w14:textId="77777777" w:rsidTr="00631DB3">
        <w:trPr>
          <w:trHeight w:val="80"/>
          <w:jc w:val="center"/>
        </w:trPr>
        <w:tc>
          <w:tcPr>
            <w:tcW w:w="5382" w:type="dxa"/>
            <w:shd w:val="clear" w:color="auto" w:fill="auto"/>
            <w:noWrap/>
            <w:hideMark/>
          </w:tcPr>
          <w:p w14:paraId="0E425653" w14:textId="77777777" w:rsidR="0013019E" w:rsidRPr="00FB2059" w:rsidRDefault="0013019E" w:rsidP="00875078">
            <w:pPr>
              <w:rPr>
                <w:rFonts w:ascii="Arial" w:hAnsi="Arial" w:cs="Arial"/>
                <w:b/>
                <w:bCs/>
                <w:sz w:val="22"/>
                <w:szCs w:val="22"/>
              </w:rPr>
            </w:pPr>
            <w:r w:rsidRPr="00FB2059">
              <w:rPr>
                <w:rFonts w:ascii="Arial" w:hAnsi="Arial" w:cs="Arial"/>
                <w:b/>
                <w:bCs/>
                <w:sz w:val="22"/>
                <w:szCs w:val="22"/>
              </w:rPr>
              <w:t>Longevity Assumptions</w:t>
            </w:r>
          </w:p>
        </w:tc>
        <w:tc>
          <w:tcPr>
            <w:tcW w:w="1773" w:type="dxa"/>
            <w:gridSpan w:val="2"/>
            <w:shd w:val="clear" w:color="auto" w:fill="auto"/>
            <w:noWrap/>
          </w:tcPr>
          <w:p w14:paraId="053CE175" w14:textId="7E371DFA" w:rsidR="0013019E" w:rsidRPr="004A3AC2" w:rsidRDefault="00BB3CC8" w:rsidP="00875078">
            <w:pPr>
              <w:jc w:val="center"/>
              <w:rPr>
                <w:rFonts w:ascii="Arial" w:hAnsi="Arial" w:cs="Arial"/>
                <w:b/>
                <w:bCs/>
                <w:sz w:val="22"/>
                <w:szCs w:val="22"/>
              </w:rPr>
            </w:pPr>
            <w:r w:rsidRPr="004A3AC2">
              <w:rPr>
                <w:rFonts w:ascii="Arial" w:hAnsi="Arial" w:cs="Arial"/>
                <w:b/>
                <w:bCs/>
                <w:sz w:val="22"/>
                <w:szCs w:val="22"/>
              </w:rPr>
              <w:t xml:space="preserve">As </w:t>
            </w:r>
            <w:proofErr w:type="gramStart"/>
            <w:r w:rsidRPr="004A3AC2">
              <w:rPr>
                <w:rFonts w:ascii="Arial" w:hAnsi="Arial" w:cs="Arial"/>
                <w:b/>
                <w:bCs/>
                <w:sz w:val="22"/>
                <w:szCs w:val="22"/>
              </w:rPr>
              <w:t>at</w:t>
            </w:r>
            <w:proofErr w:type="gramEnd"/>
            <w:r w:rsidRPr="004A3AC2">
              <w:rPr>
                <w:rFonts w:ascii="Arial" w:hAnsi="Arial" w:cs="Arial"/>
                <w:b/>
                <w:bCs/>
                <w:sz w:val="22"/>
                <w:szCs w:val="22"/>
              </w:rPr>
              <w:t xml:space="preserve"> 31 March 2024</w:t>
            </w:r>
          </w:p>
        </w:tc>
        <w:tc>
          <w:tcPr>
            <w:tcW w:w="1912" w:type="dxa"/>
            <w:gridSpan w:val="2"/>
            <w:shd w:val="clear" w:color="auto" w:fill="auto"/>
            <w:noWrap/>
          </w:tcPr>
          <w:p w14:paraId="5D8F213D" w14:textId="642C5569" w:rsidR="0013019E" w:rsidRPr="00FB2059" w:rsidRDefault="004B147E" w:rsidP="00875078">
            <w:pPr>
              <w:jc w:val="center"/>
              <w:rPr>
                <w:rFonts w:ascii="Arial" w:hAnsi="Arial" w:cs="Arial"/>
                <w:b/>
                <w:bCs/>
                <w:sz w:val="22"/>
                <w:szCs w:val="22"/>
              </w:rPr>
            </w:pPr>
            <w:r w:rsidRPr="004B147E">
              <w:rPr>
                <w:rFonts w:ascii="Arial" w:hAnsi="Arial" w:cs="Arial"/>
                <w:b/>
                <w:bCs/>
                <w:sz w:val="22"/>
                <w:szCs w:val="22"/>
              </w:rPr>
              <w:t xml:space="preserve">As </w:t>
            </w:r>
            <w:proofErr w:type="gramStart"/>
            <w:r w:rsidRPr="004B147E">
              <w:rPr>
                <w:rFonts w:ascii="Arial" w:hAnsi="Arial" w:cs="Arial"/>
                <w:b/>
                <w:bCs/>
                <w:sz w:val="22"/>
                <w:szCs w:val="22"/>
              </w:rPr>
              <w:t>at</w:t>
            </w:r>
            <w:proofErr w:type="gramEnd"/>
            <w:r w:rsidRPr="004B147E">
              <w:rPr>
                <w:rFonts w:ascii="Arial" w:hAnsi="Arial" w:cs="Arial"/>
                <w:b/>
                <w:bCs/>
                <w:sz w:val="22"/>
                <w:szCs w:val="22"/>
              </w:rPr>
              <w:t xml:space="preserve"> 31 March 202</w:t>
            </w:r>
            <w:r w:rsidR="00BB3CC8">
              <w:rPr>
                <w:rFonts w:ascii="Arial" w:hAnsi="Arial" w:cs="Arial"/>
                <w:b/>
                <w:bCs/>
                <w:sz w:val="22"/>
                <w:szCs w:val="22"/>
              </w:rPr>
              <w:t>5</w:t>
            </w:r>
          </w:p>
        </w:tc>
      </w:tr>
      <w:tr w:rsidR="00F04BCB" w:rsidRPr="008D1481" w14:paraId="768453B9" w14:textId="77777777" w:rsidTr="00631DB3">
        <w:trPr>
          <w:trHeight w:val="80"/>
          <w:jc w:val="center"/>
        </w:trPr>
        <w:tc>
          <w:tcPr>
            <w:tcW w:w="5382" w:type="dxa"/>
            <w:shd w:val="clear" w:color="auto" w:fill="auto"/>
            <w:noWrap/>
            <w:hideMark/>
          </w:tcPr>
          <w:p w14:paraId="74EC4723" w14:textId="0E8B1D5D" w:rsidR="00F04BCB" w:rsidRPr="00FB2059" w:rsidRDefault="001343B7" w:rsidP="00875078">
            <w:pPr>
              <w:rPr>
                <w:rFonts w:ascii="Arial" w:hAnsi="Arial" w:cs="Arial"/>
                <w:sz w:val="22"/>
                <w:szCs w:val="22"/>
              </w:rPr>
            </w:pPr>
            <w:r w:rsidRPr="001343B7">
              <w:rPr>
                <w:rFonts w:ascii="Arial" w:hAnsi="Arial" w:cs="Arial"/>
                <w:sz w:val="22"/>
                <w:szCs w:val="22"/>
              </w:rPr>
              <w:t>Life expectancy from age 65 (years)</w:t>
            </w:r>
          </w:p>
        </w:tc>
        <w:tc>
          <w:tcPr>
            <w:tcW w:w="823" w:type="dxa"/>
            <w:shd w:val="clear" w:color="auto" w:fill="auto"/>
            <w:noWrap/>
            <w:hideMark/>
          </w:tcPr>
          <w:p w14:paraId="2771F158" w14:textId="77777777" w:rsidR="00F04BCB" w:rsidRPr="00FB2059" w:rsidRDefault="00F04BCB" w:rsidP="00875078">
            <w:pPr>
              <w:jc w:val="center"/>
              <w:rPr>
                <w:rFonts w:ascii="Arial" w:hAnsi="Arial" w:cs="Arial"/>
                <w:bCs/>
                <w:sz w:val="22"/>
                <w:szCs w:val="22"/>
              </w:rPr>
            </w:pPr>
            <w:r w:rsidRPr="00FB2059">
              <w:rPr>
                <w:rFonts w:ascii="Arial" w:hAnsi="Arial" w:cs="Arial"/>
                <w:bCs/>
                <w:sz w:val="22"/>
                <w:szCs w:val="22"/>
              </w:rPr>
              <w:t>Male</w:t>
            </w:r>
          </w:p>
        </w:tc>
        <w:tc>
          <w:tcPr>
            <w:tcW w:w="950" w:type="dxa"/>
            <w:shd w:val="clear" w:color="auto" w:fill="auto"/>
            <w:noWrap/>
            <w:hideMark/>
          </w:tcPr>
          <w:p w14:paraId="59447889" w14:textId="77777777" w:rsidR="00F04BCB" w:rsidRPr="00FB2059" w:rsidRDefault="00F04BCB" w:rsidP="00875078">
            <w:pPr>
              <w:jc w:val="center"/>
              <w:rPr>
                <w:rFonts w:ascii="Arial" w:hAnsi="Arial" w:cs="Arial"/>
                <w:bCs/>
                <w:sz w:val="22"/>
                <w:szCs w:val="22"/>
              </w:rPr>
            </w:pPr>
            <w:r w:rsidRPr="00FB2059">
              <w:rPr>
                <w:rFonts w:ascii="Arial" w:hAnsi="Arial" w:cs="Arial"/>
                <w:bCs/>
                <w:sz w:val="22"/>
                <w:szCs w:val="22"/>
              </w:rPr>
              <w:t>Female</w:t>
            </w:r>
          </w:p>
        </w:tc>
        <w:tc>
          <w:tcPr>
            <w:tcW w:w="892" w:type="dxa"/>
            <w:shd w:val="clear" w:color="auto" w:fill="auto"/>
            <w:noWrap/>
            <w:hideMark/>
          </w:tcPr>
          <w:p w14:paraId="32D1091F" w14:textId="77777777" w:rsidR="00F04BCB" w:rsidRPr="00FB2059" w:rsidRDefault="00F04BCB" w:rsidP="00875078">
            <w:pPr>
              <w:jc w:val="center"/>
              <w:rPr>
                <w:rFonts w:ascii="Arial" w:hAnsi="Arial" w:cs="Arial"/>
                <w:b/>
                <w:bCs/>
                <w:sz w:val="22"/>
                <w:szCs w:val="22"/>
              </w:rPr>
            </w:pPr>
            <w:r w:rsidRPr="00FB2059">
              <w:rPr>
                <w:rFonts w:ascii="Arial" w:hAnsi="Arial" w:cs="Arial"/>
                <w:b/>
                <w:bCs/>
                <w:sz w:val="22"/>
                <w:szCs w:val="22"/>
              </w:rPr>
              <w:t>Male</w:t>
            </w:r>
          </w:p>
        </w:tc>
        <w:tc>
          <w:tcPr>
            <w:tcW w:w="1020" w:type="dxa"/>
            <w:shd w:val="clear" w:color="auto" w:fill="auto"/>
            <w:noWrap/>
            <w:hideMark/>
          </w:tcPr>
          <w:p w14:paraId="1857AC93" w14:textId="77777777" w:rsidR="00F04BCB" w:rsidRPr="00FB2059" w:rsidRDefault="00F04BCB" w:rsidP="00875078">
            <w:pPr>
              <w:jc w:val="center"/>
              <w:rPr>
                <w:rFonts w:ascii="Arial" w:hAnsi="Arial" w:cs="Arial"/>
                <w:b/>
                <w:bCs/>
                <w:sz w:val="22"/>
                <w:szCs w:val="22"/>
              </w:rPr>
            </w:pPr>
            <w:r w:rsidRPr="00FB2059">
              <w:rPr>
                <w:rFonts w:ascii="Arial" w:hAnsi="Arial" w:cs="Arial"/>
                <w:b/>
                <w:bCs/>
                <w:sz w:val="22"/>
                <w:szCs w:val="22"/>
              </w:rPr>
              <w:t>Female</w:t>
            </w:r>
          </w:p>
        </w:tc>
      </w:tr>
      <w:tr w:rsidR="00BB3CC8" w:rsidRPr="008D1481" w14:paraId="1B0E070E" w14:textId="77777777" w:rsidTr="00631DB3">
        <w:trPr>
          <w:trHeight w:val="159"/>
          <w:jc w:val="center"/>
        </w:trPr>
        <w:tc>
          <w:tcPr>
            <w:tcW w:w="5382" w:type="dxa"/>
            <w:shd w:val="clear" w:color="auto" w:fill="auto"/>
          </w:tcPr>
          <w:p w14:paraId="4D8CD59F" w14:textId="61E4DDCD" w:rsidR="00BB3CC8" w:rsidRPr="00FB2059" w:rsidRDefault="00BB3CC8" w:rsidP="00BB3CC8">
            <w:pPr>
              <w:rPr>
                <w:rFonts w:ascii="Arial" w:hAnsi="Arial" w:cs="Arial"/>
                <w:sz w:val="22"/>
                <w:szCs w:val="22"/>
              </w:rPr>
            </w:pPr>
            <w:r>
              <w:rPr>
                <w:rFonts w:ascii="Arial" w:hAnsi="Arial" w:cs="Arial"/>
                <w:sz w:val="22"/>
                <w:szCs w:val="22"/>
              </w:rPr>
              <w:t>Retiring today</w:t>
            </w:r>
          </w:p>
        </w:tc>
        <w:tc>
          <w:tcPr>
            <w:tcW w:w="823" w:type="dxa"/>
            <w:shd w:val="clear" w:color="auto" w:fill="auto"/>
            <w:noWrap/>
          </w:tcPr>
          <w:p w14:paraId="2EEC0084" w14:textId="199141B3" w:rsidR="00BB3CC8" w:rsidRPr="00BB3CC8" w:rsidRDefault="00BB3CC8" w:rsidP="00BB3CC8">
            <w:pPr>
              <w:jc w:val="right"/>
              <w:rPr>
                <w:rFonts w:ascii="Arial" w:hAnsi="Arial" w:cs="Arial"/>
                <w:sz w:val="22"/>
                <w:szCs w:val="22"/>
              </w:rPr>
            </w:pPr>
            <w:r w:rsidRPr="00BB3CC8">
              <w:rPr>
                <w:rFonts w:ascii="Arial" w:hAnsi="Arial" w:cs="Arial"/>
                <w:sz w:val="22"/>
                <w:szCs w:val="22"/>
              </w:rPr>
              <w:t>20.6</w:t>
            </w:r>
          </w:p>
        </w:tc>
        <w:tc>
          <w:tcPr>
            <w:tcW w:w="950" w:type="dxa"/>
            <w:shd w:val="clear" w:color="auto" w:fill="auto"/>
            <w:noWrap/>
          </w:tcPr>
          <w:p w14:paraId="2EDC93EF" w14:textId="27B62306" w:rsidR="00BB3CC8" w:rsidRPr="00BB3CC8" w:rsidRDefault="00BB3CC8" w:rsidP="00BB3CC8">
            <w:pPr>
              <w:jc w:val="right"/>
              <w:rPr>
                <w:rFonts w:ascii="Arial" w:hAnsi="Arial" w:cs="Arial"/>
                <w:sz w:val="22"/>
                <w:szCs w:val="22"/>
              </w:rPr>
            </w:pPr>
            <w:r w:rsidRPr="00BB3CC8">
              <w:rPr>
                <w:rFonts w:ascii="Arial" w:hAnsi="Arial" w:cs="Arial"/>
                <w:sz w:val="22"/>
                <w:szCs w:val="22"/>
              </w:rPr>
              <w:t>23.4</w:t>
            </w:r>
          </w:p>
        </w:tc>
        <w:tc>
          <w:tcPr>
            <w:tcW w:w="892" w:type="dxa"/>
            <w:shd w:val="clear" w:color="auto" w:fill="auto"/>
            <w:noWrap/>
          </w:tcPr>
          <w:p w14:paraId="5F23F257" w14:textId="7D969D3C" w:rsidR="00BB3CC8" w:rsidRPr="00FB2059" w:rsidRDefault="00017AF1" w:rsidP="00BB3CC8">
            <w:pPr>
              <w:jc w:val="right"/>
              <w:rPr>
                <w:rFonts w:ascii="Arial" w:hAnsi="Arial" w:cs="Arial"/>
                <w:b/>
                <w:bCs/>
                <w:sz w:val="22"/>
                <w:szCs w:val="22"/>
              </w:rPr>
            </w:pPr>
            <w:r>
              <w:rPr>
                <w:rFonts w:ascii="Arial" w:hAnsi="Arial" w:cs="Arial"/>
                <w:b/>
                <w:bCs/>
                <w:sz w:val="22"/>
                <w:szCs w:val="22"/>
              </w:rPr>
              <w:t>20.6</w:t>
            </w:r>
          </w:p>
        </w:tc>
        <w:tc>
          <w:tcPr>
            <w:tcW w:w="1020" w:type="dxa"/>
            <w:shd w:val="clear" w:color="auto" w:fill="auto"/>
            <w:noWrap/>
          </w:tcPr>
          <w:p w14:paraId="0114EE7E" w14:textId="24AE2E10" w:rsidR="00BB3CC8" w:rsidRPr="00FB2059" w:rsidRDefault="00A952F4" w:rsidP="00A952F4">
            <w:pPr>
              <w:jc w:val="right"/>
              <w:rPr>
                <w:rFonts w:ascii="Arial" w:hAnsi="Arial" w:cs="Arial"/>
                <w:b/>
                <w:bCs/>
                <w:sz w:val="22"/>
                <w:szCs w:val="22"/>
              </w:rPr>
            </w:pPr>
            <w:r>
              <w:rPr>
                <w:rFonts w:ascii="Arial" w:hAnsi="Arial" w:cs="Arial"/>
                <w:b/>
                <w:bCs/>
                <w:sz w:val="22"/>
                <w:szCs w:val="22"/>
              </w:rPr>
              <w:t>23.4</w:t>
            </w:r>
          </w:p>
        </w:tc>
      </w:tr>
      <w:tr w:rsidR="00BB3CC8" w:rsidRPr="008D1481" w14:paraId="07194C35" w14:textId="77777777" w:rsidTr="00631DB3">
        <w:trPr>
          <w:trHeight w:val="316"/>
          <w:jc w:val="center"/>
        </w:trPr>
        <w:tc>
          <w:tcPr>
            <w:tcW w:w="5382" w:type="dxa"/>
            <w:shd w:val="clear" w:color="auto" w:fill="auto"/>
          </w:tcPr>
          <w:p w14:paraId="778283BF" w14:textId="6CF01C5A" w:rsidR="00BB3CC8" w:rsidRPr="00FB2059" w:rsidRDefault="00BB3CC8" w:rsidP="00BB3CC8">
            <w:pPr>
              <w:ind w:left="27" w:right="-109"/>
              <w:rPr>
                <w:rFonts w:ascii="Arial" w:hAnsi="Arial" w:cs="Arial"/>
                <w:sz w:val="22"/>
                <w:szCs w:val="22"/>
              </w:rPr>
            </w:pPr>
            <w:r>
              <w:rPr>
                <w:rFonts w:ascii="Arial" w:hAnsi="Arial" w:cs="Arial"/>
                <w:sz w:val="22"/>
                <w:szCs w:val="22"/>
              </w:rPr>
              <w:t xml:space="preserve">Retiring in 20 years </w:t>
            </w:r>
          </w:p>
        </w:tc>
        <w:tc>
          <w:tcPr>
            <w:tcW w:w="823" w:type="dxa"/>
            <w:shd w:val="clear" w:color="auto" w:fill="auto"/>
            <w:noWrap/>
          </w:tcPr>
          <w:p w14:paraId="650524A4" w14:textId="3C36CE8F" w:rsidR="00BB3CC8" w:rsidRPr="00BB3CC8" w:rsidRDefault="00BB3CC8" w:rsidP="00BB3CC8">
            <w:pPr>
              <w:jc w:val="right"/>
              <w:rPr>
                <w:rFonts w:ascii="Arial" w:hAnsi="Arial" w:cs="Arial"/>
                <w:sz w:val="22"/>
                <w:szCs w:val="22"/>
              </w:rPr>
            </w:pPr>
            <w:r w:rsidRPr="00BB3CC8">
              <w:rPr>
                <w:rFonts w:ascii="Arial" w:hAnsi="Arial" w:cs="Arial"/>
                <w:sz w:val="22"/>
                <w:szCs w:val="22"/>
              </w:rPr>
              <w:t>21.9</w:t>
            </w:r>
          </w:p>
        </w:tc>
        <w:tc>
          <w:tcPr>
            <w:tcW w:w="950" w:type="dxa"/>
            <w:shd w:val="clear" w:color="auto" w:fill="auto"/>
            <w:noWrap/>
          </w:tcPr>
          <w:p w14:paraId="115B9F8B" w14:textId="7A977373" w:rsidR="00BB3CC8" w:rsidRPr="00BB3CC8" w:rsidRDefault="00BB3CC8" w:rsidP="00BB3CC8">
            <w:pPr>
              <w:jc w:val="right"/>
              <w:rPr>
                <w:rFonts w:ascii="Arial" w:hAnsi="Arial" w:cs="Arial"/>
                <w:sz w:val="22"/>
                <w:szCs w:val="22"/>
              </w:rPr>
            </w:pPr>
            <w:r w:rsidRPr="00BB3CC8">
              <w:rPr>
                <w:rFonts w:ascii="Arial" w:hAnsi="Arial" w:cs="Arial"/>
                <w:sz w:val="22"/>
                <w:szCs w:val="22"/>
              </w:rPr>
              <w:t>24.9</w:t>
            </w:r>
          </w:p>
        </w:tc>
        <w:tc>
          <w:tcPr>
            <w:tcW w:w="892" w:type="dxa"/>
            <w:shd w:val="clear" w:color="auto" w:fill="auto"/>
            <w:noWrap/>
          </w:tcPr>
          <w:p w14:paraId="0304438F" w14:textId="26CC063E" w:rsidR="00BB3CC8" w:rsidRPr="00FB2059" w:rsidRDefault="00A952F4" w:rsidP="00BB3CC8">
            <w:pPr>
              <w:jc w:val="right"/>
              <w:rPr>
                <w:rFonts w:ascii="Arial" w:hAnsi="Arial" w:cs="Arial"/>
                <w:b/>
                <w:bCs/>
                <w:sz w:val="22"/>
                <w:szCs w:val="22"/>
              </w:rPr>
            </w:pPr>
            <w:r>
              <w:rPr>
                <w:rFonts w:ascii="Arial" w:hAnsi="Arial" w:cs="Arial"/>
                <w:b/>
                <w:bCs/>
                <w:sz w:val="22"/>
                <w:szCs w:val="22"/>
              </w:rPr>
              <w:t>21.9</w:t>
            </w:r>
          </w:p>
        </w:tc>
        <w:tc>
          <w:tcPr>
            <w:tcW w:w="1020" w:type="dxa"/>
            <w:shd w:val="clear" w:color="auto" w:fill="auto"/>
            <w:noWrap/>
          </w:tcPr>
          <w:p w14:paraId="55A070EE" w14:textId="2030771E" w:rsidR="00BB3CC8" w:rsidRPr="00FB2059" w:rsidRDefault="00A952F4" w:rsidP="00A952F4">
            <w:pPr>
              <w:jc w:val="right"/>
              <w:rPr>
                <w:rFonts w:ascii="Arial" w:hAnsi="Arial" w:cs="Arial"/>
                <w:b/>
                <w:bCs/>
                <w:sz w:val="22"/>
                <w:szCs w:val="22"/>
              </w:rPr>
            </w:pPr>
            <w:r>
              <w:rPr>
                <w:rFonts w:ascii="Arial" w:hAnsi="Arial" w:cs="Arial"/>
                <w:b/>
                <w:bCs/>
                <w:sz w:val="22"/>
                <w:szCs w:val="22"/>
              </w:rPr>
              <w:t>25.0</w:t>
            </w:r>
          </w:p>
        </w:tc>
      </w:tr>
    </w:tbl>
    <w:p w14:paraId="770B5FF1" w14:textId="77777777" w:rsidR="00D100FE" w:rsidRPr="00F928FC" w:rsidRDefault="00D100FE" w:rsidP="003C45DA">
      <w:pPr>
        <w:spacing w:line="20" w:lineRule="atLeast"/>
        <w:rPr>
          <w:rFonts w:ascii="Arial" w:hAnsi="Arial" w:cs="Arial"/>
          <w:b/>
          <w:sz w:val="22"/>
          <w:szCs w:val="22"/>
        </w:rPr>
      </w:pPr>
    </w:p>
    <w:p w14:paraId="4305A595" w14:textId="77777777" w:rsidR="003C45DA" w:rsidRPr="008A0A4E" w:rsidRDefault="003C45DA" w:rsidP="00FC1536">
      <w:pPr>
        <w:pStyle w:val="ListParagraph"/>
        <w:numPr>
          <w:ilvl w:val="0"/>
          <w:numId w:val="24"/>
        </w:numPr>
        <w:spacing w:line="20" w:lineRule="atLeast"/>
        <w:ind w:left="502"/>
        <w:rPr>
          <w:rFonts w:ascii="Arial" w:hAnsi="Arial" w:cs="Arial"/>
          <w:b/>
        </w:rPr>
      </w:pPr>
      <w:r w:rsidRPr="008A0A4E">
        <w:rPr>
          <w:rFonts w:ascii="Arial" w:hAnsi="Arial" w:cs="Arial"/>
          <w:b/>
        </w:rPr>
        <w:t>Valuation of financial instruments carried at fair value</w:t>
      </w:r>
    </w:p>
    <w:p w14:paraId="4AAE1DC5" w14:textId="3CE6C381" w:rsidR="003C45DA" w:rsidRPr="008A0A4E" w:rsidRDefault="003C45DA" w:rsidP="003C45DA">
      <w:pPr>
        <w:ind w:left="360"/>
        <w:rPr>
          <w:rFonts w:ascii="Arial" w:hAnsi="Arial" w:cs="Arial"/>
          <w:sz w:val="22"/>
          <w:szCs w:val="22"/>
        </w:rPr>
      </w:pPr>
      <w:r w:rsidRPr="008A0A4E">
        <w:rPr>
          <w:rFonts w:ascii="Arial" w:hAnsi="Arial" w:cs="Arial"/>
          <w:sz w:val="22"/>
          <w:szCs w:val="22"/>
        </w:rPr>
        <w:t>The valuation of financial instruments has been classified into three levels, according to the quality and reliability of information used to determine fair values. There were no transfers between levels during 20</w:t>
      </w:r>
      <w:r w:rsidR="00724B95">
        <w:rPr>
          <w:rFonts w:ascii="Arial" w:hAnsi="Arial" w:cs="Arial"/>
          <w:sz w:val="22"/>
          <w:szCs w:val="22"/>
        </w:rPr>
        <w:t>2</w:t>
      </w:r>
      <w:r w:rsidR="00C57C32">
        <w:rPr>
          <w:rFonts w:ascii="Arial" w:hAnsi="Arial" w:cs="Arial"/>
          <w:sz w:val="22"/>
          <w:szCs w:val="22"/>
        </w:rPr>
        <w:t>4</w:t>
      </w:r>
      <w:r w:rsidR="00B1648F">
        <w:rPr>
          <w:rFonts w:ascii="Arial" w:hAnsi="Arial" w:cs="Arial"/>
          <w:sz w:val="22"/>
          <w:szCs w:val="22"/>
        </w:rPr>
        <w:t>/2</w:t>
      </w:r>
      <w:r w:rsidR="00C57C32">
        <w:rPr>
          <w:rFonts w:ascii="Arial" w:hAnsi="Arial" w:cs="Arial"/>
          <w:sz w:val="22"/>
          <w:szCs w:val="22"/>
        </w:rPr>
        <w:t>5</w:t>
      </w:r>
      <w:r w:rsidR="00DC682F" w:rsidRPr="008A0A4E">
        <w:rPr>
          <w:rFonts w:ascii="Arial" w:hAnsi="Arial" w:cs="Arial"/>
          <w:sz w:val="22"/>
          <w:szCs w:val="22"/>
        </w:rPr>
        <w:t xml:space="preserve">. </w:t>
      </w:r>
    </w:p>
    <w:p w14:paraId="14B8E3D6" w14:textId="77777777" w:rsidR="003C45DA" w:rsidRPr="008A0A4E" w:rsidRDefault="003C45DA" w:rsidP="003C45DA">
      <w:pPr>
        <w:rPr>
          <w:rFonts w:ascii="Arial" w:hAnsi="Arial" w:cs="Arial"/>
          <w:sz w:val="22"/>
          <w:szCs w:val="22"/>
        </w:rPr>
      </w:pPr>
    </w:p>
    <w:p w14:paraId="14095758" w14:textId="77777777" w:rsidR="003C45DA" w:rsidRPr="008A0A4E" w:rsidRDefault="003C45DA" w:rsidP="003C45DA">
      <w:pPr>
        <w:ind w:firstLine="360"/>
        <w:rPr>
          <w:rFonts w:ascii="Arial" w:hAnsi="Arial" w:cs="Arial"/>
          <w:b/>
          <w:sz w:val="22"/>
          <w:szCs w:val="22"/>
        </w:rPr>
      </w:pPr>
      <w:r w:rsidRPr="008A0A4E">
        <w:rPr>
          <w:rFonts w:ascii="Arial" w:hAnsi="Arial" w:cs="Arial"/>
          <w:b/>
          <w:sz w:val="22"/>
          <w:szCs w:val="22"/>
        </w:rPr>
        <w:t>Level 1</w:t>
      </w:r>
    </w:p>
    <w:p w14:paraId="57E3E943" w14:textId="516BB772" w:rsidR="003C45DA" w:rsidRPr="00AD3198" w:rsidRDefault="003C45DA" w:rsidP="007A0991">
      <w:pPr>
        <w:ind w:left="360"/>
        <w:jc w:val="both"/>
        <w:rPr>
          <w:rFonts w:ascii="Arial" w:hAnsi="Arial" w:cs="Arial"/>
          <w:sz w:val="22"/>
          <w:szCs w:val="22"/>
        </w:rPr>
      </w:pPr>
      <w:r w:rsidRPr="008A0A4E">
        <w:rPr>
          <w:rFonts w:ascii="Arial" w:hAnsi="Arial" w:cs="Arial"/>
          <w:sz w:val="22"/>
          <w:szCs w:val="22"/>
        </w:rPr>
        <w:t xml:space="preserve">Financial instruments at Level 1 are those where the fair values are derived from unadjusted quoted prices in active markets for identical assets or liabilities.  Products classified as level 1 comprise quoted equities, quoted fixed securities, quoted index linked securities and </w:t>
      </w:r>
      <w:r w:rsidRPr="00AD3198">
        <w:rPr>
          <w:rFonts w:ascii="Arial" w:hAnsi="Arial" w:cs="Arial"/>
          <w:sz w:val="22"/>
          <w:szCs w:val="22"/>
        </w:rPr>
        <w:t>unit trusts.</w:t>
      </w:r>
    </w:p>
    <w:p w14:paraId="5D789218" w14:textId="3A0A7C7A" w:rsidR="003C45DA" w:rsidRDefault="003C45DA" w:rsidP="003C45DA">
      <w:pPr>
        <w:ind w:left="360"/>
        <w:jc w:val="both"/>
        <w:rPr>
          <w:rFonts w:ascii="Arial" w:hAnsi="Arial" w:cs="Arial"/>
          <w:b/>
          <w:sz w:val="22"/>
          <w:szCs w:val="22"/>
        </w:rPr>
      </w:pPr>
      <w:r w:rsidRPr="00AD3198">
        <w:rPr>
          <w:rFonts w:ascii="Arial" w:hAnsi="Arial" w:cs="Arial"/>
          <w:sz w:val="22"/>
          <w:szCs w:val="22"/>
        </w:rPr>
        <w:t xml:space="preserve">Listed investments are shown as bid prices.  The bid value of the investment is based on the bid market quotation of the relevant stock exchange. The total financial instruments held by the Fund </w:t>
      </w:r>
      <w:r w:rsidRPr="00D42D61">
        <w:rPr>
          <w:rFonts w:ascii="Arial" w:hAnsi="Arial" w:cs="Arial"/>
          <w:sz w:val="22"/>
          <w:szCs w:val="22"/>
        </w:rPr>
        <w:t>at</w:t>
      </w:r>
      <w:r w:rsidRPr="00D42D61">
        <w:rPr>
          <w:rFonts w:ascii="Arial" w:hAnsi="Arial" w:cs="Arial"/>
          <w:b/>
          <w:sz w:val="22"/>
          <w:szCs w:val="22"/>
        </w:rPr>
        <w:t xml:space="preserve"> Level 1 </w:t>
      </w:r>
      <w:r w:rsidRPr="007910BE">
        <w:rPr>
          <w:rFonts w:ascii="Arial" w:hAnsi="Arial" w:cs="Arial"/>
          <w:b/>
          <w:sz w:val="22"/>
          <w:szCs w:val="22"/>
        </w:rPr>
        <w:t>were £</w:t>
      </w:r>
      <w:r w:rsidR="007910BE" w:rsidRPr="00867764">
        <w:rPr>
          <w:rFonts w:ascii="Arial" w:hAnsi="Arial" w:cs="Arial"/>
          <w:b/>
          <w:sz w:val="22"/>
          <w:szCs w:val="22"/>
        </w:rPr>
        <w:t>745.4m.</w:t>
      </w:r>
    </w:p>
    <w:p w14:paraId="0029BA28" w14:textId="77777777" w:rsidR="00DA2E0A" w:rsidRDefault="00DA2E0A" w:rsidP="003C45DA">
      <w:pPr>
        <w:ind w:left="360"/>
        <w:jc w:val="both"/>
        <w:rPr>
          <w:rFonts w:ascii="Arial" w:hAnsi="Arial" w:cs="Arial"/>
          <w:b/>
          <w:sz w:val="22"/>
          <w:szCs w:val="22"/>
        </w:rPr>
      </w:pPr>
    </w:p>
    <w:p w14:paraId="38CC70FB" w14:textId="77777777" w:rsidR="003C45DA" w:rsidRPr="00AD3198" w:rsidRDefault="003C45DA" w:rsidP="003C45DA">
      <w:pPr>
        <w:ind w:firstLine="360"/>
        <w:rPr>
          <w:rFonts w:ascii="Arial" w:hAnsi="Arial" w:cs="Arial"/>
          <w:b/>
          <w:sz w:val="22"/>
          <w:szCs w:val="22"/>
        </w:rPr>
      </w:pPr>
      <w:r w:rsidRPr="00AD3198">
        <w:rPr>
          <w:rFonts w:ascii="Arial" w:hAnsi="Arial" w:cs="Arial"/>
          <w:b/>
          <w:sz w:val="22"/>
          <w:szCs w:val="22"/>
        </w:rPr>
        <w:t>Level 2</w:t>
      </w:r>
    </w:p>
    <w:p w14:paraId="161721A1" w14:textId="4DBAA97F" w:rsidR="003C45DA" w:rsidRPr="00AD3198" w:rsidRDefault="003C45DA" w:rsidP="003C45DA">
      <w:pPr>
        <w:ind w:left="360"/>
        <w:jc w:val="both"/>
        <w:rPr>
          <w:rFonts w:ascii="Arial" w:hAnsi="Arial" w:cs="Arial"/>
          <w:b/>
          <w:sz w:val="22"/>
          <w:szCs w:val="22"/>
        </w:rPr>
      </w:pPr>
      <w:r w:rsidRPr="00AD3198">
        <w:rPr>
          <w:rFonts w:ascii="Arial" w:hAnsi="Arial" w:cs="Arial"/>
          <w:sz w:val="22"/>
          <w:szCs w:val="22"/>
        </w:rPr>
        <w:t xml:space="preserve">Financial instruments at Level 2 are those where quoted market prices are not available, for example, where an instrument is traded in a market that is not considered to be active, or where valuation techniques use inputs that are based </w:t>
      </w:r>
      <w:r w:rsidRPr="00E54F4F">
        <w:rPr>
          <w:rFonts w:ascii="Arial" w:hAnsi="Arial" w:cs="Arial"/>
          <w:sz w:val="22"/>
          <w:szCs w:val="22"/>
        </w:rPr>
        <w:t>significantly on observable market data</w:t>
      </w:r>
      <w:r w:rsidR="00E82E9F" w:rsidRPr="00E54F4F">
        <w:rPr>
          <w:rFonts w:ascii="Arial" w:hAnsi="Arial" w:cs="Arial"/>
          <w:sz w:val="22"/>
          <w:szCs w:val="22"/>
        </w:rPr>
        <w:t xml:space="preserve">. </w:t>
      </w:r>
      <w:r w:rsidR="0052358C" w:rsidRPr="00E54F4F">
        <w:rPr>
          <w:rFonts w:ascii="Arial" w:hAnsi="Arial" w:cs="Arial"/>
          <w:sz w:val="22"/>
          <w:szCs w:val="22"/>
        </w:rPr>
        <w:t xml:space="preserve">Pending </w:t>
      </w:r>
      <w:r w:rsidR="007A0C70" w:rsidRPr="00E54F4F">
        <w:rPr>
          <w:rFonts w:ascii="Arial" w:hAnsi="Arial" w:cs="Arial"/>
          <w:sz w:val="22"/>
          <w:szCs w:val="22"/>
        </w:rPr>
        <w:t>t</w:t>
      </w:r>
      <w:r w:rsidR="0052358C" w:rsidRPr="00E54F4F">
        <w:rPr>
          <w:rFonts w:ascii="Arial" w:hAnsi="Arial" w:cs="Arial"/>
          <w:sz w:val="22"/>
          <w:szCs w:val="22"/>
        </w:rPr>
        <w:t xml:space="preserve">rade </w:t>
      </w:r>
      <w:r w:rsidR="007A0C70" w:rsidRPr="00E54F4F">
        <w:rPr>
          <w:rFonts w:ascii="Arial" w:hAnsi="Arial" w:cs="Arial"/>
          <w:sz w:val="22"/>
          <w:szCs w:val="22"/>
        </w:rPr>
        <w:t>s</w:t>
      </w:r>
      <w:r w:rsidR="0052358C" w:rsidRPr="00E54F4F">
        <w:rPr>
          <w:rFonts w:ascii="Arial" w:hAnsi="Arial" w:cs="Arial"/>
          <w:sz w:val="22"/>
          <w:szCs w:val="22"/>
        </w:rPr>
        <w:t xml:space="preserve">ales from the </w:t>
      </w:r>
      <w:r w:rsidR="00A03138" w:rsidRPr="00E54F4F">
        <w:rPr>
          <w:rFonts w:ascii="Arial" w:hAnsi="Arial" w:cs="Arial"/>
          <w:sz w:val="22"/>
          <w:szCs w:val="22"/>
        </w:rPr>
        <w:t xml:space="preserve">funds </w:t>
      </w:r>
      <w:r w:rsidR="005E67FE" w:rsidRPr="00E54F4F">
        <w:rPr>
          <w:rFonts w:ascii="Arial" w:hAnsi="Arial" w:cs="Arial"/>
          <w:sz w:val="22"/>
          <w:szCs w:val="22"/>
        </w:rPr>
        <w:t xml:space="preserve">pooled alternative </w:t>
      </w:r>
      <w:r w:rsidR="00C33F63" w:rsidRPr="00E54F4F">
        <w:rPr>
          <w:rFonts w:ascii="Arial" w:hAnsi="Arial" w:cs="Arial"/>
          <w:sz w:val="22"/>
          <w:szCs w:val="22"/>
        </w:rPr>
        <w:t>manager</w:t>
      </w:r>
      <w:r w:rsidR="005E67FE" w:rsidRPr="00E54F4F">
        <w:rPr>
          <w:rFonts w:ascii="Arial" w:hAnsi="Arial" w:cs="Arial"/>
          <w:sz w:val="22"/>
          <w:szCs w:val="22"/>
        </w:rPr>
        <w:t xml:space="preserve"> has been classified </w:t>
      </w:r>
      <w:r w:rsidR="00C33F63" w:rsidRPr="00E54F4F">
        <w:rPr>
          <w:rFonts w:ascii="Arial" w:hAnsi="Arial" w:cs="Arial"/>
          <w:sz w:val="22"/>
          <w:szCs w:val="22"/>
        </w:rPr>
        <w:t xml:space="preserve">as Level 2. </w:t>
      </w:r>
      <w:r w:rsidRPr="00E54F4F">
        <w:rPr>
          <w:rFonts w:ascii="Arial" w:eastAsia="Calibri" w:hAnsi="Arial" w:cs="Arial"/>
          <w:sz w:val="22"/>
          <w:szCs w:val="22"/>
          <w:lang w:eastAsia="en-US"/>
        </w:rPr>
        <w:t xml:space="preserve">The </w:t>
      </w:r>
      <w:r w:rsidR="004B2672" w:rsidRPr="00E54F4F">
        <w:rPr>
          <w:rFonts w:ascii="Arial" w:eastAsia="Calibri" w:hAnsi="Arial" w:cs="Arial"/>
          <w:sz w:val="22"/>
          <w:szCs w:val="22"/>
          <w:lang w:eastAsia="en-US"/>
        </w:rPr>
        <w:t xml:space="preserve">total </w:t>
      </w:r>
      <w:r w:rsidR="00C7650B" w:rsidRPr="00E54F4F">
        <w:rPr>
          <w:rFonts w:ascii="Arial" w:eastAsia="Calibri" w:hAnsi="Arial" w:cs="Arial"/>
          <w:sz w:val="22"/>
          <w:szCs w:val="22"/>
          <w:lang w:eastAsia="en-US"/>
        </w:rPr>
        <w:t>financial instruments held by the fund</w:t>
      </w:r>
      <w:r w:rsidR="00DD0AA4" w:rsidRPr="00E54F4F">
        <w:rPr>
          <w:rFonts w:ascii="Arial" w:eastAsia="Calibri" w:hAnsi="Arial" w:cs="Arial"/>
          <w:sz w:val="22"/>
          <w:szCs w:val="22"/>
          <w:lang w:eastAsia="en-US"/>
        </w:rPr>
        <w:t xml:space="preserve"> at </w:t>
      </w:r>
      <w:r w:rsidR="00DD0AA4" w:rsidRPr="00E54F4F">
        <w:rPr>
          <w:rFonts w:ascii="Arial" w:eastAsia="Calibri" w:hAnsi="Arial" w:cs="Arial"/>
          <w:b/>
          <w:bCs/>
          <w:sz w:val="22"/>
          <w:szCs w:val="22"/>
          <w:lang w:eastAsia="en-US"/>
        </w:rPr>
        <w:t xml:space="preserve">Level 2 </w:t>
      </w:r>
      <w:r w:rsidR="00DD0AA4" w:rsidRPr="00303A4F">
        <w:rPr>
          <w:rFonts w:ascii="Arial" w:eastAsia="Calibri" w:hAnsi="Arial" w:cs="Arial"/>
          <w:b/>
          <w:bCs/>
          <w:sz w:val="22"/>
          <w:szCs w:val="22"/>
          <w:lang w:eastAsia="en-US"/>
        </w:rPr>
        <w:t>w</w:t>
      </w:r>
      <w:r w:rsidR="009413A2" w:rsidRPr="00303A4F">
        <w:rPr>
          <w:rFonts w:ascii="Arial" w:eastAsia="Calibri" w:hAnsi="Arial" w:cs="Arial"/>
          <w:b/>
          <w:bCs/>
          <w:sz w:val="22"/>
          <w:szCs w:val="22"/>
          <w:lang w:eastAsia="en-US"/>
        </w:rPr>
        <w:t xml:space="preserve">as </w:t>
      </w:r>
      <w:r w:rsidR="00B5202E" w:rsidRPr="007910BE">
        <w:rPr>
          <w:rFonts w:ascii="Arial" w:hAnsi="Arial" w:cs="Arial"/>
          <w:b/>
          <w:sz w:val="22"/>
          <w:szCs w:val="22"/>
        </w:rPr>
        <w:t>£</w:t>
      </w:r>
      <w:r w:rsidR="00B01DB1" w:rsidRPr="00B5202E">
        <w:rPr>
          <w:rFonts w:ascii="Arial" w:eastAsia="Calibri" w:hAnsi="Arial" w:cs="Arial"/>
          <w:b/>
          <w:bCs/>
          <w:sz w:val="22"/>
          <w:szCs w:val="22"/>
          <w:lang w:eastAsia="en-US"/>
        </w:rPr>
        <w:t>4</w:t>
      </w:r>
      <w:r w:rsidR="00303A4F" w:rsidRPr="00B5202E">
        <w:rPr>
          <w:rFonts w:ascii="Arial" w:eastAsia="Calibri" w:hAnsi="Arial" w:cs="Arial"/>
          <w:b/>
          <w:bCs/>
          <w:sz w:val="22"/>
          <w:szCs w:val="22"/>
          <w:lang w:eastAsia="en-US"/>
        </w:rPr>
        <w:t>51</w:t>
      </w:r>
      <w:r w:rsidR="00B01DB1" w:rsidRPr="00B5202E">
        <w:rPr>
          <w:rFonts w:ascii="Arial" w:eastAsia="Calibri" w:hAnsi="Arial" w:cs="Arial"/>
          <w:b/>
          <w:bCs/>
          <w:sz w:val="22"/>
          <w:szCs w:val="22"/>
          <w:lang w:eastAsia="en-US"/>
        </w:rPr>
        <w:t>.</w:t>
      </w:r>
      <w:r w:rsidR="00303A4F" w:rsidRPr="00B5202E">
        <w:rPr>
          <w:rFonts w:ascii="Arial" w:eastAsia="Calibri" w:hAnsi="Arial" w:cs="Arial"/>
          <w:b/>
          <w:bCs/>
          <w:sz w:val="22"/>
          <w:szCs w:val="22"/>
          <w:lang w:eastAsia="en-US"/>
        </w:rPr>
        <w:t>9</w:t>
      </w:r>
      <w:r w:rsidR="00917D99" w:rsidRPr="00B5202E">
        <w:rPr>
          <w:rFonts w:ascii="Arial" w:eastAsia="Calibri" w:hAnsi="Arial" w:cs="Arial"/>
          <w:b/>
          <w:bCs/>
          <w:sz w:val="22"/>
          <w:szCs w:val="22"/>
          <w:lang w:eastAsia="en-US"/>
        </w:rPr>
        <w:t>m</w:t>
      </w:r>
      <w:r w:rsidR="009473A1" w:rsidRPr="00B5202E">
        <w:rPr>
          <w:rFonts w:ascii="Arial" w:eastAsia="Calibri" w:hAnsi="Arial" w:cs="Arial"/>
          <w:b/>
          <w:bCs/>
          <w:sz w:val="22"/>
          <w:szCs w:val="22"/>
          <w:lang w:eastAsia="en-US"/>
        </w:rPr>
        <w:t>.</w:t>
      </w:r>
    </w:p>
    <w:p w14:paraId="1071EC2B" w14:textId="77777777" w:rsidR="003C45DA" w:rsidRPr="00AD3198" w:rsidRDefault="003C45DA" w:rsidP="003C45DA">
      <w:pPr>
        <w:ind w:firstLine="360"/>
        <w:rPr>
          <w:rFonts w:ascii="Arial" w:hAnsi="Arial" w:cs="Arial"/>
          <w:b/>
          <w:sz w:val="22"/>
          <w:szCs w:val="22"/>
        </w:rPr>
      </w:pPr>
    </w:p>
    <w:p w14:paraId="7D7DD674" w14:textId="77777777" w:rsidR="003C45DA" w:rsidRPr="00AD3198" w:rsidRDefault="003C45DA" w:rsidP="003C45DA">
      <w:pPr>
        <w:ind w:firstLine="360"/>
        <w:rPr>
          <w:rFonts w:ascii="Arial" w:hAnsi="Arial" w:cs="Arial"/>
          <w:b/>
          <w:sz w:val="22"/>
          <w:szCs w:val="22"/>
        </w:rPr>
      </w:pPr>
      <w:r w:rsidRPr="00AD3198">
        <w:rPr>
          <w:rFonts w:ascii="Arial" w:hAnsi="Arial" w:cs="Arial"/>
          <w:b/>
          <w:sz w:val="22"/>
          <w:szCs w:val="22"/>
        </w:rPr>
        <w:t xml:space="preserve">Level 3 </w:t>
      </w:r>
    </w:p>
    <w:p w14:paraId="5F99201E" w14:textId="77777777" w:rsidR="003C45DA" w:rsidRPr="00AD3198" w:rsidRDefault="003C45DA" w:rsidP="003C45DA">
      <w:pPr>
        <w:ind w:left="360"/>
        <w:jc w:val="both"/>
        <w:rPr>
          <w:rFonts w:ascii="Arial" w:hAnsi="Arial" w:cs="Arial"/>
          <w:b/>
          <w:i/>
          <w:sz w:val="22"/>
          <w:szCs w:val="22"/>
        </w:rPr>
      </w:pPr>
      <w:r w:rsidRPr="00AD3198">
        <w:rPr>
          <w:rFonts w:ascii="Arial" w:hAnsi="Arial" w:cs="Arial"/>
          <w:sz w:val="22"/>
          <w:szCs w:val="22"/>
        </w:rPr>
        <w:t xml:space="preserve">Financial instruments at Level 3 are those where at least one input could have a significant effect on the instrument’s valuation is not based on observable market data. </w:t>
      </w:r>
    </w:p>
    <w:p w14:paraId="10720208" w14:textId="77777777" w:rsidR="003C45DA" w:rsidRPr="00AD3198" w:rsidRDefault="003C45DA" w:rsidP="003C45DA">
      <w:pPr>
        <w:jc w:val="both"/>
        <w:rPr>
          <w:rFonts w:ascii="Arial" w:hAnsi="Arial" w:cs="Arial"/>
          <w:sz w:val="22"/>
          <w:szCs w:val="22"/>
        </w:rPr>
      </w:pPr>
    </w:p>
    <w:p w14:paraId="00C4AC4D" w14:textId="77777777" w:rsidR="003C45DA" w:rsidRPr="00AD3198" w:rsidRDefault="003C45DA" w:rsidP="003C45DA">
      <w:pPr>
        <w:ind w:left="360"/>
        <w:jc w:val="both"/>
        <w:rPr>
          <w:rFonts w:ascii="Arial" w:hAnsi="Arial" w:cs="Arial"/>
          <w:sz w:val="22"/>
          <w:szCs w:val="22"/>
        </w:rPr>
      </w:pPr>
      <w:r w:rsidRPr="00AD3198">
        <w:rPr>
          <w:rFonts w:ascii="Arial" w:hAnsi="Arial" w:cs="Arial"/>
          <w:sz w:val="22"/>
          <w:szCs w:val="22"/>
        </w:rPr>
        <w:t>Such instruments would include unquoted equity investments and hedge fund or funds, which are valued using various valuation techniques that require significant judgement in determining appropriate assumptions. The Fund’s infrastructure manager has been classified as level 3 as valuations are based on a variety of assumptions and the assets held do not have a readily identifiable market.</w:t>
      </w:r>
    </w:p>
    <w:p w14:paraId="1412ACB7" w14:textId="77777777" w:rsidR="003C45DA" w:rsidRPr="00AD3198" w:rsidRDefault="003C45DA" w:rsidP="003C45DA">
      <w:pPr>
        <w:ind w:left="360"/>
        <w:jc w:val="both"/>
        <w:rPr>
          <w:rFonts w:ascii="Arial" w:hAnsi="Arial" w:cs="Arial"/>
          <w:sz w:val="22"/>
          <w:szCs w:val="22"/>
        </w:rPr>
      </w:pPr>
    </w:p>
    <w:p w14:paraId="0C6076A8" w14:textId="0C4D8E29" w:rsidR="002D629E" w:rsidRDefault="003C45DA" w:rsidP="00922ED5">
      <w:pPr>
        <w:ind w:left="360"/>
        <w:jc w:val="both"/>
        <w:rPr>
          <w:rFonts w:ascii="Arial" w:hAnsi="Arial" w:cs="Arial"/>
          <w:b/>
          <w:sz w:val="22"/>
          <w:szCs w:val="22"/>
        </w:rPr>
      </w:pPr>
      <w:r w:rsidRPr="00AD3198">
        <w:rPr>
          <w:rFonts w:ascii="Arial" w:hAnsi="Arial" w:cs="Arial"/>
          <w:color w:val="000000"/>
          <w:sz w:val="22"/>
          <w:szCs w:val="22"/>
        </w:rPr>
        <w:t xml:space="preserve">The values of the investment in infrastructure </w:t>
      </w:r>
      <w:proofErr w:type="gramStart"/>
      <w:r w:rsidR="0074641F" w:rsidRPr="00AD3198">
        <w:rPr>
          <w:rFonts w:ascii="Arial" w:hAnsi="Arial" w:cs="Arial"/>
          <w:color w:val="000000"/>
          <w:sz w:val="22"/>
          <w:szCs w:val="22"/>
        </w:rPr>
        <w:t>is</w:t>
      </w:r>
      <w:proofErr w:type="gramEnd"/>
      <w:r w:rsidRPr="00AD3198">
        <w:rPr>
          <w:rFonts w:ascii="Arial" w:hAnsi="Arial" w:cs="Arial"/>
          <w:color w:val="000000"/>
          <w:sz w:val="22"/>
          <w:szCs w:val="22"/>
        </w:rPr>
        <w:t xml:space="preserve"> based on the net asset value provided by the fund manager. Assurances over the valuation are </w:t>
      </w:r>
      <w:r w:rsidRPr="0073236A">
        <w:rPr>
          <w:rFonts w:ascii="Arial" w:hAnsi="Arial" w:cs="Arial"/>
          <w:color w:val="000000"/>
          <w:sz w:val="22"/>
          <w:szCs w:val="22"/>
        </w:rPr>
        <w:t xml:space="preserve">gained from the independent audit of the value. </w:t>
      </w:r>
      <w:r w:rsidRPr="0073236A">
        <w:rPr>
          <w:rFonts w:ascii="Arial" w:hAnsi="Arial" w:cs="Arial"/>
          <w:sz w:val="22"/>
          <w:szCs w:val="22"/>
        </w:rPr>
        <w:t xml:space="preserve">The total financial instruments held by the Fund at </w:t>
      </w:r>
      <w:r w:rsidRPr="0073236A">
        <w:rPr>
          <w:rFonts w:ascii="Arial" w:hAnsi="Arial" w:cs="Arial"/>
          <w:b/>
          <w:sz w:val="22"/>
          <w:szCs w:val="22"/>
        </w:rPr>
        <w:t>Level 3 were £</w:t>
      </w:r>
      <w:r w:rsidR="00B5202E">
        <w:rPr>
          <w:rFonts w:ascii="Arial" w:hAnsi="Arial" w:cs="Arial"/>
          <w:b/>
          <w:sz w:val="22"/>
          <w:szCs w:val="22"/>
        </w:rPr>
        <w:t>313.8</w:t>
      </w:r>
      <w:r w:rsidRPr="0073236A">
        <w:rPr>
          <w:rFonts w:ascii="Arial" w:hAnsi="Arial" w:cs="Arial"/>
          <w:b/>
          <w:sz w:val="22"/>
          <w:szCs w:val="22"/>
        </w:rPr>
        <w:t>m.</w:t>
      </w:r>
    </w:p>
    <w:p w14:paraId="0735B58C" w14:textId="77777777" w:rsidR="002D629E" w:rsidRDefault="002D629E" w:rsidP="006739B1">
      <w:pPr>
        <w:jc w:val="both"/>
        <w:rPr>
          <w:rFonts w:ascii="Arial" w:hAnsi="Arial" w:cs="Arial"/>
          <w:b/>
          <w:sz w:val="22"/>
          <w:szCs w:val="22"/>
        </w:rPr>
      </w:pPr>
    </w:p>
    <w:p w14:paraId="2AAF68D0" w14:textId="77777777" w:rsidR="00386157" w:rsidRDefault="00386157" w:rsidP="006739B1">
      <w:pPr>
        <w:jc w:val="both"/>
        <w:rPr>
          <w:rFonts w:ascii="Arial" w:hAnsi="Arial" w:cs="Arial"/>
          <w:b/>
          <w:sz w:val="22"/>
          <w:szCs w:val="22"/>
        </w:rPr>
      </w:pPr>
    </w:p>
    <w:p w14:paraId="6A41AC86" w14:textId="4F9390A8" w:rsidR="003C45DA" w:rsidRDefault="003C45DA" w:rsidP="00901A51">
      <w:pPr>
        <w:ind w:left="360"/>
        <w:jc w:val="both"/>
        <w:rPr>
          <w:rFonts w:ascii="Arial" w:hAnsi="Arial" w:cs="Arial"/>
          <w:b/>
          <w:sz w:val="22"/>
          <w:szCs w:val="22"/>
        </w:rPr>
      </w:pPr>
      <w:r w:rsidRPr="008A0A4E">
        <w:rPr>
          <w:rFonts w:ascii="Arial" w:hAnsi="Arial" w:cs="Arial"/>
          <w:b/>
          <w:sz w:val="22"/>
          <w:szCs w:val="22"/>
        </w:rPr>
        <w:t>Asset Valuation Hierarchy and Basis of Valuation</w:t>
      </w:r>
    </w:p>
    <w:p w14:paraId="3EE132C3" w14:textId="77777777" w:rsidR="00D94BB1" w:rsidRDefault="00D94BB1" w:rsidP="00901A51">
      <w:pPr>
        <w:ind w:left="360"/>
        <w:jc w:val="both"/>
        <w:rPr>
          <w:rFonts w:ascii="Arial" w:hAnsi="Arial" w:cs="Arial"/>
          <w:b/>
          <w:sz w:val="22"/>
          <w:szCs w:val="22"/>
        </w:rPr>
      </w:pPr>
    </w:p>
    <w:tbl>
      <w:tblPr>
        <w:tblW w:w="9245" w:type="dxa"/>
        <w:jc w:val="center"/>
        <w:tblLook w:val="04A0" w:firstRow="1" w:lastRow="0" w:firstColumn="1" w:lastColumn="0" w:noHBand="0" w:noVBand="1"/>
      </w:tblPr>
      <w:tblGrid>
        <w:gridCol w:w="1872"/>
        <w:gridCol w:w="1141"/>
        <w:gridCol w:w="3684"/>
        <w:gridCol w:w="2548"/>
      </w:tblGrid>
      <w:tr w:rsidR="003C45DA" w:rsidRPr="004D3513" w14:paraId="4A7C0A08" w14:textId="77777777" w:rsidTr="004D3513">
        <w:trPr>
          <w:trHeight w:val="590"/>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7408"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Description of asset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8645191"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Valuation hierarchy</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5B99E87D"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Basis of valuation</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3A78E1D2"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Observable and unobservable</w:t>
            </w:r>
            <w:r w:rsidRPr="004D3513">
              <w:rPr>
                <w:rFonts w:ascii="Arial" w:hAnsi="Arial" w:cs="Arial"/>
                <w:b/>
                <w:bCs/>
                <w:color w:val="000000"/>
                <w:sz w:val="20"/>
                <w:szCs w:val="20"/>
              </w:rPr>
              <w:br/>
              <w:t>inputs</w:t>
            </w:r>
          </w:p>
        </w:tc>
      </w:tr>
      <w:tr w:rsidR="003C45DA" w:rsidRPr="004D3513" w14:paraId="5B966CEB" w14:textId="77777777" w:rsidTr="004D3513">
        <w:trPr>
          <w:trHeight w:val="349"/>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1399BF75" w14:textId="2544EE08"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Fixed Income </w:t>
            </w:r>
          </w:p>
        </w:tc>
        <w:tc>
          <w:tcPr>
            <w:tcW w:w="1141" w:type="dxa"/>
            <w:tcBorders>
              <w:top w:val="nil"/>
              <w:left w:val="nil"/>
              <w:bottom w:val="single" w:sz="4" w:space="0" w:color="auto"/>
              <w:right w:val="single" w:sz="4" w:space="0" w:color="auto"/>
            </w:tcBorders>
            <w:shd w:val="clear" w:color="auto" w:fill="auto"/>
            <w:vAlign w:val="bottom"/>
            <w:hideMark/>
          </w:tcPr>
          <w:p w14:paraId="0C52AA39"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5A590175"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Published bid market price ruling on the final day of the accounting period</w:t>
            </w:r>
          </w:p>
        </w:tc>
        <w:tc>
          <w:tcPr>
            <w:tcW w:w="2548" w:type="dxa"/>
            <w:tcBorders>
              <w:top w:val="nil"/>
              <w:left w:val="nil"/>
              <w:bottom w:val="single" w:sz="4" w:space="0" w:color="auto"/>
              <w:right w:val="single" w:sz="4" w:space="0" w:color="auto"/>
            </w:tcBorders>
            <w:shd w:val="clear" w:color="auto" w:fill="auto"/>
            <w:vAlign w:val="bottom"/>
            <w:hideMark/>
          </w:tcPr>
          <w:p w14:paraId="2399BA8D"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3C45DA" w:rsidRPr="004D3513" w14:paraId="54D62DF4" w14:textId="77777777" w:rsidTr="004D3513">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4DD47F7" w14:textId="2AD0F020"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Equit</w:t>
            </w:r>
            <w:r w:rsidR="00992FFA">
              <w:rPr>
                <w:rFonts w:ascii="Arial" w:hAnsi="Arial" w:cs="Arial"/>
                <w:color w:val="000000"/>
                <w:sz w:val="20"/>
                <w:szCs w:val="20"/>
              </w:rPr>
              <w:t>ies</w:t>
            </w:r>
          </w:p>
        </w:tc>
        <w:tc>
          <w:tcPr>
            <w:tcW w:w="1141" w:type="dxa"/>
            <w:tcBorders>
              <w:top w:val="nil"/>
              <w:left w:val="nil"/>
              <w:bottom w:val="single" w:sz="4" w:space="0" w:color="auto"/>
              <w:right w:val="single" w:sz="4" w:space="0" w:color="auto"/>
            </w:tcBorders>
            <w:shd w:val="clear" w:color="auto" w:fill="auto"/>
            <w:vAlign w:val="bottom"/>
            <w:hideMark/>
          </w:tcPr>
          <w:p w14:paraId="281EAB58"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3BA015ED"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Market value based on current yields</w:t>
            </w:r>
          </w:p>
        </w:tc>
        <w:tc>
          <w:tcPr>
            <w:tcW w:w="2548" w:type="dxa"/>
            <w:tcBorders>
              <w:top w:val="nil"/>
              <w:left w:val="nil"/>
              <w:bottom w:val="single" w:sz="4" w:space="0" w:color="auto"/>
              <w:right w:val="single" w:sz="4" w:space="0" w:color="auto"/>
            </w:tcBorders>
            <w:shd w:val="clear" w:color="auto" w:fill="auto"/>
            <w:vAlign w:val="bottom"/>
            <w:hideMark/>
          </w:tcPr>
          <w:p w14:paraId="0775FF77"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3C45DA" w:rsidRPr="004D3513" w14:paraId="55BD2EC3" w14:textId="77777777" w:rsidTr="004D3513">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7ADCC8C" w14:textId="71434221"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Absolute Return</w:t>
            </w:r>
          </w:p>
        </w:tc>
        <w:tc>
          <w:tcPr>
            <w:tcW w:w="1141" w:type="dxa"/>
            <w:tcBorders>
              <w:top w:val="nil"/>
              <w:left w:val="nil"/>
              <w:bottom w:val="single" w:sz="4" w:space="0" w:color="auto"/>
              <w:right w:val="single" w:sz="4" w:space="0" w:color="auto"/>
            </w:tcBorders>
            <w:shd w:val="clear" w:color="auto" w:fill="auto"/>
            <w:vAlign w:val="bottom"/>
            <w:hideMark/>
          </w:tcPr>
          <w:p w14:paraId="218CE7B6"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35A1E438"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Closing bid value on published exchanges</w:t>
            </w:r>
          </w:p>
        </w:tc>
        <w:tc>
          <w:tcPr>
            <w:tcW w:w="2548" w:type="dxa"/>
            <w:tcBorders>
              <w:top w:val="nil"/>
              <w:left w:val="nil"/>
              <w:bottom w:val="single" w:sz="4" w:space="0" w:color="auto"/>
              <w:right w:val="single" w:sz="4" w:space="0" w:color="auto"/>
            </w:tcBorders>
            <w:shd w:val="clear" w:color="auto" w:fill="auto"/>
            <w:vAlign w:val="bottom"/>
            <w:hideMark/>
          </w:tcPr>
          <w:p w14:paraId="1EBD0D8A"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522412" w:rsidRPr="004D3513" w14:paraId="647EE039" w14:textId="77777777" w:rsidTr="004D3513">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tcPr>
          <w:p w14:paraId="7C695FAE" w14:textId="2C81B96C" w:rsidR="00522412" w:rsidRPr="0030555A" w:rsidRDefault="00306674" w:rsidP="00DF3ECC">
            <w:pPr>
              <w:rPr>
                <w:rFonts w:ascii="Arial" w:hAnsi="Arial" w:cs="Arial"/>
                <w:color w:val="000000"/>
                <w:sz w:val="20"/>
                <w:szCs w:val="20"/>
              </w:rPr>
            </w:pPr>
            <w:r w:rsidRPr="0030555A">
              <w:rPr>
                <w:rFonts w:ascii="Arial" w:hAnsi="Arial" w:cs="Arial"/>
                <w:color w:val="000000"/>
                <w:sz w:val="20"/>
                <w:szCs w:val="20"/>
              </w:rPr>
              <w:t>Pending Trade Sale</w:t>
            </w:r>
          </w:p>
        </w:tc>
        <w:tc>
          <w:tcPr>
            <w:tcW w:w="1141" w:type="dxa"/>
            <w:tcBorders>
              <w:top w:val="nil"/>
              <w:left w:val="nil"/>
              <w:bottom w:val="single" w:sz="4" w:space="0" w:color="auto"/>
              <w:right w:val="single" w:sz="4" w:space="0" w:color="auto"/>
            </w:tcBorders>
            <w:shd w:val="clear" w:color="auto" w:fill="auto"/>
            <w:vAlign w:val="bottom"/>
          </w:tcPr>
          <w:p w14:paraId="71888195" w14:textId="660EA617" w:rsidR="00522412" w:rsidRPr="0030555A" w:rsidRDefault="00522412" w:rsidP="00D100FE">
            <w:pPr>
              <w:jc w:val="center"/>
              <w:rPr>
                <w:rFonts w:ascii="Arial" w:hAnsi="Arial" w:cs="Arial"/>
                <w:color w:val="000000"/>
                <w:sz w:val="20"/>
                <w:szCs w:val="20"/>
              </w:rPr>
            </w:pPr>
            <w:r w:rsidRPr="0030555A">
              <w:rPr>
                <w:rFonts w:ascii="Arial" w:hAnsi="Arial" w:cs="Arial"/>
                <w:color w:val="000000"/>
                <w:sz w:val="20"/>
                <w:szCs w:val="20"/>
              </w:rPr>
              <w:t>Level 2</w:t>
            </w:r>
          </w:p>
        </w:tc>
        <w:tc>
          <w:tcPr>
            <w:tcW w:w="3684" w:type="dxa"/>
            <w:tcBorders>
              <w:top w:val="nil"/>
              <w:left w:val="nil"/>
              <w:bottom w:val="single" w:sz="4" w:space="0" w:color="auto"/>
              <w:right w:val="single" w:sz="4" w:space="0" w:color="auto"/>
            </w:tcBorders>
            <w:shd w:val="clear" w:color="auto" w:fill="auto"/>
            <w:vAlign w:val="bottom"/>
          </w:tcPr>
          <w:p w14:paraId="1CE021C0" w14:textId="20178F5F" w:rsidR="00522412" w:rsidRPr="0030555A" w:rsidRDefault="008B72E4" w:rsidP="00DF3ECC">
            <w:pPr>
              <w:rPr>
                <w:rFonts w:ascii="Arial" w:hAnsi="Arial" w:cs="Arial"/>
                <w:color w:val="000000"/>
                <w:sz w:val="20"/>
                <w:szCs w:val="20"/>
              </w:rPr>
            </w:pPr>
            <w:r w:rsidRPr="0030555A">
              <w:rPr>
                <w:rFonts w:ascii="Arial" w:hAnsi="Arial" w:cs="Arial"/>
                <w:color w:val="000000"/>
                <w:sz w:val="20"/>
                <w:szCs w:val="20"/>
              </w:rPr>
              <w:t>Quoted prices in inactive market</w:t>
            </w:r>
          </w:p>
        </w:tc>
        <w:tc>
          <w:tcPr>
            <w:tcW w:w="2548" w:type="dxa"/>
            <w:tcBorders>
              <w:top w:val="nil"/>
              <w:left w:val="nil"/>
              <w:bottom w:val="single" w:sz="4" w:space="0" w:color="auto"/>
              <w:right w:val="single" w:sz="4" w:space="0" w:color="auto"/>
            </w:tcBorders>
            <w:shd w:val="clear" w:color="auto" w:fill="auto"/>
            <w:vAlign w:val="bottom"/>
          </w:tcPr>
          <w:p w14:paraId="5D7B7686" w14:textId="183397CA" w:rsidR="00522412" w:rsidRPr="0030555A" w:rsidRDefault="007E4F2B" w:rsidP="00D100FE">
            <w:pPr>
              <w:ind w:right="-110"/>
              <w:rPr>
                <w:rFonts w:ascii="Arial" w:hAnsi="Arial" w:cs="Arial"/>
                <w:color w:val="000000"/>
                <w:sz w:val="20"/>
                <w:szCs w:val="20"/>
              </w:rPr>
            </w:pPr>
            <w:r w:rsidRPr="0030555A">
              <w:rPr>
                <w:rFonts w:ascii="Arial" w:hAnsi="Arial" w:cs="Arial"/>
                <w:color w:val="000000"/>
                <w:sz w:val="20"/>
                <w:szCs w:val="20"/>
              </w:rPr>
              <w:t>Sales Value</w:t>
            </w:r>
          </w:p>
        </w:tc>
      </w:tr>
      <w:tr w:rsidR="003C45DA" w:rsidRPr="004D3513" w14:paraId="62747542" w14:textId="77777777" w:rsidTr="004D3513">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55B7E18E" w14:textId="3C4CEFA3"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Property </w:t>
            </w:r>
          </w:p>
        </w:tc>
        <w:tc>
          <w:tcPr>
            <w:tcW w:w="1141" w:type="dxa"/>
            <w:tcBorders>
              <w:top w:val="nil"/>
              <w:left w:val="nil"/>
              <w:bottom w:val="single" w:sz="4" w:space="0" w:color="auto"/>
              <w:right w:val="single" w:sz="4" w:space="0" w:color="auto"/>
            </w:tcBorders>
            <w:shd w:val="clear" w:color="auto" w:fill="auto"/>
            <w:vAlign w:val="bottom"/>
            <w:hideMark/>
          </w:tcPr>
          <w:p w14:paraId="0A54E1F3" w14:textId="55B3F816"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756CE730" w14:textId="335A6FEF" w:rsidR="003C45DA" w:rsidRPr="004D3513" w:rsidRDefault="00706F29" w:rsidP="00DF3ECC">
            <w:pPr>
              <w:rPr>
                <w:rFonts w:ascii="Arial" w:hAnsi="Arial" w:cs="Arial"/>
                <w:color w:val="000000"/>
                <w:sz w:val="20"/>
                <w:szCs w:val="20"/>
              </w:rPr>
            </w:pPr>
            <w:r w:rsidRPr="004D3513">
              <w:rPr>
                <w:rFonts w:ascii="Arial" w:hAnsi="Arial" w:cs="Arial"/>
                <w:color w:val="000000"/>
                <w:sz w:val="20"/>
                <w:szCs w:val="20"/>
              </w:rPr>
              <w:t>Closing single price where single price published</w:t>
            </w:r>
          </w:p>
        </w:tc>
        <w:tc>
          <w:tcPr>
            <w:tcW w:w="2548" w:type="dxa"/>
            <w:tcBorders>
              <w:top w:val="nil"/>
              <w:left w:val="nil"/>
              <w:bottom w:val="single" w:sz="4" w:space="0" w:color="auto"/>
              <w:right w:val="single" w:sz="4" w:space="0" w:color="auto"/>
            </w:tcBorders>
            <w:shd w:val="clear" w:color="auto" w:fill="auto"/>
            <w:vAlign w:val="bottom"/>
            <w:hideMark/>
          </w:tcPr>
          <w:p w14:paraId="6DEE1A51"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NAV-based pricing set on a forward pricing basis</w:t>
            </w:r>
          </w:p>
        </w:tc>
      </w:tr>
      <w:tr w:rsidR="003C45DA" w:rsidRPr="004D3513" w14:paraId="0FAAA6D8" w14:textId="77777777" w:rsidTr="004D3513">
        <w:trPr>
          <w:trHeight w:val="19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28C34B1B" w14:textId="6E921F99"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Infrastructure </w:t>
            </w:r>
          </w:p>
        </w:tc>
        <w:tc>
          <w:tcPr>
            <w:tcW w:w="1141" w:type="dxa"/>
            <w:tcBorders>
              <w:top w:val="nil"/>
              <w:left w:val="nil"/>
              <w:bottom w:val="single" w:sz="4" w:space="0" w:color="auto"/>
              <w:right w:val="single" w:sz="4" w:space="0" w:color="auto"/>
            </w:tcBorders>
            <w:shd w:val="clear" w:color="auto" w:fill="auto"/>
            <w:vAlign w:val="bottom"/>
            <w:hideMark/>
          </w:tcPr>
          <w:p w14:paraId="67251463"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148C020B" w14:textId="642D4A10" w:rsidR="003C45DA" w:rsidRPr="004D3513" w:rsidRDefault="009523EF" w:rsidP="00DF3ECC">
            <w:pPr>
              <w:rPr>
                <w:rFonts w:ascii="Arial" w:hAnsi="Arial" w:cs="Arial"/>
                <w:color w:val="000000"/>
                <w:sz w:val="20"/>
                <w:szCs w:val="20"/>
              </w:rPr>
            </w:pPr>
            <w:r w:rsidRPr="004D3513">
              <w:rPr>
                <w:rFonts w:ascii="Arial" w:hAnsi="Arial" w:cs="Arial"/>
                <w:color w:val="000000"/>
                <w:sz w:val="20"/>
                <w:szCs w:val="20"/>
              </w:rPr>
              <w:t xml:space="preserve">Enterprise value (EV) / Earnings Before Interest, Taxes, Depreciation &amp; Amortization (EBITDA) as their valuation methodology, using a basket of public and transaction </w:t>
            </w:r>
            <w:proofErr w:type="spellStart"/>
            <w:r w:rsidRPr="004D3513">
              <w:rPr>
                <w:rFonts w:ascii="Arial" w:hAnsi="Arial" w:cs="Arial"/>
                <w:color w:val="000000"/>
                <w:sz w:val="20"/>
                <w:szCs w:val="20"/>
              </w:rPr>
              <w:t>comparables</w:t>
            </w:r>
            <w:proofErr w:type="spellEnd"/>
            <w:r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5A371EEF" w14:textId="4F78D538" w:rsidR="003C45DA" w:rsidRPr="004D3513" w:rsidRDefault="00470959" w:rsidP="00D100FE">
            <w:pPr>
              <w:ind w:right="-110"/>
              <w:rPr>
                <w:rFonts w:ascii="Arial" w:hAnsi="Arial" w:cs="Arial"/>
                <w:color w:val="000000"/>
                <w:sz w:val="20"/>
                <w:szCs w:val="20"/>
              </w:rPr>
            </w:pPr>
            <w:r w:rsidRPr="004D3513">
              <w:rPr>
                <w:rFonts w:ascii="Arial" w:hAnsi="Arial" w:cs="Arial"/>
                <w:sz w:val="20"/>
                <w:szCs w:val="20"/>
              </w:rPr>
              <w:t>EV / EBITDA</w:t>
            </w:r>
          </w:p>
        </w:tc>
      </w:tr>
      <w:tr w:rsidR="003C45DA" w:rsidRPr="004D3513" w14:paraId="544A16B1" w14:textId="77777777" w:rsidTr="004D3513">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20CF7527" w14:textId="76D3132F"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Private Equity </w:t>
            </w:r>
          </w:p>
        </w:tc>
        <w:tc>
          <w:tcPr>
            <w:tcW w:w="1141" w:type="dxa"/>
            <w:tcBorders>
              <w:top w:val="nil"/>
              <w:left w:val="nil"/>
              <w:bottom w:val="single" w:sz="4" w:space="0" w:color="auto"/>
              <w:right w:val="single" w:sz="4" w:space="0" w:color="auto"/>
            </w:tcBorders>
            <w:shd w:val="clear" w:color="auto" w:fill="auto"/>
            <w:vAlign w:val="bottom"/>
            <w:hideMark/>
          </w:tcPr>
          <w:p w14:paraId="51CE13FC"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69E19AF0" w14:textId="5E928DF0" w:rsidR="003C45DA" w:rsidRPr="004D3513" w:rsidRDefault="004D3513" w:rsidP="00DF3ECC">
            <w:pPr>
              <w:rPr>
                <w:rFonts w:ascii="Arial" w:hAnsi="Arial" w:cs="Arial"/>
                <w:color w:val="000000"/>
                <w:sz w:val="20"/>
                <w:szCs w:val="20"/>
              </w:rPr>
            </w:pPr>
            <w:r w:rsidRPr="004D3513">
              <w:rPr>
                <w:rFonts w:ascii="Arial" w:hAnsi="Arial" w:cs="Arial"/>
                <w:color w:val="000000"/>
                <w:sz w:val="20"/>
                <w:szCs w:val="20"/>
              </w:rPr>
              <w:t>EV</w:t>
            </w:r>
            <w:r w:rsidR="00DE20B2" w:rsidRPr="004D3513">
              <w:rPr>
                <w:rFonts w:ascii="Arial" w:hAnsi="Arial" w:cs="Arial"/>
                <w:color w:val="000000"/>
                <w:sz w:val="20"/>
                <w:szCs w:val="20"/>
              </w:rPr>
              <w:t xml:space="preserve"> / EBITDA as their valuation methodology, using a basket of public and transaction </w:t>
            </w:r>
            <w:proofErr w:type="spellStart"/>
            <w:r w:rsidR="00DE20B2" w:rsidRPr="004D3513">
              <w:rPr>
                <w:rFonts w:ascii="Arial" w:hAnsi="Arial" w:cs="Arial"/>
                <w:color w:val="000000"/>
                <w:sz w:val="20"/>
                <w:szCs w:val="20"/>
              </w:rPr>
              <w:t>comparables</w:t>
            </w:r>
            <w:proofErr w:type="spellEnd"/>
            <w:r w:rsidR="00DE20B2"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0F01D4B7" w14:textId="2C68865D" w:rsidR="003C45DA" w:rsidRPr="004D3513" w:rsidRDefault="0076265A" w:rsidP="00D100FE">
            <w:pPr>
              <w:ind w:right="-110"/>
              <w:rPr>
                <w:rFonts w:ascii="Arial" w:hAnsi="Arial" w:cs="Arial"/>
                <w:color w:val="000000"/>
                <w:sz w:val="20"/>
                <w:szCs w:val="20"/>
              </w:rPr>
            </w:pPr>
            <w:r w:rsidRPr="004D3513">
              <w:rPr>
                <w:rFonts w:ascii="Arial" w:hAnsi="Arial" w:cs="Arial"/>
                <w:sz w:val="20"/>
                <w:szCs w:val="20"/>
              </w:rPr>
              <w:t>EV / EBITDA</w:t>
            </w:r>
          </w:p>
        </w:tc>
      </w:tr>
      <w:tr w:rsidR="00F9250A" w:rsidRPr="004D3513" w14:paraId="6F38E861" w14:textId="77777777" w:rsidTr="004D3513">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39557691" w14:textId="12F8704B" w:rsidR="00F9250A" w:rsidRPr="004D3513" w:rsidRDefault="00F9250A" w:rsidP="00F9250A">
            <w:pPr>
              <w:rPr>
                <w:rFonts w:ascii="Arial" w:hAnsi="Arial" w:cs="Arial"/>
                <w:color w:val="000000"/>
                <w:sz w:val="20"/>
                <w:szCs w:val="20"/>
              </w:rPr>
            </w:pPr>
            <w:r w:rsidRPr="004D3513">
              <w:rPr>
                <w:rFonts w:ascii="Arial" w:hAnsi="Arial" w:cs="Arial"/>
                <w:color w:val="000000"/>
                <w:sz w:val="20"/>
                <w:szCs w:val="20"/>
              </w:rPr>
              <w:t xml:space="preserve">Hedge Funds </w:t>
            </w:r>
          </w:p>
        </w:tc>
        <w:tc>
          <w:tcPr>
            <w:tcW w:w="1141" w:type="dxa"/>
            <w:tcBorders>
              <w:top w:val="nil"/>
              <w:left w:val="nil"/>
              <w:bottom w:val="single" w:sz="4" w:space="0" w:color="auto"/>
              <w:right w:val="single" w:sz="4" w:space="0" w:color="auto"/>
            </w:tcBorders>
            <w:shd w:val="clear" w:color="auto" w:fill="auto"/>
            <w:vAlign w:val="bottom"/>
            <w:hideMark/>
          </w:tcPr>
          <w:p w14:paraId="1EB27298" w14:textId="77777777" w:rsidR="00F9250A" w:rsidRPr="004D3513" w:rsidRDefault="00F9250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3EE2E37F" w14:textId="01B79FD2" w:rsidR="00F9250A" w:rsidRPr="004D3513" w:rsidRDefault="005F0A6F" w:rsidP="00F9250A">
            <w:pPr>
              <w:rPr>
                <w:rFonts w:ascii="Arial" w:hAnsi="Arial" w:cs="Arial"/>
                <w:color w:val="000000"/>
                <w:sz w:val="20"/>
                <w:szCs w:val="20"/>
              </w:rPr>
            </w:pPr>
            <w:r w:rsidRPr="004D3513">
              <w:rPr>
                <w:rFonts w:ascii="Arial" w:hAnsi="Arial" w:cs="Arial"/>
                <w:sz w:val="20"/>
                <w:szCs w:val="20"/>
              </w:rPr>
              <w:t xml:space="preserve">Underlying assets publicly traded securities (equities, bonds) where pricing is readily available from providers </w:t>
            </w:r>
            <w:r w:rsidR="00D100FE" w:rsidRPr="004D3513">
              <w:rPr>
                <w:rFonts w:ascii="Arial" w:hAnsi="Arial" w:cs="Arial"/>
                <w:sz w:val="20"/>
                <w:szCs w:val="20"/>
              </w:rPr>
              <w:t>i.e.</w:t>
            </w:r>
            <w:r w:rsidRPr="004D3513">
              <w:rPr>
                <w:rFonts w:ascii="Arial" w:hAnsi="Arial" w:cs="Arial"/>
                <w:sz w:val="20"/>
                <w:szCs w:val="20"/>
              </w:rPr>
              <w:t xml:space="preserve"> Bloomberg or Reuters.</w:t>
            </w:r>
          </w:p>
        </w:tc>
        <w:tc>
          <w:tcPr>
            <w:tcW w:w="2548" w:type="dxa"/>
            <w:tcBorders>
              <w:top w:val="nil"/>
              <w:left w:val="nil"/>
              <w:bottom w:val="single" w:sz="4" w:space="0" w:color="auto"/>
              <w:right w:val="single" w:sz="4" w:space="0" w:color="auto"/>
            </w:tcBorders>
            <w:shd w:val="clear" w:color="auto" w:fill="auto"/>
            <w:hideMark/>
          </w:tcPr>
          <w:p w14:paraId="213E5468" w14:textId="4EFA53A4" w:rsidR="00F9250A" w:rsidRPr="004D3513" w:rsidRDefault="00F9250A" w:rsidP="004D3513">
            <w:pPr>
              <w:rPr>
                <w:rFonts w:ascii="Arial" w:hAnsi="Arial" w:cs="Arial"/>
                <w:color w:val="000000"/>
                <w:sz w:val="20"/>
                <w:szCs w:val="20"/>
              </w:rPr>
            </w:pPr>
            <w:r w:rsidRPr="004D3513">
              <w:rPr>
                <w:rFonts w:ascii="Arial" w:hAnsi="Arial" w:cs="Arial"/>
                <w:sz w:val="20"/>
                <w:szCs w:val="20"/>
              </w:rPr>
              <w:t>Valuations</w:t>
            </w:r>
            <w:r w:rsidR="00D100FE" w:rsidRPr="004D3513">
              <w:rPr>
                <w:rFonts w:ascii="Arial" w:hAnsi="Arial" w:cs="Arial"/>
                <w:sz w:val="20"/>
                <w:szCs w:val="20"/>
              </w:rPr>
              <w:t xml:space="preserve"> </w:t>
            </w:r>
            <w:r w:rsidRPr="004D3513">
              <w:rPr>
                <w:rFonts w:ascii="Arial" w:hAnsi="Arial" w:cs="Arial"/>
                <w:sz w:val="20"/>
                <w:szCs w:val="20"/>
              </w:rPr>
              <w:t>affected by any changes to value of the financial instrument being hedged against.</w:t>
            </w:r>
          </w:p>
        </w:tc>
      </w:tr>
    </w:tbl>
    <w:p w14:paraId="20FCDB1B" w14:textId="77777777" w:rsidR="003C45DA" w:rsidRDefault="003C45DA" w:rsidP="001677FE">
      <w:pPr>
        <w:pStyle w:val="BodyTextIndent2"/>
        <w:spacing w:after="0" w:line="240" w:lineRule="auto"/>
        <w:ind w:left="0"/>
        <w:jc w:val="both"/>
        <w:rPr>
          <w:rFonts w:ascii="Arial" w:hAnsi="Arial" w:cs="Arial"/>
          <w:b/>
          <w:sz w:val="22"/>
          <w:szCs w:val="22"/>
        </w:rPr>
      </w:pPr>
    </w:p>
    <w:p w14:paraId="1577A1E2" w14:textId="77777777" w:rsidR="00386157" w:rsidRDefault="00386157" w:rsidP="001677FE">
      <w:pPr>
        <w:pStyle w:val="BodyTextIndent2"/>
        <w:spacing w:after="0" w:line="240" w:lineRule="auto"/>
        <w:ind w:left="0"/>
        <w:jc w:val="both"/>
        <w:rPr>
          <w:rFonts w:ascii="Arial" w:hAnsi="Arial" w:cs="Arial"/>
          <w:b/>
          <w:sz w:val="22"/>
          <w:szCs w:val="22"/>
        </w:rPr>
      </w:pPr>
    </w:p>
    <w:p w14:paraId="32ED77F4" w14:textId="77777777" w:rsidR="00386157" w:rsidRDefault="00386157" w:rsidP="001677FE">
      <w:pPr>
        <w:pStyle w:val="BodyTextIndent2"/>
        <w:spacing w:after="0" w:line="240" w:lineRule="auto"/>
        <w:ind w:left="0"/>
        <w:jc w:val="both"/>
        <w:rPr>
          <w:rFonts w:ascii="Arial" w:hAnsi="Arial" w:cs="Arial"/>
          <w:b/>
          <w:sz w:val="22"/>
          <w:szCs w:val="22"/>
        </w:rPr>
      </w:pPr>
    </w:p>
    <w:p w14:paraId="491626B0" w14:textId="77777777" w:rsidR="008F1FCD" w:rsidRDefault="008F1FCD" w:rsidP="001677FE">
      <w:pPr>
        <w:pStyle w:val="BodyTextIndent2"/>
        <w:spacing w:after="0" w:line="240" w:lineRule="auto"/>
        <w:ind w:left="0"/>
        <w:jc w:val="both"/>
        <w:rPr>
          <w:rFonts w:ascii="Arial" w:hAnsi="Arial" w:cs="Arial"/>
          <w:b/>
          <w:sz w:val="22"/>
          <w:szCs w:val="22"/>
        </w:rPr>
      </w:pPr>
    </w:p>
    <w:p w14:paraId="6212C64C" w14:textId="77777777" w:rsidR="008F1FCD" w:rsidRDefault="008F1FCD" w:rsidP="001677FE">
      <w:pPr>
        <w:pStyle w:val="BodyTextIndent2"/>
        <w:spacing w:after="0" w:line="240" w:lineRule="auto"/>
        <w:ind w:left="0"/>
        <w:jc w:val="both"/>
        <w:rPr>
          <w:rFonts w:ascii="Arial" w:hAnsi="Arial" w:cs="Arial"/>
          <w:b/>
          <w:sz w:val="22"/>
          <w:szCs w:val="22"/>
        </w:rPr>
      </w:pPr>
    </w:p>
    <w:p w14:paraId="2774B7F2" w14:textId="77777777" w:rsidR="008F1FCD" w:rsidRDefault="008F1FCD" w:rsidP="001677FE">
      <w:pPr>
        <w:pStyle w:val="BodyTextIndent2"/>
        <w:spacing w:after="0" w:line="240" w:lineRule="auto"/>
        <w:ind w:left="0"/>
        <w:jc w:val="both"/>
        <w:rPr>
          <w:rFonts w:ascii="Arial" w:hAnsi="Arial" w:cs="Arial"/>
          <w:b/>
          <w:sz w:val="22"/>
          <w:szCs w:val="22"/>
        </w:rPr>
      </w:pPr>
    </w:p>
    <w:p w14:paraId="653692B8" w14:textId="77777777" w:rsidR="00386157" w:rsidRDefault="00386157" w:rsidP="001677FE">
      <w:pPr>
        <w:pStyle w:val="BodyTextIndent2"/>
        <w:spacing w:after="0" w:line="240" w:lineRule="auto"/>
        <w:ind w:left="0"/>
        <w:jc w:val="both"/>
        <w:rPr>
          <w:rFonts w:ascii="Arial" w:hAnsi="Arial" w:cs="Arial"/>
          <w:b/>
          <w:sz w:val="22"/>
          <w:szCs w:val="22"/>
        </w:rPr>
      </w:pPr>
    </w:p>
    <w:tbl>
      <w:tblPr>
        <w:tblW w:w="10219" w:type="dxa"/>
        <w:jc w:val="center"/>
        <w:tblLayout w:type="fixed"/>
        <w:tblLook w:val="04A0" w:firstRow="1" w:lastRow="0" w:firstColumn="1" w:lastColumn="0" w:noHBand="0" w:noVBand="1"/>
      </w:tblPr>
      <w:tblGrid>
        <w:gridCol w:w="2784"/>
        <w:gridCol w:w="1934"/>
        <w:gridCol w:w="1661"/>
        <w:gridCol w:w="1869"/>
        <w:gridCol w:w="1971"/>
      </w:tblGrid>
      <w:tr w:rsidR="00A82D38" w:rsidRPr="00B7645A" w14:paraId="6ABDF816" w14:textId="77777777" w:rsidTr="005458B6">
        <w:trPr>
          <w:trHeight w:val="1030"/>
          <w:jc w:val="center"/>
        </w:trPr>
        <w:tc>
          <w:tcPr>
            <w:tcW w:w="2784" w:type="dxa"/>
            <w:tcBorders>
              <w:top w:val="nil"/>
              <w:left w:val="nil"/>
              <w:bottom w:val="nil"/>
              <w:right w:val="nil"/>
            </w:tcBorders>
            <w:shd w:val="clear" w:color="auto" w:fill="auto"/>
            <w:vAlign w:val="bottom"/>
          </w:tcPr>
          <w:p w14:paraId="7266F49E" w14:textId="77777777" w:rsidR="00A82D38" w:rsidRPr="00B7645A" w:rsidRDefault="00A82D38" w:rsidP="001B7F50">
            <w:pPr>
              <w:ind w:firstLine="42"/>
              <w:rPr>
                <w:rFonts w:ascii="Arial" w:hAnsi="Arial" w:cs="Arial"/>
                <w:color w:val="000000"/>
                <w:sz w:val="20"/>
                <w:szCs w:val="20"/>
              </w:rPr>
            </w:pPr>
          </w:p>
        </w:tc>
        <w:tc>
          <w:tcPr>
            <w:tcW w:w="1934" w:type="dxa"/>
            <w:tcBorders>
              <w:top w:val="nil"/>
              <w:left w:val="nil"/>
              <w:bottom w:val="nil"/>
              <w:right w:val="nil"/>
            </w:tcBorders>
            <w:shd w:val="clear" w:color="auto" w:fill="auto"/>
            <w:vAlign w:val="bottom"/>
            <w:hideMark/>
          </w:tcPr>
          <w:p w14:paraId="72C33460" w14:textId="77777777" w:rsidR="00A82D38" w:rsidRPr="00A82D38" w:rsidRDefault="00A82D38" w:rsidP="001B7F50">
            <w:pPr>
              <w:jc w:val="center"/>
              <w:rPr>
                <w:rFonts w:ascii="Arial" w:hAnsi="Arial" w:cs="Arial"/>
                <w:b/>
                <w:bCs/>
                <w:color w:val="000000"/>
                <w:sz w:val="20"/>
                <w:szCs w:val="20"/>
              </w:rPr>
            </w:pPr>
            <w:r w:rsidRPr="00A82D38">
              <w:rPr>
                <w:rFonts w:ascii="Arial" w:hAnsi="Arial" w:cs="Arial"/>
                <w:b/>
                <w:bCs/>
                <w:color w:val="000000"/>
                <w:sz w:val="20"/>
                <w:szCs w:val="20"/>
              </w:rPr>
              <w:t>Quoted market price</w:t>
            </w:r>
          </w:p>
          <w:p w14:paraId="45BD4521" w14:textId="77777777" w:rsidR="00A82D38" w:rsidRPr="00A82D38" w:rsidRDefault="00A82D38" w:rsidP="001B7F50">
            <w:pPr>
              <w:jc w:val="center"/>
              <w:rPr>
                <w:rFonts w:ascii="Arial" w:hAnsi="Arial" w:cs="Arial"/>
                <w:b/>
                <w:bCs/>
                <w:color w:val="000000"/>
                <w:sz w:val="20"/>
                <w:szCs w:val="20"/>
              </w:rPr>
            </w:pPr>
          </w:p>
        </w:tc>
        <w:tc>
          <w:tcPr>
            <w:tcW w:w="1661" w:type="dxa"/>
            <w:tcBorders>
              <w:top w:val="nil"/>
              <w:left w:val="nil"/>
              <w:bottom w:val="nil"/>
              <w:right w:val="nil"/>
            </w:tcBorders>
            <w:shd w:val="clear" w:color="auto" w:fill="auto"/>
            <w:vAlign w:val="bottom"/>
            <w:hideMark/>
          </w:tcPr>
          <w:p w14:paraId="0911DF61" w14:textId="77777777" w:rsidR="00A82D38" w:rsidRPr="00A82D38" w:rsidRDefault="00A82D38" w:rsidP="001B7F50">
            <w:pPr>
              <w:jc w:val="center"/>
              <w:rPr>
                <w:rFonts w:ascii="Arial" w:hAnsi="Arial" w:cs="Arial"/>
                <w:b/>
                <w:bCs/>
                <w:color w:val="000000"/>
                <w:sz w:val="20"/>
                <w:szCs w:val="20"/>
              </w:rPr>
            </w:pPr>
            <w:r w:rsidRPr="00A82D38">
              <w:rPr>
                <w:rFonts w:ascii="Arial" w:hAnsi="Arial" w:cs="Arial"/>
                <w:b/>
                <w:bCs/>
                <w:color w:val="000000"/>
                <w:sz w:val="20"/>
                <w:szCs w:val="20"/>
              </w:rPr>
              <w:t>Using observable inputs</w:t>
            </w:r>
          </w:p>
          <w:p w14:paraId="0DB33E4B" w14:textId="77777777" w:rsidR="00A82D38" w:rsidRPr="00A82D38" w:rsidRDefault="00A82D38" w:rsidP="001B7F50">
            <w:pPr>
              <w:jc w:val="center"/>
              <w:rPr>
                <w:rFonts w:ascii="Arial" w:hAnsi="Arial" w:cs="Arial"/>
                <w:b/>
                <w:bCs/>
                <w:color w:val="000000"/>
                <w:sz w:val="20"/>
                <w:szCs w:val="20"/>
              </w:rPr>
            </w:pPr>
          </w:p>
        </w:tc>
        <w:tc>
          <w:tcPr>
            <w:tcW w:w="1869" w:type="dxa"/>
            <w:tcBorders>
              <w:top w:val="nil"/>
              <w:left w:val="nil"/>
              <w:bottom w:val="nil"/>
              <w:right w:val="nil"/>
            </w:tcBorders>
            <w:shd w:val="clear" w:color="auto" w:fill="auto"/>
            <w:vAlign w:val="bottom"/>
            <w:hideMark/>
          </w:tcPr>
          <w:p w14:paraId="3069839C" w14:textId="77777777" w:rsidR="00A82D38" w:rsidRPr="00A82D38" w:rsidRDefault="00A82D38" w:rsidP="001B7F50">
            <w:pPr>
              <w:jc w:val="center"/>
              <w:rPr>
                <w:rFonts w:ascii="Arial" w:hAnsi="Arial" w:cs="Arial"/>
                <w:b/>
                <w:bCs/>
                <w:color w:val="000000"/>
                <w:sz w:val="20"/>
                <w:szCs w:val="20"/>
              </w:rPr>
            </w:pPr>
            <w:r w:rsidRPr="00A82D38">
              <w:rPr>
                <w:rFonts w:ascii="Arial" w:hAnsi="Arial" w:cs="Arial"/>
                <w:b/>
                <w:bCs/>
                <w:color w:val="000000"/>
                <w:sz w:val="20"/>
                <w:szCs w:val="20"/>
              </w:rPr>
              <w:t>With significant unobservable inputs</w:t>
            </w:r>
          </w:p>
          <w:p w14:paraId="5AEAD2A2" w14:textId="77777777" w:rsidR="00A82D38" w:rsidRPr="00A82D38" w:rsidRDefault="00A82D38" w:rsidP="001B7F50">
            <w:pPr>
              <w:jc w:val="center"/>
              <w:rPr>
                <w:rFonts w:ascii="Arial" w:hAnsi="Arial" w:cs="Arial"/>
                <w:b/>
                <w:bCs/>
                <w:color w:val="000000"/>
                <w:sz w:val="20"/>
                <w:szCs w:val="20"/>
              </w:rPr>
            </w:pPr>
          </w:p>
        </w:tc>
        <w:tc>
          <w:tcPr>
            <w:tcW w:w="1971" w:type="dxa"/>
            <w:tcBorders>
              <w:top w:val="nil"/>
              <w:left w:val="nil"/>
              <w:bottom w:val="nil"/>
              <w:right w:val="nil"/>
            </w:tcBorders>
          </w:tcPr>
          <w:p w14:paraId="7D9F7E52" w14:textId="77777777" w:rsidR="00A82D38" w:rsidRPr="00A82D38" w:rsidRDefault="00A82D38" w:rsidP="001B7F50">
            <w:pPr>
              <w:jc w:val="center"/>
              <w:rPr>
                <w:rFonts w:ascii="Arial" w:hAnsi="Arial" w:cs="Arial"/>
                <w:b/>
                <w:bCs/>
                <w:color w:val="000000"/>
                <w:sz w:val="20"/>
                <w:szCs w:val="20"/>
              </w:rPr>
            </w:pPr>
          </w:p>
        </w:tc>
      </w:tr>
      <w:tr w:rsidR="00A82D38" w:rsidRPr="00B7645A" w14:paraId="4A42306E" w14:textId="77777777" w:rsidTr="001B7F50">
        <w:trPr>
          <w:trHeight w:val="39"/>
          <w:jc w:val="center"/>
        </w:trPr>
        <w:tc>
          <w:tcPr>
            <w:tcW w:w="2784" w:type="dxa"/>
            <w:tcBorders>
              <w:top w:val="nil"/>
              <w:left w:val="nil"/>
              <w:bottom w:val="nil"/>
              <w:right w:val="nil"/>
            </w:tcBorders>
            <w:shd w:val="clear" w:color="auto" w:fill="auto"/>
            <w:vAlign w:val="bottom"/>
          </w:tcPr>
          <w:p w14:paraId="14E35E34" w14:textId="77777777" w:rsidR="00A82D38" w:rsidRPr="00B7645A" w:rsidRDefault="00A82D38" w:rsidP="001B7F50">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hideMark/>
          </w:tcPr>
          <w:p w14:paraId="71A1AE2E" w14:textId="77777777" w:rsidR="00A82D38" w:rsidRPr="00A82D38" w:rsidRDefault="00A82D38" w:rsidP="001B7F50">
            <w:pPr>
              <w:jc w:val="center"/>
              <w:rPr>
                <w:rFonts w:ascii="Arial" w:hAnsi="Arial" w:cs="Arial"/>
                <w:b/>
                <w:bCs/>
                <w:color w:val="000000"/>
                <w:sz w:val="20"/>
                <w:szCs w:val="20"/>
              </w:rPr>
            </w:pPr>
          </w:p>
        </w:tc>
        <w:tc>
          <w:tcPr>
            <w:tcW w:w="1971" w:type="dxa"/>
            <w:tcBorders>
              <w:top w:val="nil"/>
              <w:left w:val="nil"/>
              <w:bottom w:val="nil"/>
              <w:right w:val="nil"/>
            </w:tcBorders>
          </w:tcPr>
          <w:p w14:paraId="62A40AE0" w14:textId="77777777" w:rsidR="00A82D38" w:rsidRPr="00A82D38" w:rsidRDefault="00A82D38" w:rsidP="001B7F50">
            <w:pPr>
              <w:jc w:val="center"/>
              <w:rPr>
                <w:rFonts w:ascii="Arial" w:hAnsi="Arial" w:cs="Arial"/>
                <w:b/>
                <w:bCs/>
                <w:color w:val="000000"/>
                <w:sz w:val="20"/>
                <w:szCs w:val="20"/>
              </w:rPr>
            </w:pPr>
          </w:p>
        </w:tc>
      </w:tr>
      <w:tr w:rsidR="00A82D38" w:rsidRPr="00B7645A" w14:paraId="693DA107" w14:textId="77777777" w:rsidTr="001B7F50">
        <w:trPr>
          <w:trHeight w:val="39"/>
          <w:jc w:val="center"/>
        </w:trPr>
        <w:tc>
          <w:tcPr>
            <w:tcW w:w="2784" w:type="dxa"/>
            <w:tcBorders>
              <w:top w:val="nil"/>
              <w:left w:val="nil"/>
              <w:bottom w:val="nil"/>
              <w:right w:val="nil"/>
            </w:tcBorders>
            <w:shd w:val="clear" w:color="auto" w:fill="auto"/>
            <w:vAlign w:val="bottom"/>
          </w:tcPr>
          <w:p w14:paraId="6848CBDE" w14:textId="77777777" w:rsidR="00A82D38" w:rsidRPr="00B7645A" w:rsidRDefault="00A82D38" w:rsidP="001B7F50">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4BC1F0AB" w14:textId="77777777" w:rsidR="00A82D38" w:rsidRPr="00A82D38" w:rsidRDefault="00A82D38" w:rsidP="001B7F50">
            <w:pPr>
              <w:rPr>
                <w:rFonts w:ascii="Arial" w:hAnsi="Arial" w:cs="Arial"/>
                <w:b/>
                <w:bCs/>
                <w:color w:val="000000"/>
                <w:sz w:val="20"/>
                <w:szCs w:val="20"/>
              </w:rPr>
            </w:pPr>
            <w:r w:rsidRPr="00A82D38">
              <w:rPr>
                <w:rFonts w:ascii="Arial" w:hAnsi="Arial" w:cs="Arial"/>
                <w:b/>
                <w:bCs/>
                <w:color w:val="000000"/>
                <w:sz w:val="20"/>
                <w:szCs w:val="20"/>
              </w:rPr>
              <w:t xml:space="preserve">          Level 1                    Level 2                     Level 3</w:t>
            </w:r>
          </w:p>
        </w:tc>
        <w:tc>
          <w:tcPr>
            <w:tcW w:w="1971" w:type="dxa"/>
            <w:tcBorders>
              <w:top w:val="nil"/>
              <w:left w:val="nil"/>
              <w:bottom w:val="nil"/>
              <w:right w:val="nil"/>
            </w:tcBorders>
          </w:tcPr>
          <w:p w14:paraId="6A3AB4F9" w14:textId="77777777" w:rsidR="00A82D38" w:rsidRPr="00A82D38" w:rsidRDefault="00A82D38" w:rsidP="001B7F50">
            <w:pPr>
              <w:jc w:val="center"/>
              <w:rPr>
                <w:rFonts w:ascii="Arial" w:hAnsi="Arial" w:cs="Arial"/>
                <w:b/>
                <w:bCs/>
                <w:color w:val="000000"/>
                <w:sz w:val="20"/>
                <w:szCs w:val="20"/>
              </w:rPr>
            </w:pPr>
            <w:r w:rsidRPr="00A82D38">
              <w:rPr>
                <w:rFonts w:ascii="Arial" w:hAnsi="Arial" w:cs="Arial"/>
                <w:b/>
                <w:bCs/>
                <w:color w:val="000000"/>
                <w:sz w:val="20"/>
                <w:szCs w:val="20"/>
              </w:rPr>
              <w:t>Total</w:t>
            </w:r>
          </w:p>
        </w:tc>
      </w:tr>
      <w:tr w:rsidR="00A82D38" w:rsidRPr="00B7645A" w14:paraId="586B40DD" w14:textId="77777777" w:rsidTr="001B7F50">
        <w:trPr>
          <w:trHeight w:val="39"/>
          <w:jc w:val="center"/>
        </w:trPr>
        <w:tc>
          <w:tcPr>
            <w:tcW w:w="2784" w:type="dxa"/>
            <w:tcBorders>
              <w:top w:val="nil"/>
              <w:left w:val="nil"/>
              <w:bottom w:val="nil"/>
              <w:right w:val="nil"/>
            </w:tcBorders>
            <w:shd w:val="clear" w:color="auto" w:fill="auto"/>
            <w:vAlign w:val="bottom"/>
          </w:tcPr>
          <w:p w14:paraId="7C576AF2" w14:textId="77777777" w:rsidR="00A82D38" w:rsidRPr="00B7645A" w:rsidRDefault="00A82D38" w:rsidP="001B7F50">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40AECB36" w14:textId="77777777" w:rsidR="00A82D38" w:rsidRPr="00A82D38" w:rsidRDefault="00A82D38" w:rsidP="001B7F50">
            <w:pPr>
              <w:jc w:val="center"/>
              <w:rPr>
                <w:rFonts w:ascii="Arial" w:hAnsi="Arial" w:cs="Arial"/>
                <w:b/>
                <w:bCs/>
                <w:color w:val="000000"/>
                <w:sz w:val="20"/>
                <w:szCs w:val="20"/>
              </w:rPr>
            </w:pPr>
          </w:p>
        </w:tc>
        <w:tc>
          <w:tcPr>
            <w:tcW w:w="1971" w:type="dxa"/>
            <w:tcBorders>
              <w:top w:val="nil"/>
              <w:left w:val="nil"/>
              <w:bottom w:val="nil"/>
              <w:right w:val="nil"/>
            </w:tcBorders>
          </w:tcPr>
          <w:p w14:paraId="0CB6B5DB" w14:textId="77777777" w:rsidR="00A82D38" w:rsidRPr="00A82D38" w:rsidRDefault="00A82D38" w:rsidP="001B7F50">
            <w:pPr>
              <w:jc w:val="center"/>
              <w:rPr>
                <w:rFonts w:ascii="Arial" w:hAnsi="Arial" w:cs="Arial"/>
                <w:b/>
                <w:bCs/>
                <w:color w:val="000000"/>
                <w:sz w:val="20"/>
                <w:szCs w:val="20"/>
              </w:rPr>
            </w:pPr>
          </w:p>
        </w:tc>
      </w:tr>
      <w:tr w:rsidR="00A82D38" w:rsidRPr="00B7645A" w14:paraId="59496477" w14:textId="77777777" w:rsidTr="005458B6">
        <w:trPr>
          <w:trHeight w:val="39"/>
          <w:jc w:val="center"/>
        </w:trPr>
        <w:tc>
          <w:tcPr>
            <w:tcW w:w="2784" w:type="dxa"/>
            <w:tcBorders>
              <w:top w:val="nil"/>
              <w:left w:val="nil"/>
              <w:bottom w:val="nil"/>
              <w:right w:val="nil"/>
            </w:tcBorders>
            <w:shd w:val="clear" w:color="000000" w:fill="FFFFFF"/>
            <w:vAlign w:val="bottom"/>
            <w:hideMark/>
          </w:tcPr>
          <w:p w14:paraId="25A441DE" w14:textId="340E4BEA" w:rsidR="00A82D38" w:rsidRPr="00B7645A" w:rsidRDefault="00A82D38" w:rsidP="001B7F50">
            <w:pPr>
              <w:rPr>
                <w:rFonts w:ascii="Arial" w:hAnsi="Arial" w:cs="Arial"/>
                <w:color w:val="000000"/>
                <w:sz w:val="20"/>
                <w:szCs w:val="20"/>
              </w:rPr>
            </w:pPr>
            <w:r w:rsidRPr="00B7645A">
              <w:rPr>
                <w:rFonts w:ascii="Arial" w:hAnsi="Arial" w:cs="Arial"/>
                <w:color w:val="000000"/>
                <w:sz w:val="20"/>
                <w:szCs w:val="20"/>
              </w:rPr>
              <w:t xml:space="preserve">Values </w:t>
            </w:r>
            <w:proofErr w:type="gramStart"/>
            <w:r w:rsidRPr="00B7645A">
              <w:rPr>
                <w:rFonts w:ascii="Arial" w:hAnsi="Arial" w:cs="Arial"/>
                <w:color w:val="000000"/>
                <w:sz w:val="20"/>
                <w:szCs w:val="20"/>
              </w:rPr>
              <w:t>at</w:t>
            </w:r>
            <w:proofErr w:type="gramEnd"/>
            <w:r w:rsidRPr="00B7645A">
              <w:rPr>
                <w:rFonts w:ascii="Arial" w:hAnsi="Arial" w:cs="Arial"/>
                <w:color w:val="000000"/>
                <w:sz w:val="20"/>
                <w:szCs w:val="20"/>
              </w:rPr>
              <w:t xml:space="preserve"> 31 March 202</w:t>
            </w:r>
            <w:r>
              <w:rPr>
                <w:rFonts w:ascii="Arial" w:hAnsi="Arial" w:cs="Arial"/>
                <w:color w:val="000000"/>
                <w:sz w:val="20"/>
                <w:szCs w:val="20"/>
              </w:rPr>
              <w:t>5</w:t>
            </w:r>
          </w:p>
        </w:tc>
        <w:tc>
          <w:tcPr>
            <w:tcW w:w="1934" w:type="dxa"/>
            <w:tcBorders>
              <w:top w:val="nil"/>
              <w:left w:val="nil"/>
              <w:bottom w:val="nil"/>
              <w:right w:val="nil"/>
            </w:tcBorders>
            <w:shd w:val="clear" w:color="000000" w:fill="FFFFFF"/>
            <w:vAlign w:val="bottom"/>
            <w:hideMark/>
          </w:tcPr>
          <w:p w14:paraId="297FA47C" w14:textId="77777777" w:rsidR="00A82D38" w:rsidRPr="00A82D38" w:rsidRDefault="00A82D38" w:rsidP="001B7F50">
            <w:pPr>
              <w:jc w:val="right"/>
              <w:rPr>
                <w:rFonts w:ascii="Arial" w:hAnsi="Arial" w:cs="Arial"/>
                <w:b/>
                <w:bCs/>
                <w:color w:val="000000"/>
                <w:sz w:val="20"/>
                <w:szCs w:val="20"/>
              </w:rPr>
            </w:pPr>
            <w:r w:rsidRPr="00A82D38">
              <w:rPr>
                <w:rFonts w:ascii="Arial" w:hAnsi="Arial" w:cs="Arial"/>
                <w:b/>
                <w:bCs/>
                <w:color w:val="000000"/>
                <w:sz w:val="20"/>
                <w:szCs w:val="20"/>
              </w:rPr>
              <w:t>£000</w:t>
            </w:r>
          </w:p>
        </w:tc>
        <w:tc>
          <w:tcPr>
            <w:tcW w:w="1661" w:type="dxa"/>
            <w:tcBorders>
              <w:top w:val="nil"/>
              <w:left w:val="nil"/>
              <w:bottom w:val="nil"/>
              <w:right w:val="nil"/>
            </w:tcBorders>
            <w:shd w:val="clear" w:color="000000" w:fill="FFFFFF"/>
            <w:vAlign w:val="bottom"/>
            <w:hideMark/>
          </w:tcPr>
          <w:p w14:paraId="20D603CA" w14:textId="77777777" w:rsidR="00A82D38" w:rsidRPr="00A82D38" w:rsidRDefault="00A82D38" w:rsidP="001B7F50">
            <w:pPr>
              <w:jc w:val="right"/>
              <w:rPr>
                <w:rFonts w:ascii="Arial" w:hAnsi="Arial" w:cs="Arial"/>
                <w:b/>
                <w:bCs/>
                <w:color w:val="000000"/>
                <w:sz w:val="20"/>
                <w:szCs w:val="20"/>
              </w:rPr>
            </w:pPr>
            <w:r w:rsidRPr="00A82D38">
              <w:rPr>
                <w:rFonts w:ascii="Arial" w:hAnsi="Arial" w:cs="Arial"/>
                <w:b/>
                <w:bCs/>
                <w:color w:val="000000"/>
                <w:sz w:val="20"/>
                <w:szCs w:val="20"/>
              </w:rPr>
              <w:t>£000</w:t>
            </w:r>
          </w:p>
        </w:tc>
        <w:tc>
          <w:tcPr>
            <w:tcW w:w="1869" w:type="dxa"/>
            <w:tcBorders>
              <w:top w:val="nil"/>
              <w:left w:val="nil"/>
              <w:bottom w:val="nil"/>
              <w:right w:val="nil"/>
            </w:tcBorders>
            <w:shd w:val="clear" w:color="000000" w:fill="FFFFFF"/>
            <w:vAlign w:val="bottom"/>
            <w:hideMark/>
          </w:tcPr>
          <w:p w14:paraId="4D5C0E96" w14:textId="77777777" w:rsidR="00A82D38" w:rsidRPr="00A82D38" w:rsidRDefault="00A82D38" w:rsidP="001B7F50">
            <w:pPr>
              <w:jc w:val="right"/>
              <w:rPr>
                <w:rFonts w:ascii="Arial" w:hAnsi="Arial" w:cs="Arial"/>
                <w:b/>
                <w:bCs/>
                <w:color w:val="000000"/>
                <w:sz w:val="20"/>
                <w:szCs w:val="20"/>
              </w:rPr>
            </w:pPr>
            <w:r w:rsidRPr="00A82D38">
              <w:rPr>
                <w:rFonts w:ascii="Arial" w:hAnsi="Arial" w:cs="Arial"/>
                <w:b/>
                <w:bCs/>
                <w:color w:val="000000"/>
                <w:sz w:val="20"/>
                <w:szCs w:val="20"/>
              </w:rPr>
              <w:t>£000</w:t>
            </w:r>
          </w:p>
        </w:tc>
        <w:tc>
          <w:tcPr>
            <w:tcW w:w="1971" w:type="dxa"/>
            <w:tcBorders>
              <w:top w:val="nil"/>
              <w:left w:val="nil"/>
              <w:bottom w:val="nil"/>
              <w:right w:val="nil"/>
            </w:tcBorders>
            <w:shd w:val="clear" w:color="000000" w:fill="FFFFFF"/>
          </w:tcPr>
          <w:p w14:paraId="5FA85ECA" w14:textId="77777777" w:rsidR="00A82D38" w:rsidRPr="00A82D38" w:rsidRDefault="00A82D38" w:rsidP="001B7F50">
            <w:pPr>
              <w:jc w:val="right"/>
              <w:rPr>
                <w:rFonts w:ascii="Arial" w:hAnsi="Arial" w:cs="Arial"/>
                <w:b/>
                <w:bCs/>
                <w:color w:val="000000"/>
                <w:sz w:val="20"/>
                <w:szCs w:val="20"/>
              </w:rPr>
            </w:pPr>
            <w:r w:rsidRPr="00A82D38">
              <w:rPr>
                <w:rFonts w:ascii="Arial" w:hAnsi="Arial" w:cs="Arial"/>
                <w:b/>
                <w:bCs/>
                <w:color w:val="000000"/>
                <w:sz w:val="20"/>
                <w:szCs w:val="20"/>
              </w:rPr>
              <w:t>£000</w:t>
            </w:r>
          </w:p>
        </w:tc>
      </w:tr>
      <w:tr w:rsidR="005458B6" w:rsidRPr="00B7645A" w14:paraId="40850563" w14:textId="77777777" w:rsidTr="005458B6">
        <w:trPr>
          <w:trHeight w:val="37"/>
          <w:jc w:val="center"/>
        </w:trPr>
        <w:tc>
          <w:tcPr>
            <w:tcW w:w="2784" w:type="dxa"/>
            <w:tcBorders>
              <w:top w:val="nil"/>
              <w:left w:val="nil"/>
              <w:bottom w:val="nil"/>
              <w:right w:val="nil"/>
            </w:tcBorders>
            <w:shd w:val="clear" w:color="auto" w:fill="auto"/>
            <w:vAlign w:val="bottom"/>
            <w:hideMark/>
          </w:tcPr>
          <w:p w14:paraId="6FA01773"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Bonds</w:t>
            </w:r>
          </w:p>
        </w:tc>
        <w:tc>
          <w:tcPr>
            <w:tcW w:w="1934" w:type="dxa"/>
            <w:tcBorders>
              <w:top w:val="nil"/>
              <w:left w:val="nil"/>
              <w:bottom w:val="nil"/>
              <w:right w:val="nil"/>
            </w:tcBorders>
            <w:shd w:val="clear" w:color="000000" w:fill="FFFFFF"/>
            <w:vAlign w:val="center"/>
          </w:tcPr>
          <w:p w14:paraId="6BB07808" w14:textId="090FC0D6" w:rsidR="005458B6" w:rsidRPr="001B2F99" w:rsidRDefault="005458B6" w:rsidP="005458B6">
            <w:pPr>
              <w:jc w:val="right"/>
              <w:rPr>
                <w:rFonts w:ascii="Arial" w:hAnsi="Arial" w:cs="Arial"/>
                <w:color w:val="000000"/>
                <w:sz w:val="20"/>
                <w:szCs w:val="20"/>
              </w:rPr>
            </w:pPr>
            <w:r w:rsidRPr="001B2F99">
              <w:rPr>
                <w:rFonts w:ascii="Arial" w:hAnsi="Arial" w:cs="Arial"/>
                <w:color w:val="000000"/>
                <w:sz w:val="20"/>
                <w:szCs w:val="20"/>
              </w:rPr>
              <w:t>124,645</w:t>
            </w:r>
          </w:p>
        </w:tc>
        <w:tc>
          <w:tcPr>
            <w:tcW w:w="1661" w:type="dxa"/>
            <w:tcBorders>
              <w:top w:val="nil"/>
              <w:left w:val="nil"/>
              <w:bottom w:val="nil"/>
              <w:right w:val="nil"/>
            </w:tcBorders>
            <w:shd w:val="clear" w:color="auto" w:fill="auto"/>
            <w:vAlign w:val="center"/>
          </w:tcPr>
          <w:p w14:paraId="6BF9C26A" w14:textId="7F752072"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869" w:type="dxa"/>
            <w:tcBorders>
              <w:top w:val="nil"/>
              <w:left w:val="nil"/>
              <w:bottom w:val="nil"/>
              <w:right w:val="nil"/>
            </w:tcBorders>
            <w:shd w:val="clear" w:color="auto" w:fill="auto"/>
            <w:vAlign w:val="center"/>
          </w:tcPr>
          <w:p w14:paraId="67A451EB" w14:textId="3BE3C0F1"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971" w:type="dxa"/>
            <w:tcBorders>
              <w:top w:val="nil"/>
              <w:left w:val="nil"/>
              <w:bottom w:val="nil"/>
              <w:right w:val="nil"/>
            </w:tcBorders>
            <w:vAlign w:val="center"/>
          </w:tcPr>
          <w:p w14:paraId="25E7967D" w14:textId="132002B1"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124,645</w:t>
            </w:r>
          </w:p>
        </w:tc>
      </w:tr>
      <w:tr w:rsidR="005458B6" w:rsidRPr="00B7645A" w14:paraId="26B70CEC" w14:textId="77777777" w:rsidTr="005458B6">
        <w:trPr>
          <w:trHeight w:val="37"/>
          <w:jc w:val="center"/>
        </w:trPr>
        <w:tc>
          <w:tcPr>
            <w:tcW w:w="2784" w:type="dxa"/>
            <w:tcBorders>
              <w:top w:val="nil"/>
              <w:left w:val="nil"/>
              <w:bottom w:val="nil"/>
              <w:right w:val="nil"/>
            </w:tcBorders>
            <w:shd w:val="clear" w:color="auto" w:fill="auto"/>
            <w:vAlign w:val="bottom"/>
            <w:hideMark/>
          </w:tcPr>
          <w:p w14:paraId="4A2C87D9"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Equities</w:t>
            </w:r>
          </w:p>
        </w:tc>
        <w:tc>
          <w:tcPr>
            <w:tcW w:w="1934" w:type="dxa"/>
            <w:tcBorders>
              <w:top w:val="nil"/>
              <w:left w:val="nil"/>
              <w:bottom w:val="nil"/>
              <w:right w:val="nil"/>
            </w:tcBorders>
            <w:shd w:val="clear" w:color="000000" w:fill="FFFFFF"/>
            <w:vAlign w:val="center"/>
          </w:tcPr>
          <w:p w14:paraId="2964645A" w14:textId="3C657FD3" w:rsidR="005458B6" w:rsidRPr="001B2F99" w:rsidRDefault="005458B6" w:rsidP="005458B6">
            <w:pPr>
              <w:jc w:val="right"/>
              <w:rPr>
                <w:rFonts w:ascii="Arial" w:hAnsi="Arial" w:cs="Arial"/>
                <w:color w:val="000000"/>
                <w:sz w:val="20"/>
                <w:szCs w:val="20"/>
              </w:rPr>
            </w:pPr>
            <w:r w:rsidRPr="001B2F99">
              <w:rPr>
                <w:rFonts w:ascii="Arial" w:hAnsi="Arial" w:cs="Arial"/>
                <w:color w:val="000000"/>
                <w:sz w:val="20"/>
                <w:szCs w:val="20"/>
              </w:rPr>
              <w:t>583,738</w:t>
            </w:r>
          </w:p>
        </w:tc>
        <w:tc>
          <w:tcPr>
            <w:tcW w:w="1661" w:type="dxa"/>
            <w:tcBorders>
              <w:top w:val="nil"/>
              <w:left w:val="nil"/>
              <w:bottom w:val="nil"/>
              <w:right w:val="nil"/>
            </w:tcBorders>
            <w:shd w:val="clear" w:color="auto" w:fill="auto"/>
            <w:vAlign w:val="center"/>
          </w:tcPr>
          <w:p w14:paraId="0B6AA658" w14:textId="4B6AA176"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869" w:type="dxa"/>
            <w:tcBorders>
              <w:top w:val="nil"/>
              <w:left w:val="nil"/>
              <w:bottom w:val="nil"/>
              <w:right w:val="nil"/>
            </w:tcBorders>
            <w:shd w:val="clear" w:color="auto" w:fill="auto"/>
            <w:vAlign w:val="center"/>
          </w:tcPr>
          <w:p w14:paraId="157C22B0" w14:textId="2B6DA15D"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971" w:type="dxa"/>
            <w:tcBorders>
              <w:top w:val="nil"/>
              <w:left w:val="nil"/>
              <w:bottom w:val="nil"/>
              <w:right w:val="nil"/>
            </w:tcBorders>
            <w:vAlign w:val="center"/>
          </w:tcPr>
          <w:p w14:paraId="564B6D90" w14:textId="4E13FB58"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583,738</w:t>
            </w:r>
          </w:p>
        </w:tc>
      </w:tr>
      <w:tr w:rsidR="005458B6" w:rsidRPr="00B7645A" w14:paraId="7A033705" w14:textId="77777777" w:rsidTr="005458B6">
        <w:trPr>
          <w:trHeight w:val="74"/>
          <w:jc w:val="center"/>
        </w:trPr>
        <w:tc>
          <w:tcPr>
            <w:tcW w:w="2784" w:type="dxa"/>
            <w:tcBorders>
              <w:top w:val="nil"/>
              <w:left w:val="nil"/>
              <w:bottom w:val="nil"/>
              <w:right w:val="nil"/>
            </w:tcBorders>
            <w:shd w:val="clear" w:color="auto" w:fill="auto"/>
            <w:vAlign w:val="bottom"/>
          </w:tcPr>
          <w:p w14:paraId="57778AE1"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 xml:space="preserve">Property Unit Trusts </w:t>
            </w:r>
          </w:p>
        </w:tc>
        <w:tc>
          <w:tcPr>
            <w:tcW w:w="1934" w:type="dxa"/>
            <w:tcBorders>
              <w:top w:val="nil"/>
              <w:left w:val="nil"/>
              <w:bottom w:val="nil"/>
              <w:right w:val="nil"/>
            </w:tcBorders>
            <w:shd w:val="clear" w:color="000000" w:fill="FFFFFF"/>
            <w:vAlign w:val="center"/>
          </w:tcPr>
          <w:p w14:paraId="2017CF14" w14:textId="36F01717"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4C6FF6F9" w14:textId="54C10302"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869" w:type="dxa"/>
            <w:tcBorders>
              <w:top w:val="nil"/>
              <w:left w:val="nil"/>
              <w:bottom w:val="nil"/>
              <w:right w:val="nil"/>
            </w:tcBorders>
            <w:shd w:val="clear" w:color="auto" w:fill="auto"/>
            <w:vAlign w:val="center"/>
          </w:tcPr>
          <w:p w14:paraId="7E629DF2" w14:textId="3FF4A2EB"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96,880</w:t>
            </w:r>
          </w:p>
        </w:tc>
        <w:tc>
          <w:tcPr>
            <w:tcW w:w="1971" w:type="dxa"/>
            <w:tcBorders>
              <w:top w:val="nil"/>
              <w:left w:val="nil"/>
              <w:bottom w:val="nil"/>
              <w:right w:val="nil"/>
            </w:tcBorders>
            <w:vAlign w:val="center"/>
          </w:tcPr>
          <w:p w14:paraId="285257E8" w14:textId="6F9E3DE6"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96,880</w:t>
            </w:r>
          </w:p>
        </w:tc>
      </w:tr>
      <w:tr w:rsidR="005458B6" w:rsidRPr="00B7645A" w14:paraId="2CA476B0" w14:textId="77777777" w:rsidTr="005458B6">
        <w:trPr>
          <w:trHeight w:val="74"/>
          <w:jc w:val="center"/>
        </w:trPr>
        <w:tc>
          <w:tcPr>
            <w:tcW w:w="2784" w:type="dxa"/>
            <w:tcBorders>
              <w:top w:val="nil"/>
              <w:left w:val="nil"/>
              <w:bottom w:val="nil"/>
              <w:right w:val="nil"/>
            </w:tcBorders>
            <w:shd w:val="clear" w:color="auto" w:fill="auto"/>
            <w:vAlign w:val="bottom"/>
          </w:tcPr>
          <w:p w14:paraId="6862AF8D"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Pooled Investments</w:t>
            </w:r>
          </w:p>
        </w:tc>
        <w:tc>
          <w:tcPr>
            <w:tcW w:w="1934" w:type="dxa"/>
            <w:tcBorders>
              <w:top w:val="nil"/>
              <w:left w:val="nil"/>
              <w:bottom w:val="nil"/>
              <w:right w:val="nil"/>
            </w:tcBorders>
            <w:shd w:val="clear" w:color="000000" w:fill="FFFFFF"/>
            <w:vAlign w:val="center"/>
          </w:tcPr>
          <w:p w14:paraId="2CF5B46D" w14:textId="33B2A3C0"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69178B44" w14:textId="2D177DD8"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451,719</w:t>
            </w:r>
          </w:p>
        </w:tc>
        <w:tc>
          <w:tcPr>
            <w:tcW w:w="1869" w:type="dxa"/>
            <w:tcBorders>
              <w:top w:val="nil"/>
              <w:left w:val="nil"/>
              <w:bottom w:val="nil"/>
              <w:right w:val="nil"/>
            </w:tcBorders>
            <w:shd w:val="clear" w:color="auto" w:fill="auto"/>
            <w:vAlign w:val="center"/>
          </w:tcPr>
          <w:p w14:paraId="4746AF75" w14:textId="27D42F06"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971" w:type="dxa"/>
            <w:tcBorders>
              <w:top w:val="nil"/>
              <w:left w:val="nil"/>
              <w:bottom w:val="nil"/>
              <w:right w:val="nil"/>
            </w:tcBorders>
            <w:vAlign w:val="center"/>
          </w:tcPr>
          <w:p w14:paraId="7DC5E9BA" w14:textId="24B9A614"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451,719</w:t>
            </w:r>
          </w:p>
        </w:tc>
      </w:tr>
      <w:tr w:rsidR="005458B6" w:rsidRPr="00B7645A" w14:paraId="5BCC0586" w14:textId="77777777" w:rsidTr="005458B6">
        <w:trPr>
          <w:trHeight w:val="74"/>
          <w:jc w:val="center"/>
        </w:trPr>
        <w:tc>
          <w:tcPr>
            <w:tcW w:w="2784" w:type="dxa"/>
            <w:tcBorders>
              <w:top w:val="nil"/>
              <w:left w:val="nil"/>
              <w:bottom w:val="nil"/>
              <w:right w:val="nil"/>
            </w:tcBorders>
            <w:shd w:val="clear" w:color="auto" w:fill="auto"/>
            <w:vAlign w:val="bottom"/>
          </w:tcPr>
          <w:p w14:paraId="3C6A09FE"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Private Equity</w:t>
            </w:r>
          </w:p>
        </w:tc>
        <w:tc>
          <w:tcPr>
            <w:tcW w:w="1934" w:type="dxa"/>
            <w:tcBorders>
              <w:top w:val="nil"/>
              <w:left w:val="nil"/>
              <w:bottom w:val="nil"/>
              <w:right w:val="nil"/>
            </w:tcBorders>
            <w:shd w:val="clear" w:color="000000" w:fill="FFFFFF"/>
            <w:vAlign w:val="center"/>
          </w:tcPr>
          <w:p w14:paraId="4B0E16C3" w14:textId="6740C0C8"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768C073C" w14:textId="0B9D4716"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869" w:type="dxa"/>
            <w:tcBorders>
              <w:top w:val="nil"/>
              <w:left w:val="nil"/>
              <w:bottom w:val="nil"/>
              <w:right w:val="nil"/>
            </w:tcBorders>
            <w:shd w:val="clear" w:color="auto" w:fill="auto"/>
            <w:vAlign w:val="center"/>
          </w:tcPr>
          <w:p w14:paraId="74FE852D" w14:textId="271AF4A7"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127,590</w:t>
            </w:r>
          </w:p>
        </w:tc>
        <w:tc>
          <w:tcPr>
            <w:tcW w:w="1971" w:type="dxa"/>
            <w:tcBorders>
              <w:top w:val="nil"/>
              <w:left w:val="nil"/>
              <w:bottom w:val="nil"/>
              <w:right w:val="nil"/>
            </w:tcBorders>
            <w:vAlign w:val="center"/>
          </w:tcPr>
          <w:p w14:paraId="6347FD44" w14:textId="01251B1F"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127,590</w:t>
            </w:r>
          </w:p>
        </w:tc>
      </w:tr>
      <w:tr w:rsidR="005458B6" w:rsidRPr="00B7645A" w14:paraId="0749E5E5" w14:textId="77777777" w:rsidTr="005458B6">
        <w:trPr>
          <w:trHeight w:val="37"/>
          <w:jc w:val="center"/>
        </w:trPr>
        <w:tc>
          <w:tcPr>
            <w:tcW w:w="2784" w:type="dxa"/>
            <w:tcBorders>
              <w:top w:val="nil"/>
              <w:left w:val="nil"/>
              <w:bottom w:val="nil"/>
              <w:right w:val="nil"/>
            </w:tcBorders>
            <w:shd w:val="clear" w:color="auto" w:fill="auto"/>
            <w:vAlign w:val="bottom"/>
            <w:hideMark/>
          </w:tcPr>
          <w:p w14:paraId="3CFCCE21" w14:textId="71DBF2E3" w:rsidR="005458B6" w:rsidRPr="00B7645A" w:rsidRDefault="00553687" w:rsidP="005458B6">
            <w:pPr>
              <w:rPr>
                <w:rFonts w:ascii="Arial" w:hAnsi="Arial" w:cs="Arial"/>
                <w:color w:val="000000"/>
                <w:sz w:val="20"/>
                <w:szCs w:val="20"/>
              </w:rPr>
            </w:pPr>
            <w:r>
              <w:rPr>
                <w:rFonts w:ascii="Arial" w:hAnsi="Arial" w:cs="Arial"/>
                <w:color w:val="000000"/>
                <w:sz w:val="20"/>
                <w:szCs w:val="20"/>
              </w:rPr>
              <w:t>Cash deposits held with Custodian</w:t>
            </w:r>
          </w:p>
        </w:tc>
        <w:tc>
          <w:tcPr>
            <w:tcW w:w="1934" w:type="dxa"/>
            <w:tcBorders>
              <w:top w:val="nil"/>
              <w:left w:val="nil"/>
              <w:bottom w:val="nil"/>
              <w:right w:val="nil"/>
            </w:tcBorders>
            <w:shd w:val="clear" w:color="auto" w:fill="auto"/>
            <w:vAlign w:val="center"/>
          </w:tcPr>
          <w:p w14:paraId="497CA9C5" w14:textId="1CE59054" w:rsidR="005458B6" w:rsidRPr="001B2F99" w:rsidRDefault="005458B6" w:rsidP="005458B6">
            <w:pPr>
              <w:jc w:val="right"/>
              <w:rPr>
                <w:rFonts w:ascii="Arial" w:hAnsi="Arial" w:cs="Arial"/>
                <w:color w:val="000000"/>
                <w:sz w:val="20"/>
                <w:szCs w:val="20"/>
              </w:rPr>
            </w:pPr>
            <w:r w:rsidRPr="001B2F99">
              <w:rPr>
                <w:rFonts w:ascii="Arial" w:hAnsi="Arial" w:cs="Arial"/>
                <w:color w:val="000000"/>
                <w:sz w:val="20"/>
                <w:szCs w:val="20"/>
              </w:rPr>
              <w:t>37,058</w:t>
            </w:r>
          </w:p>
        </w:tc>
        <w:tc>
          <w:tcPr>
            <w:tcW w:w="1661" w:type="dxa"/>
            <w:tcBorders>
              <w:top w:val="nil"/>
              <w:left w:val="nil"/>
              <w:bottom w:val="nil"/>
              <w:right w:val="nil"/>
            </w:tcBorders>
            <w:shd w:val="clear" w:color="auto" w:fill="auto"/>
            <w:vAlign w:val="center"/>
          </w:tcPr>
          <w:p w14:paraId="4E89C5FA" w14:textId="2BBCC4ED"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869" w:type="dxa"/>
            <w:tcBorders>
              <w:top w:val="nil"/>
              <w:left w:val="nil"/>
              <w:bottom w:val="nil"/>
              <w:right w:val="nil"/>
            </w:tcBorders>
            <w:shd w:val="clear" w:color="auto" w:fill="auto"/>
            <w:vAlign w:val="center"/>
          </w:tcPr>
          <w:p w14:paraId="167CF8BD" w14:textId="121CC28A"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971" w:type="dxa"/>
            <w:tcBorders>
              <w:top w:val="nil"/>
              <w:left w:val="nil"/>
              <w:bottom w:val="nil"/>
              <w:right w:val="nil"/>
            </w:tcBorders>
            <w:vAlign w:val="center"/>
          </w:tcPr>
          <w:p w14:paraId="535F3A3C" w14:textId="078E1D2D"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37,058</w:t>
            </w:r>
          </w:p>
        </w:tc>
      </w:tr>
      <w:tr w:rsidR="005458B6" w:rsidRPr="00B7645A" w14:paraId="2B80C171" w14:textId="77777777" w:rsidTr="005458B6">
        <w:trPr>
          <w:trHeight w:val="37"/>
          <w:jc w:val="center"/>
        </w:trPr>
        <w:tc>
          <w:tcPr>
            <w:tcW w:w="2784" w:type="dxa"/>
            <w:tcBorders>
              <w:top w:val="nil"/>
              <w:left w:val="nil"/>
              <w:bottom w:val="nil"/>
              <w:right w:val="nil"/>
            </w:tcBorders>
            <w:shd w:val="clear" w:color="auto" w:fill="auto"/>
            <w:vAlign w:val="bottom"/>
          </w:tcPr>
          <w:p w14:paraId="39052A5B"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Alternatives</w:t>
            </w:r>
          </w:p>
        </w:tc>
        <w:tc>
          <w:tcPr>
            <w:tcW w:w="1934" w:type="dxa"/>
            <w:tcBorders>
              <w:top w:val="nil"/>
              <w:left w:val="nil"/>
              <w:bottom w:val="nil"/>
              <w:right w:val="nil"/>
            </w:tcBorders>
            <w:shd w:val="clear" w:color="auto" w:fill="auto"/>
            <w:vAlign w:val="center"/>
          </w:tcPr>
          <w:p w14:paraId="1636A653" w14:textId="3A30B629"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499779A5" w14:textId="03DB78D7" w:rsidR="005458B6" w:rsidRPr="005458B6" w:rsidRDefault="000375C1" w:rsidP="005458B6">
            <w:pPr>
              <w:jc w:val="right"/>
              <w:rPr>
                <w:rFonts w:ascii="Arial" w:hAnsi="Arial" w:cs="Arial"/>
                <w:sz w:val="20"/>
                <w:szCs w:val="20"/>
              </w:rPr>
            </w:pPr>
            <w:r>
              <w:rPr>
                <w:rFonts w:ascii="Arial" w:hAnsi="Arial" w:cs="Arial"/>
                <w:sz w:val="20"/>
                <w:szCs w:val="20"/>
              </w:rPr>
              <w:t>-</w:t>
            </w:r>
          </w:p>
        </w:tc>
        <w:tc>
          <w:tcPr>
            <w:tcW w:w="1869" w:type="dxa"/>
            <w:tcBorders>
              <w:top w:val="nil"/>
              <w:left w:val="nil"/>
              <w:bottom w:val="nil"/>
              <w:right w:val="nil"/>
            </w:tcBorders>
            <w:shd w:val="clear" w:color="auto" w:fill="auto"/>
            <w:vAlign w:val="center"/>
          </w:tcPr>
          <w:p w14:paraId="53229152" w14:textId="502877FE"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13,270</w:t>
            </w:r>
          </w:p>
        </w:tc>
        <w:tc>
          <w:tcPr>
            <w:tcW w:w="1971" w:type="dxa"/>
            <w:tcBorders>
              <w:top w:val="nil"/>
              <w:left w:val="nil"/>
              <w:bottom w:val="nil"/>
              <w:right w:val="nil"/>
            </w:tcBorders>
            <w:vAlign w:val="center"/>
          </w:tcPr>
          <w:p w14:paraId="702DE395" w14:textId="72020191"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13,270</w:t>
            </w:r>
          </w:p>
        </w:tc>
      </w:tr>
      <w:tr w:rsidR="005458B6" w:rsidRPr="00B7645A" w14:paraId="41782211" w14:textId="77777777" w:rsidTr="005458B6">
        <w:trPr>
          <w:trHeight w:val="37"/>
          <w:jc w:val="center"/>
        </w:trPr>
        <w:tc>
          <w:tcPr>
            <w:tcW w:w="2784" w:type="dxa"/>
            <w:tcBorders>
              <w:top w:val="nil"/>
              <w:left w:val="nil"/>
              <w:bottom w:val="nil"/>
              <w:right w:val="nil"/>
            </w:tcBorders>
            <w:shd w:val="clear" w:color="auto" w:fill="auto"/>
            <w:vAlign w:val="bottom"/>
          </w:tcPr>
          <w:p w14:paraId="0589DEB3" w14:textId="77777777"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Infrastructure</w:t>
            </w:r>
          </w:p>
        </w:tc>
        <w:tc>
          <w:tcPr>
            <w:tcW w:w="1934" w:type="dxa"/>
            <w:tcBorders>
              <w:top w:val="nil"/>
              <w:left w:val="nil"/>
              <w:bottom w:val="nil"/>
              <w:right w:val="nil"/>
            </w:tcBorders>
            <w:shd w:val="clear" w:color="auto" w:fill="auto"/>
            <w:vAlign w:val="center"/>
          </w:tcPr>
          <w:p w14:paraId="153139EB" w14:textId="79C9263F"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1C87AB63" w14:textId="15B78130" w:rsidR="005458B6" w:rsidRPr="005458B6" w:rsidRDefault="000375C1" w:rsidP="005458B6">
            <w:pPr>
              <w:jc w:val="right"/>
              <w:rPr>
                <w:rFonts w:ascii="Arial" w:hAnsi="Arial" w:cs="Arial"/>
                <w:sz w:val="20"/>
                <w:szCs w:val="20"/>
              </w:rPr>
            </w:pPr>
            <w:r>
              <w:rPr>
                <w:rFonts w:ascii="Arial" w:hAnsi="Arial" w:cs="Arial"/>
                <w:sz w:val="20"/>
                <w:szCs w:val="20"/>
              </w:rPr>
              <w:t>-</w:t>
            </w:r>
          </w:p>
        </w:tc>
        <w:tc>
          <w:tcPr>
            <w:tcW w:w="1869" w:type="dxa"/>
            <w:tcBorders>
              <w:top w:val="nil"/>
              <w:left w:val="nil"/>
              <w:bottom w:val="nil"/>
              <w:right w:val="nil"/>
            </w:tcBorders>
            <w:shd w:val="clear" w:color="auto" w:fill="auto"/>
            <w:vAlign w:val="center"/>
          </w:tcPr>
          <w:p w14:paraId="1BC6C597" w14:textId="3B90367F"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76,043</w:t>
            </w:r>
          </w:p>
        </w:tc>
        <w:tc>
          <w:tcPr>
            <w:tcW w:w="1971" w:type="dxa"/>
            <w:tcBorders>
              <w:top w:val="nil"/>
              <w:left w:val="nil"/>
              <w:bottom w:val="nil"/>
              <w:right w:val="nil"/>
            </w:tcBorders>
            <w:vAlign w:val="center"/>
          </w:tcPr>
          <w:p w14:paraId="3396F66A" w14:textId="52030230"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76,043</w:t>
            </w:r>
          </w:p>
        </w:tc>
      </w:tr>
      <w:tr w:rsidR="005458B6" w:rsidRPr="00B7645A" w14:paraId="478C3AD9" w14:textId="77777777" w:rsidTr="005458B6">
        <w:trPr>
          <w:trHeight w:val="37"/>
          <w:jc w:val="center"/>
        </w:trPr>
        <w:tc>
          <w:tcPr>
            <w:tcW w:w="2784" w:type="dxa"/>
            <w:tcBorders>
              <w:top w:val="nil"/>
              <w:left w:val="nil"/>
              <w:bottom w:val="nil"/>
              <w:right w:val="nil"/>
            </w:tcBorders>
            <w:shd w:val="clear" w:color="auto" w:fill="auto"/>
            <w:vAlign w:val="bottom"/>
            <w:hideMark/>
          </w:tcPr>
          <w:p w14:paraId="38BFACAF" w14:textId="0508E58B" w:rsidR="005458B6" w:rsidRPr="00B7645A" w:rsidRDefault="005458B6" w:rsidP="005458B6">
            <w:pPr>
              <w:rPr>
                <w:rFonts w:ascii="Arial" w:hAnsi="Arial" w:cs="Arial"/>
                <w:color w:val="000000"/>
                <w:sz w:val="20"/>
                <w:szCs w:val="20"/>
              </w:rPr>
            </w:pPr>
            <w:r w:rsidRPr="00B7645A">
              <w:rPr>
                <w:rFonts w:ascii="Arial" w:hAnsi="Arial" w:cs="Arial"/>
                <w:color w:val="000000"/>
                <w:sz w:val="20"/>
                <w:szCs w:val="20"/>
              </w:rPr>
              <w:t>Other investments</w:t>
            </w:r>
            <w:r w:rsidR="000375C1">
              <w:rPr>
                <w:rFonts w:ascii="Arial" w:hAnsi="Arial" w:cs="Arial"/>
                <w:color w:val="000000"/>
                <w:sz w:val="20"/>
                <w:szCs w:val="20"/>
              </w:rPr>
              <w:t xml:space="preserve"> </w:t>
            </w:r>
            <w:r w:rsidRPr="00B7645A">
              <w:rPr>
                <w:rFonts w:ascii="Arial" w:hAnsi="Arial" w:cs="Arial"/>
                <w:color w:val="000000"/>
                <w:sz w:val="20"/>
                <w:szCs w:val="20"/>
              </w:rPr>
              <w:t>- LCIV</w:t>
            </w:r>
          </w:p>
        </w:tc>
        <w:tc>
          <w:tcPr>
            <w:tcW w:w="1934" w:type="dxa"/>
            <w:tcBorders>
              <w:top w:val="nil"/>
              <w:left w:val="nil"/>
              <w:bottom w:val="nil"/>
              <w:right w:val="nil"/>
            </w:tcBorders>
            <w:shd w:val="clear" w:color="auto" w:fill="auto"/>
            <w:vAlign w:val="center"/>
          </w:tcPr>
          <w:p w14:paraId="2C508C7E" w14:textId="34CD398C" w:rsidR="005458B6" w:rsidRPr="001B2F99"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661" w:type="dxa"/>
            <w:tcBorders>
              <w:top w:val="nil"/>
              <w:left w:val="nil"/>
              <w:bottom w:val="nil"/>
              <w:right w:val="nil"/>
            </w:tcBorders>
            <w:shd w:val="clear" w:color="auto" w:fill="auto"/>
            <w:vAlign w:val="center"/>
          </w:tcPr>
          <w:p w14:paraId="292A8C3A" w14:textId="79439039" w:rsidR="005458B6" w:rsidRPr="005458B6" w:rsidRDefault="005458B6" w:rsidP="005458B6">
            <w:pPr>
              <w:jc w:val="right"/>
              <w:rPr>
                <w:rFonts w:ascii="Arial" w:hAnsi="Arial" w:cs="Arial"/>
                <w:color w:val="000000"/>
                <w:sz w:val="20"/>
                <w:szCs w:val="20"/>
              </w:rPr>
            </w:pPr>
            <w:r w:rsidRPr="005458B6">
              <w:rPr>
                <w:rFonts w:ascii="Arial" w:hAnsi="Arial" w:cs="Arial"/>
                <w:color w:val="000000"/>
                <w:sz w:val="20"/>
                <w:szCs w:val="20"/>
              </w:rPr>
              <w:t>150</w:t>
            </w:r>
          </w:p>
        </w:tc>
        <w:tc>
          <w:tcPr>
            <w:tcW w:w="1869" w:type="dxa"/>
            <w:tcBorders>
              <w:top w:val="nil"/>
              <w:left w:val="nil"/>
              <w:bottom w:val="nil"/>
              <w:right w:val="nil"/>
            </w:tcBorders>
            <w:shd w:val="clear" w:color="auto" w:fill="auto"/>
            <w:vAlign w:val="center"/>
          </w:tcPr>
          <w:p w14:paraId="6052475D" w14:textId="745FD4F0" w:rsidR="005458B6" w:rsidRPr="005458B6" w:rsidRDefault="000375C1" w:rsidP="005458B6">
            <w:pPr>
              <w:jc w:val="right"/>
              <w:rPr>
                <w:rFonts w:ascii="Arial" w:hAnsi="Arial" w:cs="Arial"/>
                <w:color w:val="000000"/>
                <w:sz w:val="20"/>
                <w:szCs w:val="20"/>
              </w:rPr>
            </w:pPr>
            <w:r>
              <w:rPr>
                <w:rFonts w:ascii="Arial" w:hAnsi="Arial" w:cs="Arial"/>
                <w:color w:val="000000"/>
                <w:sz w:val="20"/>
                <w:szCs w:val="20"/>
              </w:rPr>
              <w:t>-</w:t>
            </w:r>
          </w:p>
        </w:tc>
        <w:tc>
          <w:tcPr>
            <w:tcW w:w="1971" w:type="dxa"/>
            <w:tcBorders>
              <w:top w:val="nil"/>
              <w:left w:val="nil"/>
              <w:bottom w:val="nil"/>
              <w:right w:val="nil"/>
            </w:tcBorders>
            <w:vAlign w:val="center"/>
          </w:tcPr>
          <w:p w14:paraId="4F88A0C3" w14:textId="5877B9E3" w:rsidR="005458B6" w:rsidRPr="00B7645A" w:rsidRDefault="005458B6" w:rsidP="005458B6">
            <w:pPr>
              <w:jc w:val="right"/>
              <w:rPr>
                <w:rFonts w:ascii="Arial" w:hAnsi="Arial" w:cs="Arial"/>
                <w:color w:val="000000"/>
                <w:sz w:val="20"/>
                <w:szCs w:val="20"/>
              </w:rPr>
            </w:pPr>
            <w:r>
              <w:rPr>
                <w:rFonts w:ascii="Arial" w:hAnsi="Arial" w:cs="Arial"/>
                <w:b/>
                <w:bCs/>
                <w:color w:val="000000"/>
                <w:sz w:val="20"/>
                <w:szCs w:val="20"/>
              </w:rPr>
              <w:t>150</w:t>
            </w:r>
          </w:p>
        </w:tc>
      </w:tr>
      <w:tr w:rsidR="005458B6" w:rsidRPr="005458B6" w14:paraId="61BD0F3B" w14:textId="77777777" w:rsidTr="00B53577">
        <w:trPr>
          <w:trHeight w:val="39"/>
          <w:jc w:val="center"/>
        </w:trPr>
        <w:tc>
          <w:tcPr>
            <w:tcW w:w="2784" w:type="dxa"/>
            <w:tcBorders>
              <w:top w:val="nil"/>
              <w:left w:val="nil"/>
              <w:bottom w:val="nil"/>
              <w:right w:val="nil"/>
            </w:tcBorders>
            <w:shd w:val="clear" w:color="auto" w:fill="auto"/>
            <w:vAlign w:val="bottom"/>
            <w:hideMark/>
          </w:tcPr>
          <w:p w14:paraId="26C0A84D" w14:textId="3912ADA3" w:rsidR="005458B6" w:rsidRPr="005458B6" w:rsidRDefault="005458B6" w:rsidP="005458B6">
            <w:pPr>
              <w:rPr>
                <w:rFonts w:ascii="Arial" w:hAnsi="Arial" w:cs="Arial"/>
                <w:b/>
                <w:bCs/>
                <w:color w:val="000000"/>
                <w:sz w:val="20"/>
                <w:szCs w:val="20"/>
              </w:rPr>
            </w:pPr>
            <w:r w:rsidRPr="005458B6">
              <w:rPr>
                <w:rFonts w:ascii="Arial" w:hAnsi="Arial" w:cs="Arial"/>
                <w:b/>
                <w:bCs/>
                <w:color w:val="000000"/>
                <w:sz w:val="20"/>
                <w:szCs w:val="20"/>
              </w:rPr>
              <w:t xml:space="preserve">Total </w:t>
            </w:r>
            <w:r w:rsidR="0072181A">
              <w:rPr>
                <w:rFonts w:ascii="Arial" w:hAnsi="Arial" w:cs="Arial"/>
                <w:b/>
                <w:bCs/>
                <w:color w:val="000000"/>
                <w:sz w:val="20"/>
                <w:szCs w:val="20"/>
              </w:rPr>
              <w:t>Investment</w:t>
            </w:r>
            <w:r w:rsidRPr="005458B6">
              <w:rPr>
                <w:rFonts w:ascii="Arial" w:hAnsi="Arial" w:cs="Arial"/>
                <w:b/>
                <w:bCs/>
                <w:color w:val="000000"/>
                <w:sz w:val="20"/>
                <w:szCs w:val="20"/>
              </w:rPr>
              <w:t xml:space="preserve"> Assets</w:t>
            </w:r>
          </w:p>
        </w:tc>
        <w:tc>
          <w:tcPr>
            <w:tcW w:w="1934" w:type="dxa"/>
            <w:tcBorders>
              <w:top w:val="single" w:sz="8" w:space="0" w:color="auto"/>
              <w:left w:val="nil"/>
              <w:bottom w:val="double" w:sz="4" w:space="0" w:color="auto"/>
              <w:right w:val="nil"/>
            </w:tcBorders>
            <w:shd w:val="clear" w:color="000000" w:fill="FFFFFF"/>
            <w:vAlign w:val="center"/>
          </w:tcPr>
          <w:p w14:paraId="480562D2" w14:textId="2DDEB5B7" w:rsidR="005458B6" w:rsidRPr="005458B6" w:rsidRDefault="005458B6" w:rsidP="005458B6">
            <w:pPr>
              <w:jc w:val="right"/>
              <w:rPr>
                <w:rFonts w:ascii="Arial" w:hAnsi="Arial" w:cs="Arial"/>
                <w:b/>
                <w:bCs/>
                <w:color w:val="000000"/>
                <w:sz w:val="20"/>
                <w:szCs w:val="20"/>
              </w:rPr>
            </w:pPr>
            <w:r w:rsidRPr="005458B6">
              <w:rPr>
                <w:rFonts w:ascii="Arial" w:hAnsi="Arial" w:cs="Arial"/>
                <w:b/>
                <w:bCs/>
                <w:color w:val="000000"/>
                <w:sz w:val="20"/>
                <w:szCs w:val="20"/>
              </w:rPr>
              <w:t>745,441</w:t>
            </w:r>
          </w:p>
        </w:tc>
        <w:tc>
          <w:tcPr>
            <w:tcW w:w="1661" w:type="dxa"/>
            <w:tcBorders>
              <w:top w:val="single" w:sz="8" w:space="0" w:color="auto"/>
              <w:left w:val="nil"/>
              <w:bottom w:val="double" w:sz="4" w:space="0" w:color="auto"/>
              <w:right w:val="nil"/>
            </w:tcBorders>
            <w:shd w:val="clear" w:color="000000" w:fill="FFFFFF"/>
            <w:vAlign w:val="center"/>
          </w:tcPr>
          <w:p w14:paraId="11ACEBC2" w14:textId="284037FB" w:rsidR="005458B6" w:rsidRPr="005458B6" w:rsidRDefault="005458B6" w:rsidP="005458B6">
            <w:pPr>
              <w:jc w:val="right"/>
              <w:rPr>
                <w:rFonts w:ascii="Arial" w:hAnsi="Arial" w:cs="Arial"/>
                <w:b/>
                <w:bCs/>
                <w:color w:val="000000"/>
                <w:sz w:val="20"/>
                <w:szCs w:val="20"/>
              </w:rPr>
            </w:pPr>
            <w:r w:rsidRPr="005458B6">
              <w:rPr>
                <w:rFonts w:ascii="Arial" w:hAnsi="Arial" w:cs="Arial"/>
                <w:b/>
                <w:bCs/>
                <w:color w:val="000000"/>
                <w:sz w:val="20"/>
                <w:szCs w:val="20"/>
              </w:rPr>
              <w:t>451,869</w:t>
            </w:r>
          </w:p>
        </w:tc>
        <w:tc>
          <w:tcPr>
            <w:tcW w:w="1869" w:type="dxa"/>
            <w:tcBorders>
              <w:top w:val="single" w:sz="4" w:space="0" w:color="auto"/>
              <w:left w:val="nil"/>
              <w:bottom w:val="double" w:sz="4" w:space="0" w:color="auto"/>
              <w:right w:val="nil"/>
            </w:tcBorders>
            <w:shd w:val="clear" w:color="auto" w:fill="auto"/>
            <w:vAlign w:val="center"/>
          </w:tcPr>
          <w:p w14:paraId="31DD204F" w14:textId="26877D35" w:rsidR="005458B6" w:rsidRPr="005458B6" w:rsidRDefault="005458B6" w:rsidP="005458B6">
            <w:pPr>
              <w:jc w:val="right"/>
              <w:rPr>
                <w:rFonts w:ascii="Arial" w:hAnsi="Arial" w:cs="Arial"/>
                <w:b/>
                <w:bCs/>
                <w:color w:val="000000"/>
                <w:sz w:val="20"/>
                <w:szCs w:val="20"/>
              </w:rPr>
            </w:pPr>
            <w:r w:rsidRPr="005458B6">
              <w:rPr>
                <w:rFonts w:ascii="Arial" w:hAnsi="Arial" w:cs="Arial"/>
                <w:b/>
                <w:bCs/>
                <w:color w:val="000000"/>
                <w:sz w:val="20"/>
                <w:szCs w:val="20"/>
              </w:rPr>
              <w:t>313,783</w:t>
            </w:r>
          </w:p>
        </w:tc>
        <w:tc>
          <w:tcPr>
            <w:tcW w:w="1971" w:type="dxa"/>
            <w:tcBorders>
              <w:top w:val="single" w:sz="4" w:space="0" w:color="auto"/>
              <w:left w:val="nil"/>
              <w:bottom w:val="double" w:sz="4" w:space="0" w:color="auto"/>
              <w:right w:val="nil"/>
            </w:tcBorders>
            <w:vAlign w:val="center"/>
          </w:tcPr>
          <w:p w14:paraId="0B2D3E56" w14:textId="51ADFD3D" w:rsidR="005458B6" w:rsidRPr="005458B6" w:rsidRDefault="005458B6" w:rsidP="005458B6">
            <w:pPr>
              <w:jc w:val="right"/>
              <w:rPr>
                <w:rFonts w:ascii="Arial" w:hAnsi="Arial" w:cs="Arial"/>
                <w:b/>
                <w:bCs/>
                <w:color w:val="000000"/>
                <w:sz w:val="20"/>
                <w:szCs w:val="20"/>
              </w:rPr>
            </w:pPr>
            <w:r w:rsidRPr="005458B6">
              <w:rPr>
                <w:rFonts w:ascii="Arial" w:hAnsi="Arial" w:cs="Arial"/>
                <w:b/>
                <w:bCs/>
                <w:color w:val="000000"/>
                <w:sz w:val="20"/>
                <w:szCs w:val="20"/>
              </w:rPr>
              <w:t>1,511,093</w:t>
            </w:r>
          </w:p>
        </w:tc>
      </w:tr>
    </w:tbl>
    <w:p w14:paraId="47E8031B" w14:textId="77777777" w:rsidR="00A82D38" w:rsidRPr="005458B6" w:rsidRDefault="00A82D38" w:rsidP="001677FE">
      <w:pPr>
        <w:pStyle w:val="BodyTextIndent2"/>
        <w:spacing w:after="0" w:line="240" w:lineRule="auto"/>
        <w:ind w:left="0"/>
        <w:jc w:val="both"/>
        <w:rPr>
          <w:rFonts w:ascii="Arial" w:hAnsi="Arial" w:cs="Arial"/>
          <w:b/>
          <w:bCs/>
          <w:sz w:val="22"/>
          <w:szCs w:val="22"/>
        </w:rPr>
      </w:pPr>
    </w:p>
    <w:tbl>
      <w:tblPr>
        <w:tblW w:w="10219" w:type="dxa"/>
        <w:jc w:val="center"/>
        <w:tblLayout w:type="fixed"/>
        <w:tblLook w:val="04A0" w:firstRow="1" w:lastRow="0" w:firstColumn="1" w:lastColumn="0" w:noHBand="0" w:noVBand="1"/>
      </w:tblPr>
      <w:tblGrid>
        <w:gridCol w:w="2784"/>
        <w:gridCol w:w="1934"/>
        <w:gridCol w:w="1559"/>
        <w:gridCol w:w="1971"/>
        <w:gridCol w:w="1971"/>
      </w:tblGrid>
      <w:tr w:rsidR="00007128" w:rsidRPr="00B7645A" w14:paraId="4E590E9E" w14:textId="6EC23C32" w:rsidTr="00A82D38">
        <w:trPr>
          <w:trHeight w:val="1030"/>
          <w:jc w:val="center"/>
        </w:trPr>
        <w:tc>
          <w:tcPr>
            <w:tcW w:w="2784" w:type="dxa"/>
            <w:tcBorders>
              <w:top w:val="nil"/>
              <w:left w:val="nil"/>
              <w:bottom w:val="nil"/>
              <w:right w:val="nil"/>
            </w:tcBorders>
            <w:shd w:val="clear" w:color="auto" w:fill="auto"/>
            <w:vAlign w:val="bottom"/>
          </w:tcPr>
          <w:p w14:paraId="65FAE4EE" w14:textId="0CA48780" w:rsidR="00007128" w:rsidRPr="00B7645A" w:rsidRDefault="00007128" w:rsidP="00220656">
            <w:pPr>
              <w:ind w:firstLine="42"/>
              <w:rPr>
                <w:rFonts w:ascii="Arial" w:hAnsi="Arial" w:cs="Arial"/>
                <w:color w:val="000000"/>
                <w:sz w:val="20"/>
                <w:szCs w:val="20"/>
              </w:rPr>
            </w:pPr>
          </w:p>
        </w:tc>
        <w:tc>
          <w:tcPr>
            <w:tcW w:w="1934" w:type="dxa"/>
            <w:tcBorders>
              <w:top w:val="nil"/>
              <w:left w:val="nil"/>
              <w:bottom w:val="nil"/>
              <w:right w:val="nil"/>
            </w:tcBorders>
            <w:shd w:val="clear" w:color="auto" w:fill="auto"/>
            <w:vAlign w:val="bottom"/>
            <w:hideMark/>
          </w:tcPr>
          <w:p w14:paraId="0F3104F0" w14:textId="77777777" w:rsidR="00007128" w:rsidRPr="004A3AC2" w:rsidRDefault="00007128" w:rsidP="00ED421D">
            <w:pPr>
              <w:jc w:val="center"/>
              <w:rPr>
                <w:rFonts w:ascii="Arial" w:hAnsi="Arial" w:cs="Arial"/>
                <w:b/>
                <w:bCs/>
                <w:color w:val="000000"/>
                <w:sz w:val="20"/>
                <w:szCs w:val="20"/>
              </w:rPr>
            </w:pPr>
            <w:r w:rsidRPr="004A3AC2">
              <w:rPr>
                <w:rFonts w:ascii="Arial" w:hAnsi="Arial" w:cs="Arial"/>
                <w:b/>
                <w:bCs/>
                <w:color w:val="000000"/>
                <w:sz w:val="20"/>
                <w:szCs w:val="20"/>
              </w:rPr>
              <w:t>Quoted market price</w:t>
            </w:r>
          </w:p>
          <w:p w14:paraId="652D766B" w14:textId="1BD0F9E4" w:rsidR="00007128" w:rsidRPr="004A3AC2" w:rsidRDefault="00007128" w:rsidP="00220656">
            <w:pPr>
              <w:jc w:val="center"/>
              <w:rPr>
                <w:rFonts w:ascii="Arial" w:hAnsi="Arial" w:cs="Arial"/>
                <w:b/>
                <w:bCs/>
                <w:color w:val="000000"/>
                <w:sz w:val="20"/>
                <w:szCs w:val="20"/>
              </w:rPr>
            </w:pPr>
          </w:p>
        </w:tc>
        <w:tc>
          <w:tcPr>
            <w:tcW w:w="1559" w:type="dxa"/>
            <w:tcBorders>
              <w:top w:val="nil"/>
              <w:left w:val="nil"/>
              <w:bottom w:val="nil"/>
              <w:right w:val="nil"/>
            </w:tcBorders>
            <w:shd w:val="clear" w:color="auto" w:fill="auto"/>
            <w:vAlign w:val="bottom"/>
            <w:hideMark/>
          </w:tcPr>
          <w:p w14:paraId="7C17B839" w14:textId="77777777" w:rsidR="00007128" w:rsidRPr="004A3AC2" w:rsidRDefault="00007128" w:rsidP="00ED421D">
            <w:pPr>
              <w:jc w:val="center"/>
              <w:rPr>
                <w:rFonts w:ascii="Arial" w:hAnsi="Arial" w:cs="Arial"/>
                <w:b/>
                <w:bCs/>
                <w:color w:val="000000"/>
                <w:sz w:val="20"/>
                <w:szCs w:val="20"/>
              </w:rPr>
            </w:pPr>
            <w:r w:rsidRPr="004A3AC2">
              <w:rPr>
                <w:rFonts w:ascii="Arial" w:hAnsi="Arial" w:cs="Arial"/>
                <w:b/>
                <w:bCs/>
                <w:color w:val="000000"/>
                <w:sz w:val="20"/>
                <w:szCs w:val="20"/>
              </w:rPr>
              <w:t>Using observable inputs</w:t>
            </w:r>
          </w:p>
          <w:p w14:paraId="1C24DFA8" w14:textId="4BD8BB1A" w:rsidR="00007128" w:rsidRPr="004A3AC2" w:rsidRDefault="00007128" w:rsidP="00220656">
            <w:pPr>
              <w:jc w:val="center"/>
              <w:rPr>
                <w:rFonts w:ascii="Arial" w:hAnsi="Arial" w:cs="Arial"/>
                <w:b/>
                <w:bCs/>
                <w:color w:val="000000"/>
                <w:sz w:val="20"/>
                <w:szCs w:val="20"/>
              </w:rPr>
            </w:pPr>
          </w:p>
        </w:tc>
        <w:tc>
          <w:tcPr>
            <w:tcW w:w="1971" w:type="dxa"/>
            <w:tcBorders>
              <w:top w:val="nil"/>
              <w:left w:val="nil"/>
              <w:bottom w:val="nil"/>
              <w:right w:val="nil"/>
            </w:tcBorders>
            <w:shd w:val="clear" w:color="auto" w:fill="auto"/>
            <w:vAlign w:val="bottom"/>
            <w:hideMark/>
          </w:tcPr>
          <w:p w14:paraId="4F1AA1CB" w14:textId="77777777" w:rsidR="00007128" w:rsidRPr="004A3AC2" w:rsidRDefault="00007128" w:rsidP="00ED421D">
            <w:pPr>
              <w:jc w:val="center"/>
              <w:rPr>
                <w:rFonts w:ascii="Arial" w:hAnsi="Arial" w:cs="Arial"/>
                <w:b/>
                <w:bCs/>
                <w:color w:val="000000"/>
                <w:sz w:val="20"/>
                <w:szCs w:val="20"/>
              </w:rPr>
            </w:pPr>
            <w:r w:rsidRPr="004A3AC2">
              <w:rPr>
                <w:rFonts w:ascii="Arial" w:hAnsi="Arial" w:cs="Arial"/>
                <w:b/>
                <w:bCs/>
                <w:color w:val="000000"/>
                <w:sz w:val="20"/>
                <w:szCs w:val="20"/>
              </w:rPr>
              <w:t>With significant unobservable inputs</w:t>
            </w:r>
          </w:p>
          <w:p w14:paraId="4DA50260" w14:textId="18FA7060" w:rsidR="00007128" w:rsidRPr="004A3AC2" w:rsidRDefault="00007128" w:rsidP="00220656">
            <w:pPr>
              <w:jc w:val="center"/>
              <w:rPr>
                <w:rFonts w:ascii="Arial" w:hAnsi="Arial" w:cs="Arial"/>
                <w:b/>
                <w:bCs/>
                <w:color w:val="000000"/>
                <w:sz w:val="20"/>
                <w:szCs w:val="20"/>
              </w:rPr>
            </w:pPr>
          </w:p>
        </w:tc>
        <w:tc>
          <w:tcPr>
            <w:tcW w:w="1971" w:type="dxa"/>
            <w:tcBorders>
              <w:top w:val="nil"/>
              <w:left w:val="nil"/>
              <w:bottom w:val="nil"/>
              <w:right w:val="nil"/>
            </w:tcBorders>
          </w:tcPr>
          <w:p w14:paraId="2C8C3610" w14:textId="77777777" w:rsidR="00007128" w:rsidRPr="004A3AC2" w:rsidRDefault="00007128" w:rsidP="00ED421D">
            <w:pPr>
              <w:jc w:val="center"/>
              <w:rPr>
                <w:rFonts w:ascii="Arial" w:hAnsi="Arial" w:cs="Arial"/>
                <w:b/>
                <w:bCs/>
                <w:color w:val="000000"/>
                <w:sz w:val="20"/>
                <w:szCs w:val="20"/>
              </w:rPr>
            </w:pPr>
          </w:p>
        </w:tc>
      </w:tr>
      <w:tr w:rsidR="00007128" w:rsidRPr="00B7645A" w14:paraId="6795F5DB" w14:textId="04B5387E" w:rsidTr="00A82D38">
        <w:trPr>
          <w:trHeight w:val="39"/>
          <w:jc w:val="center"/>
        </w:trPr>
        <w:tc>
          <w:tcPr>
            <w:tcW w:w="2784" w:type="dxa"/>
            <w:tcBorders>
              <w:top w:val="nil"/>
              <w:left w:val="nil"/>
              <w:bottom w:val="nil"/>
              <w:right w:val="nil"/>
            </w:tcBorders>
            <w:shd w:val="clear" w:color="auto" w:fill="auto"/>
            <w:vAlign w:val="bottom"/>
          </w:tcPr>
          <w:p w14:paraId="499292E6" w14:textId="77777777" w:rsidR="00007128" w:rsidRPr="00B7645A" w:rsidRDefault="00007128"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hideMark/>
          </w:tcPr>
          <w:p w14:paraId="171A50AF" w14:textId="32C45085" w:rsidR="00007128" w:rsidRPr="004A3AC2" w:rsidRDefault="00007128" w:rsidP="00220656">
            <w:pPr>
              <w:jc w:val="center"/>
              <w:rPr>
                <w:rFonts w:ascii="Arial" w:hAnsi="Arial" w:cs="Arial"/>
                <w:b/>
                <w:bCs/>
                <w:color w:val="000000"/>
                <w:sz w:val="20"/>
                <w:szCs w:val="20"/>
              </w:rPr>
            </w:pPr>
          </w:p>
        </w:tc>
        <w:tc>
          <w:tcPr>
            <w:tcW w:w="1971" w:type="dxa"/>
            <w:tcBorders>
              <w:top w:val="nil"/>
              <w:left w:val="nil"/>
              <w:bottom w:val="nil"/>
              <w:right w:val="nil"/>
            </w:tcBorders>
          </w:tcPr>
          <w:p w14:paraId="3744DA85" w14:textId="77777777" w:rsidR="00007128" w:rsidRPr="004A3AC2" w:rsidRDefault="00007128" w:rsidP="00220656">
            <w:pPr>
              <w:jc w:val="center"/>
              <w:rPr>
                <w:rFonts w:ascii="Arial" w:hAnsi="Arial" w:cs="Arial"/>
                <w:b/>
                <w:bCs/>
                <w:color w:val="000000"/>
                <w:sz w:val="20"/>
                <w:szCs w:val="20"/>
              </w:rPr>
            </w:pPr>
          </w:p>
        </w:tc>
      </w:tr>
      <w:tr w:rsidR="00F455AF" w:rsidRPr="00B7645A" w14:paraId="15AA0487" w14:textId="77777777" w:rsidTr="002A19D3">
        <w:trPr>
          <w:trHeight w:val="39"/>
          <w:jc w:val="center"/>
        </w:trPr>
        <w:tc>
          <w:tcPr>
            <w:tcW w:w="2784" w:type="dxa"/>
            <w:tcBorders>
              <w:top w:val="nil"/>
              <w:left w:val="nil"/>
              <w:right w:val="nil"/>
            </w:tcBorders>
            <w:shd w:val="clear" w:color="auto" w:fill="auto"/>
            <w:vAlign w:val="bottom"/>
          </w:tcPr>
          <w:p w14:paraId="68DA1025" w14:textId="77777777" w:rsidR="00F455AF" w:rsidRPr="00B7645A" w:rsidRDefault="00F455AF"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10AA4864" w14:textId="23006CE5" w:rsidR="00F455AF" w:rsidRPr="004A3AC2" w:rsidRDefault="00260385" w:rsidP="00260385">
            <w:pPr>
              <w:rPr>
                <w:rFonts w:ascii="Arial" w:hAnsi="Arial" w:cs="Arial"/>
                <w:b/>
                <w:bCs/>
                <w:color w:val="000000"/>
                <w:sz w:val="20"/>
                <w:szCs w:val="20"/>
              </w:rPr>
            </w:pPr>
            <w:r w:rsidRPr="004A3AC2">
              <w:rPr>
                <w:rFonts w:ascii="Arial" w:hAnsi="Arial" w:cs="Arial"/>
                <w:b/>
                <w:bCs/>
                <w:color w:val="000000"/>
                <w:sz w:val="20"/>
                <w:szCs w:val="20"/>
              </w:rPr>
              <w:t xml:space="preserve">          Level 1                    Level 2                     Level 3</w:t>
            </w:r>
          </w:p>
        </w:tc>
        <w:tc>
          <w:tcPr>
            <w:tcW w:w="1971" w:type="dxa"/>
            <w:tcBorders>
              <w:top w:val="nil"/>
              <w:left w:val="nil"/>
              <w:bottom w:val="nil"/>
              <w:right w:val="nil"/>
            </w:tcBorders>
          </w:tcPr>
          <w:p w14:paraId="6FA7DBD9" w14:textId="74155F2F" w:rsidR="00F455AF" w:rsidRPr="004A3AC2" w:rsidRDefault="00260385" w:rsidP="00220656">
            <w:pPr>
              <w:jc w:val="center"/>
              <w:rPr>
                <w:rFonts w:ascii="Arial" w:hAnsi="Arial" w:cs="Arial"/>
                <w:b/>
                <w:bCs/>
                <w:color w:val="000000"/>
                <w:sz w:val="20"/>
                <w:szCs w:val="20"/>
              </w:rPr>
            </w:pPr>
            <w:r w:rsidRPr="004A3AC2">
              <w:rPr>
                <w:rFonts w:ascii="Arial" w:hAnsi="Arial" w:cs="Arial"/>
                <w:b/>
                <w:bCs/>
                <w:color w:val="000000"/>
                <w:sz w:val="20"/>
                <w:szCs w:val="20"/>
              </w:rPr>
              <w:t>Total</w:t>
            </w:r>
          </w:p>
        </w:tc>
      </w:tr>
      <w:tr w:rsidR="00260385" w:rsidRPr="00B7645A" w14:paraId="4FB2FF3C" w14:textId="77777777" w:rsidTr="00A82D38">
        <w:trPr>
          <w:trHeight w:val="39"/>
          <w:jc w:val="center"/>
        </w:trPr>
        <w:tc>
          <w:tcPr>
            <w:tcW w:w="2784" w:type="dxa"/>
            <w:tcBorders>
              <w:top w:val="nil"/>
              <w:left w:val="nil"/>
              <w:bottom w:val="nil"/>
              <w:right w:val="nil"/>
            </w:tcBorders>
            <w:shd w:val="clear" w:color="auto" w:fill="auto"/>
            <w:vAlign w:val="bottom"/>
          </w:tcPr>
          <w:p w14:paraId="704A0326" w14:textId="77777777" w:rsidR="00260385" w:rsidRPr="00B7645A" w:rsidRDefault="00260385"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6267A989" w14:textId="77777777" w:rsidR="00260385" w:rsidRPr="004A3AC2" w:rsidRDefault="00260385" w:rsidP="00220656">
            <w:pPr>
              <w:jc w:val="center"/>
              <w:rPr>
                <w:rFonts w:ascii="Arial" w:hAnsi="Arial" w:cs="Arial"/>
                <w:b/>
                <w:bCs/>
                <w:color w:val="000000"/>
                <w:sz w:val="20"/>
                <w:szCs w:val="20"/>
              </w:rPr>
            </w:pPr>
          </w:p>
        </w:tc>
        <w:tc>
          <w:tcPr>
            <w:tcW w:w="1971" w:type="dxa"/>
            <w:tcBorders>
              <w:top w:val="nil"/>
              <w:left w:val="nil"/>
              <w:bottom w:val="nil"/>
              <w:right w:val="nil"/>
            </w:tcBorders>
          </w:tcPr>
          <w:p w14:paraId="3DDFD9CA" w14:textId="77777777" w:rsidR="00260385" w:rsidRPr="004A3AC2" w:rsidRDefault="00260385" w:rsidP="00220656">
            <w:pPr>
              <w:jc w:val="center"/>
              <w:rPr>
                <w:rFonts w:ascii="Arial" w:hAnsi="Arial" w:cs="Arial"/>
                <w:b/>
                <w:bCs/>
                <w:color w:val="000000"/>
                <w:sz w:val="20"/>
                <w:szCs w:val="20"/>
              </w:rPr>
            </w:pPr>
          </w:p>
        </w:tc>
      </w:tr>
      <w:tr w:rsidR="0039361E" w:rsidRPr="00B7645A" w14:paraId="7CD018E9" w14:textId="17198B29" w:rsidTr="00A82D38">
        <w:trPr>
          <w:trHeight w:val="39"/>
          <w:jc w:val="center"/>
        </w:trPr>
        <w:tc>
          <w:tcPr>
            <w:tcW w:w="2784" w:type="dxa"/>
            <w:tcBorders>
              <w:top w:val="nil"/>
              <w:left w:val="nil"/>
              <w:bottom w:val="nil"/>
              <w:right w:val="nil"/>
            </w:tcBorders>
            <w:shd w:val="clear" w:color="000000" w:fill="FFFFFF"/>
            <w:vAlign w:val="bottom"/>
            <w:hideMark/>
          </w:tcPr>
          <w:p w14:paraId="7F05B9CE" w14:textId="0EE1896B" w:rsidR="0039361E" w:rsidRPr="00B7645A" w:rsidRDefault="0039361E" w:rsidP="0039361E">
            <w:pPr>
              <w:rPr>
                <w:rFonts w:ascii="Arial" w:hAnsi="Arial" w:cs="Arial"/>
                <w:color w:val="000000"/>
                <w:sz w:val="20"/>
                <w:szCs w:val="20"/>
              </w:rPr>
            </w:pPr>
            <w:r w:rsidRPr="00B7645A">
              <w:rPr>
                <w:rFonts w:ascii="Arial" w:hAnsi="Arial" w:cs="Arial"/>
                <w:color w:val="000000"/>
                <w:sz w:val="20"/>
                <w:szCs w:val="20"/>
              </w:rPr>
              <w:t xml:space="preserve">Values </w:t>
            </w:r>
            <w:proofErr w:type="gramStart"/>
            <w:r w:rsidRPr="00B7645A">
              <w:rPr>
                <w:rFonts w:ascii="Arial" w:hAnsi="Arial" w:cs="Arial"/>
                <w:color w:val="000000"/>
                <w:sz w:val="20"/>
                <w:szCs w:val="20"/>
              </w:rPr>
              <w:t>at</w:t>
            </w:r>
            <w:proofErr w:type="gramEnd"/>
            <w:r w:rsidRPr="00B7645A">
              <w:rPr>
                <w:rFonts w:ascii="Arial" w:hAnsi="Arial" w:cs="Arial"/>
                <w:color w:val="000000"/>
                <w:sz w:val="20"/>
                <w:szCs w:val="20"/>
              </w:rPr>
              <w:t xml:space="preserve"> 31 March 2024</w:t>
            </w:r>
          </w:p>
        </w:tc>
        <w:tc>
          <w:tcPr>
            <w:tcW w:w="1934" w:type="dxa"/>
            <w:tcBorders>
              <w:top w:val="nil"/>
              <w:left w:val="nil"/>
              <w:bottom w:val="nil"/>
              <w:right w:val="nil"/>
            </w:tcBorders>
            <w:shd w:val="clear" w:color="000000" w:fill="FFFFFF"/>
            <w:vAlign w:val="bottom"/>
            <w:hideMark/>
          </w:tcPr>
          <w:p w14:paraId="19B61F94" w14:textId="77777777" w:rsidR="0039361E" w:rsidRPr="00D94BB1" w:rsidRDefault="0039361E" w:rsidP="007A73D0">
            <w:pPr>
              <w:jc w:val="right"/>
              <w:rPr>
                <w:rFonts w:ascii="Arial" w:hAnsi="Arial" w:cs="Arial"/>
                <w:b/>
                <w:bCs/>
                <w:color w:val="000000"/>
                <w:sz w:val="20"/>
                <w:szCs w:val="20"/>
              </w:rPr>
            </w:pPr>
            <w:r w:rsidRPr="00D94BB1">
              <w:rPr>
                <w:rFonts w:ascii="Arial" w:hAnsi="Arial" w:cs="Arial"/>
                <w:b/>
                <w:bCs/>
                <w:color w:val="000000"/>
                <w:sz w:val="20"/>
                <w:szCs w:val="20"/>
              </w:rPr>
              <w:t>£000</w:t>
            </w:r>
          </w:p>
        </w:tc>
        <w:tc>
          <w:tcPr>
            <w:tcW w:w="1559" w:type="dxa"/>
            <w:tcBorders>
              <w:top w:val="nil"/>
              <w:left w:val="nil"/>
              <w:bottom w:val="nil"/>
              <w:right w:val="nil"/>
            </w:tcBorders>
            <w:shd w:val="clear" w:color="000000" w:fill="FFFFFF"/>
            <w:vAlign w:val="bottom"/>
            <w:hideMark/>
          </w:tcPr>
          <w:p w14:paraId="7AE64176" w14:textId="77777777" w:rsidR="0039361E" w:rsidRPr="00D94BB1" w:rsidRDefault="0039361E" w:rsidP="007A73D0">
            <w:pPr>
              <w:jc w:val="right"/>
              <w:rPr>
                <w:rFonts w:ascii="Arial" w:hAnsi="Arial" w:cs="Arial"/>
                <w:b/>
                <w:bCs/>
                <w:color w:val="000000"/>
                <w:sz w:val="20"/>
                <w:szCs w:val="20"/>
              </w:rPr>
            </w:pPr>
            <w:r w:rsidRPr="00D94BB1">
              <w:rPr>
                <w:rFonts w:ascii="Arial" w:hAnsi="Arial" w:cs="Arial"/>
                <w:b/>
                <w:bCs/>
                <w:color w:val="000000"/>
                <w:sz w:val="20"/>
                <w:szCs w:val="20"/>
              </w:rPr>
              <w:t>£000</w:t>
            </w:r>
          </w:p>
        </w:tc>
        <w:tc>
          <w:tcPr>
            <w:tcW w:w="1971" w:type="dxa"/>
            <w:tcBorders>
              <w:top w:val="nil"/>
              <w:left w:val="nil"/>
              <w:bottom w:val="nil"/>
              <w:right w:val="nil"/>
            </w:tcBorders>
            <w:shd w:val="clear" w:color="000000" w:fill="FFFFFF"/>
            <w:vAlign w:val="bottom"/>
            <w:hideMark/>
          </w:tcPr>
          <w:p w14:paraId="6E6A3DC1" w14:textId="77777777" w:rsidR="0039361E" w:rsidRPr="00D94BB1" w:rsidRDefault="0039361E" w:rsidP="007A73D0">
            <w:pPr>
              <w:jc w:val="right"/>
              <w:rPr>
                <w:rFonts w:ascii="Arial" w:hAnsi="Arial" w:cs="Arial"/>
                <w:b/>
                <w:bCs/>
                <w:color w:val="000000"/>
                <w:sz w:val="20"/>
                <w:szCs w:val="20"/>
              </w:rPr>
            </w:pPr>
            <w:r w:rsidRPr="00D94BB1">
              <w:rPr>
                <w:rFonts w:ascii="Arial" w:hAnsi="Arial" w:cs="Arial"/>
                <w:b/>
                <w:bCs/>
                <w:color w:val="000000"/>
                <w:sz w:val="20"/>
                <w:szCs w:val="20"/>
              </w:rPr>
              <w:t>£000</w:t>
            </w:r>
          </w:p>
        </w:tc>
        <w:tc>
          <w:tcPr>
            <w:tcW w:w="1971" w:type="dxa"/>
            <w:tcBorders>
              <w:top w:val="nil"/>
              <w:left w:val="nil"/>
              <w:bottom w:val="nil"/>
              <w:right w:val="nil"/>
            </w:tcBorders>
            <w:shd w:val="clear" w:color="000000" w:fill="FFFFFF"/>
          </w:tcPr>
          <w:p w14:paraId="49FC6DB3" w14:textId="749CD973" w:rsidR="0039361E" w:rsidRPr="00D94BB1" w:rsidRDefault="0039361E" w:rsidP="007A73D0">
            <w:pPr>
              <w:jc w:val="right"/>
              <w:rPr>
                <w:rFonts w:ascii="Arial" w:hAnsi="Arial" w:cs="Arial"/>
                <w:b/>
                <w:bCs/>
                <w:color w:val="000000"/>
                <w:sz w:val="20"/>
                <w:szCs w:val="20"/>
              </w:rPr>
            </w:pPr>
            <w:r w:rsidRPr="00D94BB1">
              <w:rPr>
                <w:rFonts w:ascii="Arial" w:hAnsi="Arial" w:cs="Arial"/>
                <w:b/>
                <w:bCs/>
                <w:color w:val="000000"/>
                <w:sz w:val="20"/>
                <w:szCs w:val="20"/>
              </w:rPr>
              <w:t>£000</w:t>
            </w:r>
          </w:p>
        </w:tc>
      </w:tr>
      <w:tr w:rsidR="00D560E7" w:rsidRPr="00B7645A" w14:paraId="64CEE012" w14:textId="3A7F84F5" w:rsidTr="00A82D38">
        <w:trPr>
          <w:trHeight w:val="37"/>
          <w:jc w:val="center"/>
        </w:trPr>
        <w:tc>
          <w:tcPr>
            <w:tcW w:w="2784" w:type="dxa"/>
            <w:tcBorders>
              <w:top w:val="nil"/>
              <w:left w:val="nil"/>
              <w:bottom w:val="nil"/>
              <w:right w:val="nil"/>
            </w:tcBorders>
            <w:shd w:val="clear" w:color="auto" w:fill="auto"/>
            <w:vAlign w:val="bottom"/>
            <w:hideMark/>
          </w:tcPr>
          <w:p w14:paraId="56588FF7" w14:textId="3B274E55"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Bonds</w:t>
            </w:r>
          </w:p>
        </w:tc>
        <w:tc>
          <w:tcPr>
            <w:tcW w:w="1934" w:type="dxa"/>
            <w:tcBorders>
              <w:top w:val="nil"/>
              <w:left w:val="nil"/>
              <w:bottom w:val="nil"/>
              <w:right w:val="nil"/>
            </w:tcBorders>
            <w:shd w:val="clear" w:color="000000" w:fill="FFFFFF"/>
            <w:vAlign w:val="center"/>
          </w:tcPr>
          <w:p w14:paraId="1E97D12C" w14:textId="1937FC3F"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119,346</w:t>
            </w:r>
          </w:p>
        </w:tc>
        <w:tc>
          <w:tcPr>
            <w:tcW w:w="1559" w:type="dxa"/>
            <w:tcBorders>
              <w:top w:val="nil"/>
              <w:left w:val="nil"/>
              <w:bottom w:val="nil"/>
              <w:right w:val="nil"/>
            </w:tcBorders>
            <w:shd w:val="clear" w:color="auto" w:fill="auto"/>
            <w:vAlign w:val="center"/>
          </w:tcPr>
          <w:p w14:paraId="414041AD" w14:textId="6FA2D4A3"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shd w:val="clear" w:color="auto" w:fill="auto"/>
            <w:vAlign w:val="center"/>
          </w:tcPr>
          <w:p w14:paraId="592468A1" w14:textId="678CBCBA"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vAlign w:val="center"/>
          </w:tcPr>
          <w:p w14:paraId="491C7016" w14:textId="209BF21D"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119,346</w:t>
            </w:r>
          </w:p>
        </w:tc>
      </w:tr>
      <w:tr w:rsidR="00D560E7" w:rsidRPr="00B7645A" w14:paraId="13B62269" w14:textId="17F9CBA8" w:rsidTr="00A82D38">
        <w:trPr>
          <w:trHeight w:val="37"/>
          <w:jc w:val="center"/>
        </w:trPr>
        <w:tc>
          <w:tcPr>
            <w:tcW w:w="2784" w:type="dxa"/>
            <w:tcBorders>
              <w:top w:val="nil"/>
              <w:left w:val="nil"/>
              <w:bottom w:val="nil"/>
              <w:right w:val="nil"/>
            </w:tcBorders>
            <w:shd w:val="clear" w:color="auto" w:fill="auto"/>
            <w:vAlign w:val="bottom"/>
            <w:hideMark/>
          </w:tcPr>
          <w:p w14:paraId="6F770ED8"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Equities</w:t>
            </w:r>
          </w:p>
        </w:tc>
        <w:tc>
          <w:tcPr>
            <w:tcW w:w="1934" w:type="dxa"/>
            <w:tcBorders>
              <w:top w:val="nil"/>
              <w:left w:val="nil"/>
              <w:bottom w:val="nil"/>
              <w:right w:val="nil"/>
            </w:tcBorders>
            <w:shd w:val="clear" w:color="000000" w:fill="FFFFFF"/>
            <w:vAlign w:val="center"/>
          </w:tcPr>
          <w:p w14:paraId="45815B6C" w14:textId="6302BFFF"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552,057</w:t>
            </w:r>
          </w:p>
        </w:tc>
        <w:tc>
          <w:tcPr>
            <w:tcW w:w="1559" w:type="dxa"/>
            <w:tcBorders>
              <w:top w:val="nil"/>
              <w:left w:val="nil"/>
              <w:bottom w:val="nil"/>
              <w:right w:val="nil"/>
            </w:tcBorders>
            <w:shd w:val="clear" w:color="auto" w:fill="auto"/>
            <w:vAlign w:val="center"/>
          </w:tcPr>
          <w:p w14:paraId="0E9D07E4" w14:textId="54C4632E"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shd w:val="clear" w:color="auto" w:fill="auto"/>
            <w:vAlign w:val="center"/>
          </w:tcPr>
          <w:p w14:paraId="39447E82" w14:textId="00B71022"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vAlign w:val="center"/>
          </w:tcPr>
          <w:p w14:paraId="6506A1D4" w14:textId="4768A5FA"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552,057</w:t>
            </w:r>
          </w:p>
        </w:tc>
      </w:tr>
      <w:tr w:rsidR="00D560E7" w:rsidRPr="00B7645A" w14:paraId="468CDC51" w14:textId="724F9F6C" w:rsidTr="00A82D38">
        <w:trPr>
          <w:trHeight w:val="74"/>
          <w:jc w:val="center"/>
        </w:trPr>
        <w:tc>
          <w:tcPr>
            <w:tcW w:w="2784" w:type="dxa"/>
            <w:tcBorders>
              <w:top w:val="nil"/>
              <w:left w:val="nil"/>
              <w:bottom w:val="nil"/>
              <w:right w:val="nil"/>
            </w:tcBorders>
            <w:shd w:val="clear" w:color="auto" w:fill="auto"/>
            <w:vAlign w:val="bottom"/>
          </w:tcPr>
          <w:p w14:paraId="4D52E02C"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 xml:space="preserve">Property Unit Trusts </w:t>
            </w:r>
          </w:p>
        </w:tc>
        <w:tc>
          <w:tcPr>
            <w:tcW w:w="1934" w:type="dxa"/>
            <w:tcBorders>
              <w:top w:val="nil"/>
              <w:left w:val="nil"/>
              <w:bottom w:val="nil"/>
              <w:right w:val="nil"/>
            </w:tcBorders>
            <w:shd w:val="clear" w:color="000000" w:fill="FFFFFF"/>
            <w:vAlign w:val="center"/>
          </w:tcPr>
          <w:p w14:paraId="7F6EE381" w14:textId="43E92EC1"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5C1ABECD" w14:textId="0D1DC031"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shd w:val="clear" w:color="auto" w:fill="auto"/>
            <w:vAlign w:val="center"/>
          </w:tcPr>
          <w:p w14:paraId="0916B0E4" w14:textId="7A5BB83F"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47,850</w:t>
            </w:r>
          </w:p>
        </w:tc>
        <w:tc>
          <w:tcPr>
            <w:tcW w:w="1971" w:type="dxa"/>
            <w:tcBorders>
              <w:top w:val="nil"/>
              <w:left w:val="nil"/>
              <w:bottom w:val="nil"/>
              <w:right w:val="nil"/>
            </w:tcBorders>
            <w:vAlign w:val="center"/>
          </w:tcPr>
          <w:p w14:paraId="73A3EA57" w14:textId="6527A0F5"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47,850</w:t>
            </w:r>
          </w:p>
        </w:tc>
      </w:tr>
      <w:tr w:rsidR="00D560E7" w:rsidRPr="00B7645A" w14:paraId="7EEF1AB7" w14:textId="4A2FEBBA" w:rsidTr="00A82D38">
        <w:trPr>
          <w:trHeight w:val="74"/>
          <w:jc w:val="center"/>
        </w:trPr>
        <w:tc>
          <w:tcPr>
            <w:tcW w:w="2784" w:type="dxa"/>
            <w:tcBorders>
              <w:top w:val="nil"/>
              <w:left w:val="nil"/>
              <w:bottom w:val="nil"/>
              <w:right w:val="nil"/>
            </w:tcBorders>
            <w:shd w:val="clear" w:color="auto" w:fill="auto"/>
            <w:vAlign w:val="bottom"/>
          </w:tcPr>
          <w:p w14:paraId="24ECDFD3"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Pooled Investments</w:t>
            </w:r>
          </w:p>
        </w:tc>
        <w:tc>
          <w:tcPr>
            <w:tcW w:w="1934" w:type="dxa"/>
            <w:tcBorders>
              <w:top w:val="nil"/>
              <w:left w:val="nil"/>
              <w:bottom w:val="nil"/>
              <w:right w:val="nil"/>
            </w:tcBorders>
            <w:shd w:val="clear" w:color="000000" w:fill="FFFFFF"/>
            <w:vAlign w:val="center"/>
          </w:tcPr>
          <w:p w14:paraId="2E5377AC" w14:textId="63B38C23"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5322C90A" w14:textId="4DC621D0"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489,430</w:t>
            </w:r>
          </w:p>
        </w:tc>
        <w:tc>
          <w:tcPr>
            <w:tcW w:w="1971" w:type="dxa"/>
            <w:tcBorders>
              <w:top w:val="nil"/>
              <w:left w:val="nil"/>
              <w:bottom w:val="nil"/>
              <w:right w:val="nil"/>
            </w:tcBorders>
            <w:shd w:val="clear" w:color="auto" w:fill="auto"/>
            <w:vAlign w:val="center"/>
          </w:tcPr>
          <w:p w14:paraId="78877060" w14:textId="09F2A3D9"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vAlign w:val="center"/>
          </w:tcPr>
          <w:p w14:paraId="2B730A40" w14:textId="6799BFCF"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489,430</w:t>
            </w:r>
          </w:p>
        </w:tc>
      </w:tr>
      <w:tr w:rsidR="00D560E7" w:rsidRPr="00B7645A" w14:paraId="60F71E9F" w14:textId="35B28754" w:rsidTr="00A82D38">
        <w:trPr>
          <w:trHeight w:val="74"/>
          <w:jc w:val="center"/>
        </w:trPr>
        <w:tc>
          <w:tcPr>
            <w:tcW w:w="2784" w:type="dxa"/>
            <w:tcBorders>
              <w:top w:val="nil"/>
              <w:left w:val="nil"/>
              <w:bottom w:val="nil"/>
              <w:right w:val="nil"/>
            </w:tcBorders>
            <w:shd w:val="clear" w:color="auto" w:fill="auto"/>
            <w:vAlign w:val="bottom"/>
          </w:tcPr>
          <w:p w14:paraId="35E0EAD2"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Private Equity</w:t>
            </w:r>
          </w:p>
        </w:tc>
        <w:tc>
          <w:tcPr>
            <w:tcW w:w="1934" w:type="dxa"/>
            <w:tcBorders>
              <w:top w:val="nil"/>
              <w:left w:val="nil"/>
              <w:bottom w:val="nil"/>
              <w:right w:val="nil"/>
            </w:tcBorders>
            <w:shd w:val="clear" w:color="000000" w:fill="FFFFFF"/>
            <w:vAlign w:val="center"/>
          </w:tcPr>
          <w:p w14:paraId="109D5C60" w14:textId="7A13F560"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7FED796E" w14:textId="4962E188"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shd w:val="clear" w:color="auto" w:fill="auto"/>
            <w:vAlign w:val="center"/>
          </w:tcPr>
          <w:p w14:paraId="545877C2" w14:textId="56E4742B"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107,474</w:t>
            </w:r>
          </w:p>
        </w:tc>
        <w:tc>
          <w:tcPr>
            <w:tcW w:w="1971" w:type="dxa"/>
            <w:tcBorders>
              <w:top w:val="nil"/>
              <w:left w:val="nil"/>
              <w:bottom w:val="nil"/>
              <w:right w:val="nil"/>
            </w:tcBorders>
            <w:vAlign w:val="center"/>
          </w:tcPr>
          <w:p w14:paraId="1CFE7AAF" w14:textId="5895C282"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107,474</w:t>
            </w:r>
          </w:p>
        </w:tc>
      </w:tr>
      <w:tr w:rsidR="00D560E7" w:rsidRPr="00B7645A" w14:paraId="1EC285D9" w14:textId="09D6EA8E" w:rsidTr="00A82D38">
        <w:trPr>
          <w:trHeight w:val="37"/>
          <w:jc w:val="center"/>
        </w:trPr>
        <w:tc>
          <w:tcPr>
            <w:tcW w:w="2784" w:type="dxa"/>
            <w:tcBorders>
              <w:top w:val="nil"/>
              <w:left w:val="nil"/>
              <w:bottom w:val="nil"/>
              <w:right w:val="nil"/>
            </w:tcBorders>
            <w:shd w:val="clear" w:color="auto" w:fill="auto"/>
            <w:vAlign w:val="bottom"/>
            <w:hideMark/>
          </w:tcPr>
          <w:p w14:paraId="035EAF1A" w14:textId="44D44493" w:rsidR="00D560E7" w:rsidRPr="00B7645A" w:rsidRDefault="00553687" w:rsidP="00D560E7">
            <w:pPr>
              <w:rPr>
                <w:rFonts w:ascii="Arial" w:hAnsi="Arial" w:cs="Arial"/>
                <w:color w:val="000000"/>
                <w:sz w:val="20"/>
                <w:szCs w:val="20"/>
              </w:rPr>
            </w:pPr>
            <w:r>
              <w:rPr>
                <w:rFonts w:ascii="Arial" w:hAnsi="Arial" w:cs="Arial"/>
                <w:color w:val="000000"/>
                <w:sz w:val="20"/>
                <w:szCs w:val="20"/>
              </w:rPr>
              <w:t>Cash deposits held with Custodian</w:t>
            </w:r>
          </w:p>
        </w:tc>
        <w:tc>
          <w:tcPr>
            <w:tcW w:w="1934" w:type="dxa"/>
            <w:tcBorders>
              <w:top w:val="nil"/>
              <w:left w:val="nil"/>
              <w:bottom w:val="nil"/>
              <w:right w:val="nil"/>
            </w:tcBorders>
            <w:shd w:val="clear" w:color="auto" w:fill="auto"/>
            <w:vAlign w:val="center"/>
          </w:tcPr>
          <w:p w14:paraId="62703D27" w14:textId="5902A0CA"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7,426</w:t>
            </w:r>
          </w:p>
        </w:tc>
        <w:tc>
          <w:tcPr>
            <w:tcW w:w="1559" w:type="dxa"/>
            <w:tcBorders>
              <w:top w:val="nil"/>
              <w:left w:val="nil"/>
              <w:bottom w:val="nil"/>
              <w:right w:val="nil"/>
            </w:tcBorders>
            <w:shd w:val="clear" w:color="auto" w:fill="auto"/>
            <w:vAlign w:val="center"/>
          </w:tcPr>
          <w:p w14:paraId="06E6F0AA" w14:textId="7172EE0D"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shd w:val="clear" w:color="auto" w:fill="auto"/>
            <w:vAlign w:val="center"/>
          </w:tcPr>
          <w:p w14:paraId="64AB6805" w14:textId="3C8477DA"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vAlign w:val="center"/>
          </w:tcPr>
          <w:p w14:paraId="14F10EAC" w14:textId="2229A396"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7,426</w:t>
            </w:r>
          </w:p>
        </w:tc>
      </w:tr>
      <w:tr w:rsidR="00D560E7" w:rsidRPr="00B7645A" w14:paraId="3827F959" w14:textId="5FD44C90" w:rsidTr="00A82D38">
        <w:trPr>
          <w:trHeight w:val="37"/>
          <w:jc w:val="center"/>
        </w:trPr>
        <w:tc>
          <w:tcPr>
            <w:tcW w:w="2784" w:type="dxa"/>
            <w:tcBorders>
              <w:top w:val="nil"/>
              <w:left w:val="nil"/>
              <w:bottom w:val="nil"/>
              <w:right w:val="nil"/>
            </w:tcBorders>
            <w:shd w:val="clear" w:color="auto" w:fill="auto"/>
            <w:vAlign w:val="bottom"/>
          </w:tcPr>
          <w:p w14:paraId="27959D3E"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Alternatives</w:t>
            </w:r>
          </w:p>
        </w:tc>
        <w:tc>
          <w:tcPr>
            <w:tcW w:w="1934" w:type="dxa"/>
            <w:tcBorders>
              <w:top w:val="nil"/>
              <w:left w:val="nil"/>
              <w:bottom w:val="nil"/>
              <w:right w:val="nil"/>
            </w:tcBorders>
            <w:shd w:val="clear" w:color="auto" w:fill="auto"/>
            <w:vAlign w:val="center"/>
          </w:tcPr>
          <w:p w14:paraId="31BE0AF9" w14:textId="6AB95BD5"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62B7B5D1" w14:textId="61236C25" w:rsidR="00D560E7" w:rsidRPr="00750CE2" w:rsidRDefault="000375C1" w:rsidP="00D560E7">
            <w:pPr>
              <w:jc w:val="right"/>
              <w:rPr>
                <w:rFonts w:ascii="Arial" w:hAnsi="Arial" w:cs="Arial"/>
                <w:sz w:val="20"/>
                <w:szCs w:val="20"/>
              </w:rPr>
            </w:pPr>
            <w:r w:rsidRPr="00750CE2">
              <w:rPr>
                <w:rFonts w:ascii="Arial" w:hAnsi="Arial" w:cs="Arial"/>
                <w:sz w:val="20"/>
                <w:szCs w:val="20"/>
              </w:rPr>
              <w:t>-</w:t>
            </w:r>
          </w:p>
        </w:tc>
        <w:tc>
          <w:tcPr>
            <w:tcW w:w="1971" w:type="dxa"/>
            <w:tcBorders>
              <w:top w:val="nil"/>
              <w:left w:val="nil"/>
              <w:bottom w:val="nil"/>
              <w:right w:val="nil"/>
            </w:tcBorders>
            <w:shd w:val="clear" w:color="auto" w:fill="auto"/>
            <w:vAlign w:val="center"/>
          </w:tcPr>
          <w:p w14:paraId="3CC6F814" w14:textId="400BD399"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34,653</w:t>
            </w:r>
          </w:p>
        </w:tc>
        <w:tc>
          <w:tcPr>
            <w:tcW w:w="1971" w:type="dxa"/>
            <w:tcBorders>
              <w:top w:val="nil"/>
              <w:left w:val="nil"/>
              <w:bottom w:val="nil"/>
              <w:right w:val="nil"/>
            </w:tcBorders>
            <w:vAlign w:val="center"/>
          </w:tcPr>
          <w:p w14:paraId="6E8A0C79" w14:textId="5EEE35E6"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34,653</w:t>
            </w:r>
          </w:p>
        </w:tc>
      </w:tr>
      <w:tr w:rsidR="00D560E7" w:rsidRPr="00B7645A" w14:paraId="74F72899" w14:textId="6F337C84" w:rsidTr="00A82D38">
        <w:trPr>
          <w:trHeight w:val="37"/>
          <w:jc w:val="center"/>
        </w:trPr>
        <w:tc>
          <w:tcPr>
            <w:tcW w:w="2784" w:type="dxa"/>
            <w:tcBorders>
              <w:top w:val="nil"/>
              <w:left w:val="nil"/>
              <w:bottom w:val="nil"/>
              <w:right w:val="nil"/>
            </w:tcBorders>
            <w:shd w:val="clear" w:color="auto" w:fill="auto"/>
            <w:vAlign w:val="bottom"/>
          </w:tcPr>
          <w:p w14:paraId="70959C40"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Infrastructure</w:t>
            </w:r>
          </w:p>
        </w:tc>
        <w:tc>
          <w:tcPr>
            <w:tcW w:w="1934" w:type="dxa"/>
            <w:tcBorders>
              <w:top w:val="nil"/>
              <w:left w:val="nil"/>
              <w:bottom w:val="nil"/>
              <w:right w:val="nil"/>
            </w:tcBorders>
            <w:shd w:val="clear" w:color="auto" w:fill="auto"/>
            <w:vAlign w:val="center"/>
          </w:tcPr>
          <w:p w14:paraId="36984A0C" w14:textId="6404F33D"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0B5D7F83" w14:textId="1D312076" w:rsidR="00D560E7" w:rsidRPr="00750CE2" w:rsidRDefault="000375C1" w:rsidP="00D560E7">
            <w:pPr>
              <w:jc w:val="right"/>
              <w:rPr>
                <w:rFonts w:ascii="Arial" w:hAnsi="Arial" w:cs="Arial"/>
                <w:sz w:val="20"/>
                <w:szCs w:val="20"/>
              </w:rPr>
            </w:pPr>
            <w:r w:rsidRPr="00750CE2">
              <w:rPr>
                <w:rFonts w:ascii="Arial" w:hAnsi="Arial" w:cs="Arial"/>
                <w:sz w:val="20"/>
                <w:szCs w:val="20"/>
              </w:rPr>
              <w:t>-</w:t>
            </w:r>
          </w:p>
        </w:tc>
        <w:tc>
          <w:tcPr>
            <w:tcW w:w="1971" w:type="dxa"/>
            <w:tcBorders>
              <w:top w:val="nil"/>
              <w:left w:val="nil"/>
              <w:bottom w:val="nil"/>
              <w:right w:val="nil"/>
            </w:tcBorders>
            <w:shd w:val="clear" w:color="auto" w:fill="auto"/>
            <w:vAlign w:val="center"/>
          </w:tcPr>
          <w:p w14:paraId="1CF16D34" w14:textId="3493FAFD"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86,574</w:t>
            </w:r>
          </w:p>
        </w:tc>
        <w:tc>
          <w:tcPr>
            <w:tcW w:w="1971" w:type="dxa"/>
            <w:tcBorders>
              <w:top w:val="nil"/>
              <w:left w:val="nil"/>
              <w:bottom w:val="nil"/>
              <w:right w:val="nil"/>
            </w:tcBorders>
            <w:vAlign w:val="center"/>
          </w:tcPr>
          <w:p w14:paraId="253CC7DF" w14:textId="75609CFF"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86,574</w:t>
            </w:r>
          </w:p>
        </w:tc>
      </w:tr>
      <w:tr w:rsidR="00D560E7" w:rsidRPr="00B7645A" w14:paraId="670F7B40" w14:textId="2477A905" w:rsidTr="00A82D38">
        <w:trPr>
          <w:trHeight w:val="37"/>
          <w:jc w:val="center"/>
        </w:trPr>
        <w:tc>
          <w:tcPr>
            <w:tcW w:w="2784" w:type="dxa"/>
            <w:tcBorders>
              <w:top w:val="nil"/>
              <w:left w:val="nil"/>
              <w:bottom w:val="nil"/>
              <w:right w:val="nil"/>
            </w:tcBorders>
            <w:shd w:val="clear" w:color="auto" w:fill="auto"/>
            <w:vAlign w:val="bottom"/>
            <w:hideMark/>
          </w:tcPr>
          <w:p w14:paraId="48DD6513" w14:textId="415AC170"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Other investments</w:t>
            </w:r>
            <w:r w:rsidR="000375C1">
              <w:rPr>
                <w:rFonts w:ascii="Arial" w:hAnsi="Arial" w:cs="Arial"/>
                <w:color w:val="000000"/>
                <w:sz w:val="20"/>
                <w:szCs w:val="20"/>
              </w:rPr>
              <w:t xml:space="preserve"> </w:t>
            </w:r>
            <w:r w:rsidRPr="00B7645A">
              <w:rPr>
                <w:rFonts w:ascii="Arial" w:hAnsi="Arial" w:cs="Arial"/>
                <w:color w:val="000000"/>
                <w:sz w:val="20"/>
                <w:szCs w:val="20"/>
              </w:rPr>
              <w:t>- LCIV</w:t>
            </w:r>
          </w:p>
        </w:tc>
        <w:tc>
          <w:tcPr>
            <w:tcW w:w="1934" w:type="dxa"/>
            <w:tcBorders>
              <w:top w:val="nil"/>
              <w:left w:val="nil"/>
              <w:bottom w:val="nil"/>
              <w:right w:val="nil"/>
            </w:tcBorders>
            <w:shd w:val="clear" w:color="auto" w:fill="auto"/>
            <w:vAlign w:val="center"/>
          </w:tcPr>
          <w:p w14:paraId="707B6E87" w14:textId="2CF4447A"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4A4C2F12" w14:textId="7B403E81" w:rsidR="00D560E7" w:rsidRPr="00750CE2" w:rsidRDefault="00D560E7" w:rsidP="00D560E7">
            <w:pPr>
              <w:jc w:val="right"/>
              <w:rPr>
                <w:rFonts w:ascii="Arial" w:hAnsi="Arial" w:cs="Arial"/>
                <w:color w:val="000000"/>
                <w:sz w:val="20"/>
                <w:szCs w:val="20"/>
              </w:rPr>
            </w:pPr>
            <w:r w:rsidRPr="00750CE2">
              <w:rPr>
                <w:rFonts w:ascii="Arial" w:hAnsi="Arial" w:cs="Arial"/>
                <w:color w:val="000000"/>
                <w:sz w:val="20"/>
                <w:szCs w:val="20"/>
              </w:rPr>
              <w:t>150</w:t>
            </w:r>
          </w:p>
        </w:tc>
        <w:tc>
          <w:tcPr>
            <w:tcW w:w="1971" w:type="dxa"/>
            <w:tcBorders>
              <w:top w:val="nil"/>
              <w:left w:val="nil"/>
              <w:bottom w:val="nil"/>
              <w:right w:val="nil"/>
            </w:tcBorders>
            <w:shd w:val="clear" w:color="auto" w:fill="auto"/>
            <w:vAlign w:val="center"/>
          </w:tcPr>
          <w:p w14:paraId="67B6B375" w14:textId="40F6B821"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971" w:type="dxa"/>
            <w:tcBorders>
              <w:top w:val="nil"/>
              <w:left w:val="nil"/>
              <w:bottom w:val="nil"/>
              <w:right w:val="nil"/>
            </w:tcBorders>
            <w:vAlign w:val="center"/>
          </w:tcPr>
          <w:p w14:paraId="1D9BF30B" w14:textId="72A4D3F5"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150</w:t>
            </w:r>
          </w:p>
        </w:tc>
      </w:tr>
      <w:tr w:rsidR="00D560E7" w:rsidRPr="00B7645A" w14:paraId="21459244" w14:textId="0E6FE575" w:rsidTr="00A82D38">
        <w:trPr>
          <w:trHeight w:val="37"/>
          <w:jc w:val="center"/>
        </w:trPr>
        <w:tc>
          <w:tcPr>
            <w:tcW w:w="2784" w:type="dxa"/>
            <w:tcBorders>
              <w:top w:val="nil"/>
              <w:left w:val="nil"/>
              <w:bottom w:val="nil"/>
              <w:right w:val="nil"/>
            </w:tcBorders>
            <w:shd w:val="clear" w:color="auto" w:fill="auto"/>
            <w:vAlign w:val="bottom"/>
          </w:tcPr>
          <w:p w14:paraId="57F827BB" w14:textId="77777777" w:rsidR="00D560E7" w:rsidRPr="00B7645A" w:rsidRDefault="00D560E7" w:rsidP="00D560E7">
            <w:pPr>
              <w:rPr>
                <w:rFonts w:ascii="Arial" w:hAnsi="Arial" w:cs="Arial"/>
                <w:color w:val="000000"/>
                <w:sz w:val="20"/>
                <w:szCs w:val="20"/>
              </w:rPr>
            </w:pPr>
            <w:r w:rsidRPr="00B7645A">
              <w:rPr>
                <w:rFonts w:ascii="Arial" w:hAnsi="Arial" w:cs="Arial"/>
                <w:color w:val="000000"/>
                <w:sz w:val="20"/>
                <w:szCs w:val="20"/>
              </w:rPr>
              <w:t>Pending Trade Sales</w:t>
            </w:r>
          </w:p>
        </w:tc>
        <w:tc>
          <w:tcPr>
            <w:tcW w:w="1934" w:type="dxa"/>
            <w:tcBorders>
              <w:top w:val="nil"/>
              <w:left w:val="nil"/>
              <w:bottom w:val="nil"/>
              <w:right w:val="nil"/>
            </w:tcBorders>
            <w:shd w:val="clear" w:color="auto" w:fill="auto"/>
            <w:vAlign w:val="center"/>
          </w:tcPr>
          <w:p w14:paraId="661916D6" w14:textId="31F3C394" w:rsidR="00D560E7" w:rsidRPr="00750CE2" w:rsidRDefault="000375C1" w:rsidP="00D560E7">
            <w:pPr>
              <w:jc w:val="right"/>
              <w:rPr>
                <w:rFonts w:ascii="Arial" w:hAnsi="Arial" w:cs="Arial"/>
                <w:color w:val="000000"/>
                <w:sz w:val="20"/>
                <w:szCs w:val="20"/>
              </w:rPr>
            </w:pPr>
            <w:r w:rsidRPr="00750CE2">
              <w:rPr>
                <w:rFonts w:ascii="Arial" w:hAnsi="Arial" w:cs="Arial"/>
                <w:color w:val="000000"/>
                <w:sz w:val="20"/>
                <w:szCs w:val="20"/>
              </w:rPr>
              <w:t>-</w:t>
            </w:r>
          </w:p>
        </w:tc>
        <w:tc>
          <w:tcPr>
            <w:tcW w:w="1559" w:type="dxa"/>
            <w:tcBorders>
              <w:top w:val="nil"/>
              <w:left w:val="nil"/>
              <w:bottom w:val="nil"/>
              <w:right w:val="nil"/>
            </w:tcBorders>
            <w:shd w:val="clear" w:color="auto" w:fill="auto"/>
            <w:vAlign w:val="center"/>
          </w:tcPr>
          <w:p w14:paraId="6B8DEAC7" w14:textId="390FFC93" w:rsidR="00D560E7" w:rsidRPr="00750CE2" w:rsidRDefault="00D560E7" w:rsidP="00D560E7">
            <w:pPr>
              <w:jc w:val="right"/>
              <w:rPr>
                <w:rFonts w:ascii="Arial" w:hAnsi="Arial" w:cs="Arial"/>
                <w:sz w:val="20"/>
                <w:szCs w:val="20"/>
              </w:rPr>
            </w:pPr>
            <w:r w:rsidRPr="00750CE2">
              <w:rPr>
                <w:rFonts w:ascii="Arial" w:hAnsi="Arial" w:cs="Arial"/>
                <w:color w:val="000000"/>
                <w:sz w:val="20"/>
                <w:szCs w:val="20"/>
              </w:rPr>
              <w:t>2,148</w:t>
            </w:r>
          </w:p>
        </w:tc>
        <w:tc>
          <w:tcPr>
            <w:tcW w:w="1971" w:type="dxa"/>
            <w:tcBorders>
              <w:top w:val="nil"/>
              <w:left w:val="nil"/>
              <w:bottom w:val="nil"/>
              <w:right w:val="nil"/>
            </w:tcBorders>
            <w:shd w:val="clear" w:color="auto" w:fill="auto"/>
            <w:vAlign w:val="center"/>
          </w:tcPr>
          <w:p w14:paraId="3E74C8BB" w14:textId="5402A88C" w:rsidR="00D560E7" w:rsidRPr="00750CE2" w:rsidRDefault="000375C1" w:rsidP="00D560E7">
            <w:pPr>
              <w:jc w:val="right"/>
              <w:rPr>
                <w:rFonts w:ascii="Arial" w:hAnsi="Arial" w:cs="Arial"/>
                <w:sz w:val="20"/>
                <w:szCs w:val="20"/>
              </w:rPr>
            </w:pPr>
            <w:r w:rsidRPr="00750CE2">
              <w:rPr>
                <w:rFonts w:ascii="Arial" w:hAnsi="Arial" w:cs="Arial"/>
                <w:sz w:val="20"/>
                <w:szCs w:val="20"/>
              </w:rPr>
              <w:t>-</w:t>
            </w:r>
          </w:p>
        </w:tc>
        <w:tc>
          <w:tcPr>
            <w:tcW w:w="1971" w:type="dxa"/>
            <w:tcBorders>
              <w:top w:val="nil"/>
              <w:left w:val="nil"/>
              <w:bottom w:val="nil"/>
              <w:right w:val="nil"/>
            </w:tcBorders>
            <w:vAlign w:val="center"/>
          </w:tcPr>
          <w:p w14:paraId="75C27EA9" w14:textId="7E3F8068" w:rsidR="00D560E7" w:rsidRPr="00D94BB1" w:rsidRDefault="00D560E7" w:rsidP="00D560E7">
            <w:pPr>
              <w:jc w:val="right"/>
              <w:rPr>
                <w:rFonts w:ascii="Arial" w:hAnsi="Arial" w:cs="Arial"/>
                <w:b/>
                <w:bCs/>
                <w:sz w:val="20"/>
                <w:szCs w:val="20"/>
              </w:rPr>
            </w:pPr>
            <w:r w:rsidRPr="00D94BB1">
              <w:rPr>
                <w:rFonts w:ascii="Arial" w:hAnsi="Arial" w:cs="Arial"/>
                <w:b/>
                <w:bCs/>
                <w:color w:val="000000"/>
                <w:sz w:val="20"/>
                <w:szCs w:val="20"/>
              </w:rPr>
              <w:t>2,148</w:t>
            </w:r>
          </w:p>
        </w:tc>
      </w:tr>
      <w:tr w:rsidR="00D560E7" w:rsidRPr="00750CE2" w14:paraId="60F0A636" w14:textId="295E2419" w:rsidTr="00B53577">
        <w:trPr>
          <w:trHeight w:val="39"/>
          <w:jc w:val="center"/>
        </w:trPr>
        <w:tc>
          <w:tcPr>
            <w:tcW w:w="2784" w:type="dxa"/>
            <w:tcBorders>
              <w:top w:val="nil"/>
              <w:left w:val="nil"/>
              <w:right w:val="nil"/>
            </w:tcBorders>
            <w:shd w:val="clear" w:color="auto" w:fill="auto"/>
            <w:vAlign w:val="bottom"/>
            <w:hideMark/>
          </w:tcPr>
          <w:p w14:paraId="0508F680" w14:textId="74EDDE78" w:rsidR="00D560E7" w:rsidRPr="00D94BB1" w:rsidRDefault="00D560E7" w:rsidP="00D560E7">
            <w:pPr>
              <w:rPr>
                <w:rFonts w:ascii="Arial" w:hAnsi="Arial" w:cs="Arial"/>
                <w:b/>
                <w:bCs/>
                <w:color w:val="000000"/>
                <w:sz w:val="20"/>
                <w:szCs w:val="20"/>
              </w:rPr>
            </w:pPr>
            <w:r w:rsidRPr="00D94BB1">
              <w:rPr>
                <w:rFonts w:ascii="Arial" w:hAnsi="Arial" w:cs="Arial"/>
                <w:b/>
                <w:bCs/>
                <w:color w:val="000000"/>
                <w:sz w:val="20"/>
                <w:szCs w:val="20"/>
              </w:rPr>
              <w:t xml:space="preserve">Total </w:t>
            </w:r>
            <w:r w:rsidR="0072181A" w:rsidRPr="00D94BB1">
              <w:rPr>
                <w:rFonts w:ascii="Arial" w:hAnsi="Arial" w:cs="Arial"/>
                <w:b/>
                <w:bCs/>
                <w:color w:val="000000"/>
                <w:sz w:val="20"/>
                <w:szCs w:val="20"/>
              </w:rPr>
              <w:t xml:space="preserve">Investment </w:t>
            </w:r>
            <w:r w:rsidRPr="00D94BB1">
              <w:rPr>
                <w:rFonts w:ascii="Arial" w:hAnsi="Arial" w:cs="Arial"/>
                <w:b/>
                <w:bCs/>
                <w:color w:val="000000"/>
                <w:sz w:val="20"/>
                <w:szCs w:val="20"/>
              </w:rPr>
              <w:t>Assets</w:t>
            </w:r>
          </w:p>
        </w:tc>
        <w:tc>
          <w:tcPr>
            <w:tcW w:w="1934" w:type="dxa"/>
            <w:tcBorders>
              <w:top w:val="single" w:sz="8" w:space="0" w:color="auto"/>
              <w:left w:val="nil"/>
              <w:bottom w:val="single" w:sz="8" w:space="0" w:color="auto"/>
              <w:right w:val="nil"/>
            </w:tcBorders>
            <w:shd w:val="clear" w:color="000000" w:fill="FFFFFF"/>
            <w:vAlign w:val="center"/>
          </w:tcPr>
          <w:p w14:paraId="43E53E07" w14:textId="14EDAF58"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678,829</w:t>
            </w:r>
          </w:p>
        </w:tc>
        <w:tc>
          <w:tcPr>
            <w:tcW w:w="1559" w:type="dxa"/>
            <w:tcBorders>
              <w:top w:val="single" w:sz="8" w:space="0" w:color="auto"/>
              <w:left w:val="nil"/>
              <w:bottom w:val="single" w:sz="8" w:space="0" w:color="auto"/>
              <w:right w:val="nil"/>
            </w:tcBorders>
            <w:shd w:val="clear" w:color="000000" w:fill="FFFFFF"/>
            <w:vAlign w:val="center"/>
          </w:tcPr>
          <w:p w14:paraId="4C896EDB" w14:textId="41146877"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491,728</w:t>
            </w:r>
          </w:p>
        </w:tc>
        <w:tc>
          <w:tcPr>
            <w:tcW w:w="1971" w:type="dxa"/>
            <w:tcBorders>
              <w:top w:val="single" w:sz="4" w:space="0" w:color="auto"/>
              <w:left w:val="nil"/>
              <w:bottom w:val="single" w:sz="8" w:space="0" w:color="auto"/>
              <w:right w:val="nil"/>
            </w:tcBorders>
            <w:shd w:val="clear" w:color="auto" w:fill="auto"/>
            <w:vAlign w:val="center"/>
          </w:tcPr>
          <w:p w14:paraId="4F6E9901" w14:textId="13115B24"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276,551</w:t>
            </w:r>
          </w:p>
        </w:tc>
        <w:tc>
          <w:tcPr>
            <w:tcW w:w="1971" w:type="dxa"/>
            <w:tcBorders>
              <w:top w:val="single" w:sz="4" w:space="0" w:color="auto"/>
              <w:left w:val="nil"/>
              <w:bottom w:val="single" w:sz="8" w:space="0" w:color="auto"/>
              <w:right w:val="nil"/>
            </w:tcBorders>
            <w:vAlign w:val="center"/>
          </w:tcPr>
          <w:p w14:paraId="1B9BA37C" w14:textId="34F14C27" w:rsidR="00D560E7" w:rsidRPr="00D94BB1" w:rsidRDefault="00D560E7" w:rsidP="00D560E7">
            <w:pPr>
              <w:jc w:val="right"/>
              <w:rPr>
                <w:rFonts w:ascii="Arial" w:hAnsi="Arial" w:cs="Arial"/>
                <w:b/>
                <w:bCs/>
                <w:color w:val="000000"/>
                <w:sz w:val="20"/>
                <w:szCs w:val="20"/>
              </w:rPr>
            </w:pPr>
            <w:r w:rsidRPr="00D94BB1">
              <w:rPr>
                <w:rFonts w:ascii="Arial" w:hAnsi="Arial" w:cs="Arial"/>
                <w:b/>
                <w:bCs/>
                <w:color w:val="000000"/>
                <w:sz w:val="20"/>
                <w:szCs w:val="20"/>
              </w:rPr>
              <w:t>1,447,108</w:t>
            </w:r>
          </w:p>
        </w:tc>
      </w:tr>
    </w:tbl>
    <w:p w14:paraId="6BFF4E62" w14:textId="77777777" w:rsidR="00285251" w:rsidRPr="00750CE2" w:rsidRDefault="00285251" w:rsidP="001677FE">
      <w:pPr>
        <w:pStyle w:val="BodyTextIndent2"/>
        <w:spacing w:after="0" w:line="240" w:lineRule="auto"/>
        <w:ind w:left="0"/>
        <w:jc w:val="both"/>
        <w:rPr>
          <w:rFonts w:ascii="Arial" w:hAnsi="Arial" w:cs="Arial"/>
          <w:sz w:val="22"/>
          <w:szCs w:val="22"/>
        </w:rPr>
      </w:pPr>
    </w:p>
    <w:p w14:paraId="19CC4DAB" w14:textId="77777777" w:rsidR="00ED421D" w:rsidRDefault="00ED421D" w:rsidP="006C2B1C">
      <w:pPr>
        <w:pStyle w:val="BodyTextIndent2"/>
        <w:tabs>
          <w:tab w:val="left" w:pos="567"/>
        </w:tabs>
        <w:spacing w:after="0" w:line="240" w:lineRule="auto"/>
        <w:ind w:left="426"/>
        <w:jc w:val="both"/>
        <w:rPr>
          <w:rFonts w:ascii="Arial" w:hAnsi="Arial" w:cs="Arial"/>
          <w:b/>
          <w:sz w:val="22"/>
          <w:szCs w:val="22"/>
        </w:rPr>
      </w:pPr>
    </w:p>
    <w:p w14:paraId="1F6E5900" w14:textId="2EBA87E9" w:rsidR="003C45DA" w:rsidRPr="008A0A4E" w:rsidRDefault="003C45DA" w:rsidP="006C2B1C">
      <w:pPr>
        <w:pStyle w:val="BodyTextIndent2"/>
        <w:tabs>
          <w:tab w:val="left" w:pos="567"/>
        </w:tabs>
        <w:spacing w:after="0" w:line="240" w:lineRule="auto"/>
        <w:ind w:left="426"/>
        <w:jc w:val="both"/>
        <w:rPr>
          <w:rFonts w:ascii="Arial" w:hAnsi="Arial" w:cs="Arial"/>
          <w:b/>
          <w:sz w:val="22"/>
          <w:szCs w:val="22"/>
        </w:rPr>
      </w:pPr>
      <w:r w:rsidRPr="008A0A4E">
        <w:rPr>
          <w:rFonts w:ascii="Arial" w:hAnsi="Arial" w:cs="Arial"/>
          <w:b/>
          <w:sz w:val="22"/>
          <w:szCs w:val="22"/>
        </w:rPr>
        <w:t>Sensitivity of assets valued at Level 3</w:t>
      </w:r>
    </w:p>
    <w:p w14:paraId="675925B2" w14:textId="77777777" w:rsidR="003C45DA" w:rsidRPr="008A0A4E" w:rsidRDefault="003C45DA" w:rsidP="006C2B1C">
      <w:pPr>
        <w:pStyle w:val="BodyTextIndent2"/>
        <w:tabs>
          <w:tab w:val="left" w:pos="567"/>
        </w:tabs>
        <w:spacing w:after="0" w:line="240" w:lineRule="auto"/>
        <w:ind w:left="426"/>
        <w:jc w:val="both"/>
        <w:rPr>
          <w:rFonts w:ascii="Arial" w:hAnsi="Arial" w:cs="Arial"/>
          <w:b/>
          <w:sz w:val="22"/>
          <w:szCs w:val="22"/>
        </w:rPr>
      </w:pPr>
    </w:p>
    <w:p w14:paraId="03E9883C" w14:textId="7D1167D3" w:rsidR="004572A5" w:rsidRDefault="003C45DA" w:rsidP="006C2B1C">
      <w:pPr>
        <w:pStyle w:val="BodyTextIndent2"/>
        <w:tabs>
          <w:tab w:val="left" w:pos="567"/>
        </w:tabs>
        <w:spacing w:after="0" w:line="240" w:lineRule="auto"/>
        <w:ind w:left="426"/>
        <w:jc w:val="both"/>
        <w:rPr>
          <w:rFonts w:ascii="Arial" w:hAnsi="Arial" w:cs="Arial"/>
          <w:sz w:val="22"/>
          <w:szCs w:val="22"/>
        </w:rPr>
      </w:pPr>
      <w:r w:rsidRPr="008A0A4E">
        <w:rPr>
          <w:rFonts w:ascii="Arial" w:hAnsi="Arial" w:cs="Arial"/>
          <w:sz w:val="22"/>
          <w:szCs w:val="22"/>
        </w:rPr>
        <w:t xml:space="preserve">Having analysed historical data and current market trends, and consulted with independent investment advisors, the fund has determined that the valuation methods described above are likely to be accurate to within the following ranges, and has set out below the consequent potential impact on the closing value of investments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530983" w:rsidRPr="008A0A4E">
        <w:rPr>
          <w:rFonts w:ascii="Arial" w:hAnsi="Arial" w:cs="Arial"/>
          <w:sz w:val="22"/>
          <w:szCs w:val="22"/>
        </w:rPr>
        <w:t>2</w:t>
      </w:r>
      <w:r w:rsidR="00B07CCE">
        <w:rPr>
          <w:rFonts w:ascii="Arial" w:hAnsi="Arial" w:cs="Arial"/>
          <w:sz w:val="22"/>
          <w:szCs w:val="22"/>
        </w:rPr>
        <w:t>5</w:t>
      </w:r>
      <w:r w:rsidRPr="008A0A4E">
        <w:rPr>
          <w:rFonts w:ascii="Arial" w:hAnsi="Arial" w:cs="Arial"/>
          <w:sz w:val="22"/>
          <w:szCs w:val="22"/>
        </w:rPr>
        <w:t>.</w:t>
      </w:r>
    </w:p>
    <w:p w14:paraId="4C863D68" w14:textId="77777777" w:rsidR="001448DD" w:rsidRDefault="001448DD" w:rsidP="006C2B1C">
      <w:pPr>
        <w:pStyle w:val="BodyTextIndent2"/>
        <w:tabs>
          <w:tab w:val="left" w:pos="567"/>
        </w:tabs>
        <w:spacing w:after="0" w:line="240" w:lineRule="auto"/>
        <w:ind w:left="426"/>
        <w:jc w:val="both"/>
        <w:rPr>
          <w:rFonts w:ascii="Arial" w:hAnsi="Arial" w:cs="Arial"/>
          <w:sz w:val="22"/>
          <w:szCs w:val="22"/>
        </w:rPr>
      </w:pPr>
    </w:p>
    <w:p w14:paraId="24F4EBDD" w14:textId="77777777" w:rsidR="004A7AF6" w:rsidRDefault="004A7AF6" w:rsidP="006C2B1C">
      <w:pPr>
        <w:pStyle w:val="BodyTextIndent2"/>
        <w:tabs>
          <w:tab w:val="left" w:pos="567"/>
        </w:tabs>
        <w:spacing w:after="0" w:line="240" w:lineRule="auto"/>
        <w:ind w:left="426"/>
        <w:jc w:val="both"/>
        <w:rPr>
          <w:rFonts w:ascii="Arial" w:hAnsi="Arial" w:cs="Arial"/>
          <w:sz w:val="22"/>
          <w:szCs w:val="22"/>
        </w:rPr>
      </w:pPr>
    </w:p>
    <w:p w14:paraId="7594787F" w14:textId="77777777" w:rsidR="004A7AF6" w:rsidRDefault="004A7AF6" w:rsidP="006C2B1C">
      <w:pPr>
        <w:pStyle w:val="BodyTextIndent2"/>
        <w:tabs>
          <w:tab w:val="left" w:pos="567"/>
        </w:tabs>
        <w:spacing w:after="0" w:line="240" w:lineRule="auto"/>
        <w:ind w:left="426"/>
        <w:jc w:val="both"/>
        <w:rPr>
          <w:rFonts w:ascii="Arial" w:hAnsi="Arial" w:cs="Arial"/>
          <w:sz w:val="22"/>
          <w:szCs w:val="22"/>
        </w:rPr>
      </w:pPr>
    </w:p>
    <w:p w14:paraId="2B92ECBD" w14:textId="77777777" w:rsidR="004A7AF6" w:rsidRDefault="004A7AF6" w:rsidP="006C2B1C">
      <w:pPr>
        <w:pStyle w:val="BodyTextIndent2"/>
        <w:tabs>
          <w:tab w:val="left" w:pos="567"/>
        </w:tabs>
        <w:spacing w:after="0" w:line="240" w:lineRule="auto"/>
        <w:ind w:left="426"/>
        <w:jc w:val="both"/>
        <w:rPr>
          <w:rFonts w:ascii="Arial" w:hAnsi="Arial" w:cs="Arial"/>
          <w:sz w:val="22"/>
          <w:szCs w:val="22"/>
        </w:rPr>
      </w:pPr>
    </w:p>
    <w:p w14:paraId="638F6FD6" w14:textId="77777777" w:rsidR="001448DD" w:rsidRDefault="001448DD" w:rsidP="006C2B1C">
      <w:pPr>
        <w:pStyle w:val="BodyTextIndent2"/>
        <w:tabs>
          <w:tab w:val="left" w:pos="567"/>
        </w:tabs>
        <w:spacing w:after="0" w:line="240" w:lineRule="auto"/>
        <w:ind w:left="426"/>
        <w:jc w:val="both"/>
        <w:rPr>
          <w:rFonts w:ascii="Arial" w:hAnsi="Arial" w:cs="Arial"/>
          <w:sz w:val="22"/>
          <w:szCs w:val="22"/>
        </w:rPr>
      </w:pPr>
    </w:p>
    <w:p w14:paraId="08ED1487" w14:textId="77777777" w:rsidR="001448DD" w:rsidRDefault="001448DD" w:rsidP="006C2B1C">
      <w:pPr>
        <w:pStyle w:val="BodyTextIndent2"/>
        <w:tabs>
          <w:tab w:val="left" w:pos="567"/>
        </w:tabs>
        <w:spacing w:after="0" w:line="240" w:lineRule="auto"/>
        <w:ind w:left="426"/>
        <w:jc w:val="both"/>
        <w:rPr>
          <w:rFonts w:ascii="Arial" w:hAnsi="Arial" w:cs="Arial"/>
          <w:sz w:val="22"/>
          <w:szCs w:val="22"/>
        </w:rPr>
      </w:pPr>
    </w:p>
    <w:p w14:paraId="6EDF91A7" w14:textId="77777777" w:rsidR="00B07CCE" w:rsidRDefault="00B07CCE" w:rsidP="006C2B1C">
      <w:pPr>
        <w:pStyle w:val="BodyTextIndent2"/>
        <w:tabs>
          <w:tab w:val="left" w:pos="567"/>
        </w:tabs>
        <w:spacing w:after="0" w:line="240" w:lineRule="auto"/>
        <w:ind w:left="426"/>
        <w:jc w:val="both"/>
        <w:rPr>
          <w:rFonts w:ascii="Arial" w:hAnsi="Arial" w:cs="Arial"/>
          <w:sz w:val="22"/>
          <w:szCs w:val="22"/>
        </w:rPr>
      </w:pPr>
    </w:p>
    <w:tbl>
      <w:tblPr>
        <w:tblW w:w="8847" w:type="dxa"/>
        <w:jc w:val="center"/>
        <w:tblLook w:val="04A0" w:firstRow="1" w:lastRow="0" w:firstColumn="1" w:lastColumn="0" w:noHBand="0" w:noVBand="1"/>
      </w:tblPr>
      <w:tblGrid>
        <w:gridCol w:w="3539"/>
        <w:gridCol w:w="1253"/>
        <w:gridCol w:w="1440"/>
        <w:gridCol w:w="1134"/>
        <w:gridCol w:w="1481"/>
      </w:tblGrid>
      <w:tr w:rsidR="00B07CCE" w:rsidRPr="00B64150" w14:paraId="2B21EEC5" w14:textId="77777777" w:rsidTr="00920219">
        <w:trPr>
          <w:trHeight w:val="362"/>
          <w:tblHeade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6124" w14:textId="77777777" w:rsidR="00B07CCE" w:rsidRPr="008A0A4E" w:rsidRDefault="00B07CCE" w:rsidP="001B7F50">
            <w:pPr>
              <w:jc w:val="center"/>
              <w:rPr>
                <w:rFonts w:ascii="Arial" w:hAnsi="Arial" w:cs="Arial"/>
                <w:b/>
                <w:bCs/>
                <w:color w:val="000000"/>
                <w:sz w:val="22"/>
                <w:szCs w:val="22"/>
              </w:rPr>
            </w:pPr>
            <w:r w:rsidRPr="008A0A4E">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97D8475" w14:textId="77777777" w:rsidR="00B07CCE" w:rsidRPr="008A0A4E" w:rsidRDefault="00B07CCE" w:rsidP="001B7F50">
            <w:pPr>
              <w:jc w:val="center"/>
              <w:rPr>
                <w:rFonts w:ascii="Arial" w:hAnsi="Arial" w:cs="Arial"/>
                <w:b/>
                <w:bCs/>
                <w:color w:val="000000"/>
                <w:sz w:val="22"/>
                <w:szCs w:val="22"/>
              </w:rPr>
            </w:pPr>
            <w:r w:rsidRPr="008A0A4E">
              <w:rPr>
                <w:rFonts w:ascii="Arial" w:hAnsi="Arial" w:cs="Arial"/>
                <w:b/>
                <w:bCs/>
                <w:color w:val="000000"/>
                <w:sz w:val="22"/>
                <w:szCs w:val="22"/>
              </w:rPr>
              <w:t>Assessed</w:t>
            </w:r>
            <w:r w:rsidRPr="008A0A4E">
              <w:rPr>
                <w:rFonts w:ascii="Arial" w:hAnsi="Arial" w:cs="Arial"/>
                <w:b/>
                <w:bCs/>
                <w:color w:val="000000"/>
                <w:sz w:val="22"/>
                <w:szCs w:val="22"/>
              </w:rPr>
              <w:br/>
              <w:t>valuation range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F4F694E" w14:textId="6B751139" w:rsidR="00B07CCE" w:rsidRPr="008A0A4E" w:rsidRDefault="00B07CCE" w:rsidP="001B7F50">
            <w:pPr>
              <w:jc w:val="center"/>
              <w:rPr>
                <w:rFonts w:ascii="Arial" w:hAnsi="Arial" w:cs="Arial"/>
                <w:b/>
                <w:bCs/>
                <w:color w:val="000000"/>
                <w:sz w:val="22"/>
                <w:szCs w:val="22"/>
              </w:rPr>
            </w:pPr>
            <w:r w:rsidRPr="008A0A4E">
              <w:rPr>
                <w:rFonts w:ascii="Arial" w:hAnsi="Arial" w:cs="Arial"/>
                <w:b/>
                <w:bCs/>
                <w:color w:val="000000"/>
                <w:sz w:val="22"/>
                <w:szCs w:val="22"/>
              </w:rPr>
              <w:t>Value at 31</w:t>
            </w:r>
            <w:r w:rsidRPr="008A0A4E">
              <w:rPr>
                <w:rFonts w:ascii="Arial" w:hAnsi="Arial" w:cs="Arial"/>
                <w:b/>
                <w:bCs/>
                <w:color w:val="000000"/>
                <w:sz w:val="22"/>
                <w:szCs w:val="22"/>
              </w:rPr>
              <w:br/>
              <w:t>March 202</w:t>
            </w:r>
            <w:r>
              <w:rPr>
                <w:rFonts w:ascii="Arial" w:hAnsi="Arial" w:cs="Arial"/>
                <w:b/>
                <w:bCs/>
                <w:color w:val="000000"/>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877EEB" w14:textId="77777777" w:rsidR="00B07CCE" w:rsidRPr="008A0A4E" w:rsidRDefault="00B07CCE" w:rsidP="001B7F50">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0D1CF64F" w14:textId="77777777" w:rsidR="00B07CCE" w:rsidRPr="008A0A4E" w:rsidRDefault="00B07CCE" w:rsidP="001B7F50">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B07CCE" w:rsidRPr="00B64150" w14:paraId="394A523C" w14:textId="77777777" w:rsidTr="001B7F50">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FD1CCA3" w14:textId="77777777" w:rsidR="00B07CCE" w:rsidRPr="008A0A4E" w:rsidRDefault="00B07CCE" w:rsidP="001B7F50">
            <w:pPr>
              <w:jc w:val="center"/>
              <w:rPr>
                <w:rFonts w:ascii="Arial" w:hAnsi="Arial" w:cs="Arial"/>
                <w:b/>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3EA47796" w14:textId="77777777" w:rsidR="00B07CCE" w:rsidRPr="008A0A4E" w:rsidRDefault="00B07CCE" w:rsidP="001B7F50">
            <w:pPr>
              <w:jc w:val="center"/>
              <w:rPr>
                <w:rFonts w:ascii="Arial" w:hAnsi="Arial" w:cs="Arial"/>
                <w:b/>
                <w:color w:val="000000"/>
                <w:sz w:val="22"/>
                <w:szCs w:val="22"/>
              </w:rPr>
            </w:pPr>
            <w:r w:rsidRPr="008A0A4E">
              <w:rPr>
                <w:rFonts w:ascii="Arial" w:hAnsi="Arial" w:cs="Arial"/>
                <w:b/>
                <w:color w:val="000000"/>
                <w:sz w:val="22"/>
                <w:szCs w:val="22"/>
              </w:rPr>
              <w:t>%</w:t>
            </w:r>
          </w:p>
        </w:tc>
        <w:tc>
          <w:tcPr>
            <w:tcW w:w="1440" w:type="dxa"/>
            <w:tcBorders>
              <w:top w:val="nil"/>
              <w:left w:val="nil"/>
              <w:bottom w:val="single" w:sz="4" w:space="0" w:color="auto"/>
              <w:right w:val="single" w:sz="4" w:space="0" w:color="auto"/>
            </w:tcBorders>
            <w:shd w:val="clear" w:color="auto" w:fill="auto"/>
          </w:tcPr>
          <w:p w14:paraId="468C7E53" w14:textId="77777777" w:rsidR="00B07CCE" w:rsidRPr="008A0A4E" w:rsidRDefault="00B07CCE" w:rsidP="001B7F50">
            <w:pPr>
              <w:jc w:val="center"/>
              <w:rPr>
                <w:rFonts w:ascii="Arial" w:hAnsi="Arial" w:cs="Arial"/>
                <w:b/>
                <w:sz w:val="22"/>
                <w:szCs w:val="22"/>
              </w:rPr>
            </w:pPr>
            <w:r w:rsidRPr="008A0A4E">
              <w:rPr>
                <w:rFonts w:ascii="Arial" w:hAnsi="Arial" w:cs="Arial"/>
                <w:b/>
                <w:sz w:val="22"/>
                <w:szCs w:val="22"/>
              </w:rPr>
              <w:t>£000s</w:t>
            </w:r>
          </w:p>
        </w:tc>
        <w:tc>
          <w:tcPr>
            <w:tcW w:w="1134" w:type="dxa"/>
            <w:tcBorders>
              <w:top w:val="nil"/>
              <w:left w:val="nil"/>
              <w:bottom w:val="single" w:sz="4" w:space="0" w:color="auto"/>
              <w:right w:val="single" w:sz="4" w:space="0" w:color="auto"/>
            </w:tcBorders>
            <w:shd w:val="clear" w:color="auto" w:fill="auto"/>
          </w:tcPr>
          <w:p w14:paraId="16D6FEE9" w14:textId="77777777" w:rsidR="00B07CCE" w:rsidRPr="008A0A4E" w:rsidRDefault="00B07CCE" w:rsidP="001B7F50">
            <w:pPr>
              <w:jc w:val="center"/>
              <w:rPr>
                <w:rFonts w:ascii="Arial" w:hAnsi="Arial" w:cs="Arial"/>
                <w:b/>
                <w:sz w:val="22"/>
                <w:szCs w:val="22"/>
              </w:rPr>
            </w:pPr>
            <w:r w:rsidRPr="008A0A4E">
              <w:rPr>
                <w:rFonts w:ascii="Arial" w:hAnsi="Arial" w:cs="Arial"/>
                <w:b/>
                <w:sz w:val="22"/>
                <w:szCs w:val="22"/>
              </w:rPr>
              <w:t>£000s</w:t>
            </w:r>
          </w:p>
        </w:tc>
        <w:tc>
          <w:tcPr>
            <w:tcW w:w="1481" w:type="dxa"/>
            <w:tcBorders>
              <w:top w:val="nil"/>
              <w:left w:val="nil"/>
              <w:bottom w:val="single" w:sz="4" w:space="0" w:color="auto"/>
              <w:right w:val="single" w:sz="4" w:space="0" w:color="auto"/>
            </w:tcBorders>
            <w:shd w:val="clear" w:color="auto" w:fill="auto"/>
            <w:noWrap/>
          </w:tcPr>
          <w:p w14:paraId="50FDF26E" w14:textId="77777777" w:rsidR="00B07CCE" w:rsidRPr="008A0A4E" w:rsidRDefault="00B07CCE" w:rsidP="001B7F50">
            <w:pPr>
              <w:jc w:val="center"/>
              <w:rPr>
                <w:rFonts w:ascii="Arial" w:hAnsi="Arial" w:cs="Arial"/>
                <w:b/>
                <w:sz w:val="22"/>
                <w:szCs w:val="22"/>
              </w:rPr>
            </w:pPr>
            <w:r w:rsidRPr="008A0A4E">
              <w:rPr>
                <w:rFonts w:ascii="Arial" w:hAnsi="Arial" w:cs="Arial"/>
                <w:b/>
                <w:sz w:val="22"/>
                <w:szCs w:val="22"/>
              </w:rPr>
              <w:t>£000s</w:t>
            </w:r>
          </w:p>
        </w:tc>
      </w:tr>
      <w:tr w:rsidR="00F80933" w:rsidRPr="00B64150" w14:paraId="62A7C976" w14:textId="77777777" w:rsidTr="001B7F50">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3418D54" w14:textId="7ADF948F" w:rsidR="00F80933" w:rsidRPr="008A0A4E" w:rsidRDefault="00F80933" w:rsidP="00F80933">
            <w:pPr>
              <w:rPr>
                <w:rFonts w:ascii="Arial" w:hAnsi="Arial" w:cs="Arial"/>
                <w:color w:val="000000"/>
                <w:sz w:val="22"/>
                <w:szCs w:val="22"/>
              </w:rPr>
            </w:pPr>
            <w:r>
              <w:rPr>
                <w:rFonts w:ascii="Arial" w:hAnsi="Arial" w:cs="Arial"/>
                <w:color w:val="000000"/>
                <w:sz w:val="22"/>
                <w:szCs w:val="22"/>
              </w:rPr>
              <w:t xml:space="preserve"> </w:t>
            </w:r>
            <w:r w:rsidRPr="008A0A4E">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34D7BEEF" w14:textId="77777777" w:rsidR="00F80933" w:rsidRPr="008E6013" w:rsidRDefault="00F80933" w:rsidP="00F80933">
            <w:pPr>
              <w:jc w:val="center"/>
              <w:rPr>
                <w:rFonts w:ascii="Arial" w:hAnsi="Arial" w:cs="Arial"/>
                <w:color w:val="000000"/>
                <w:sz w:val="22"/>
                <w:szCs w:val="22"/>
              </w:rPr>
            </w:pPr>
            <w:r w:rsidRPr="008E6013">
              <w:rPr>
                <w:rFonts w:ascii="Arial" w:hAnsi="Arial" w:cs="Arial"/>
                <w:color w:val="000000"/>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3C4B48F" w14:textId="2FF9C830" w:rsidR="00F80933" w:rsidRPr="00437874" w:rsidRDefault="00F80933" w:rsidP="00F80933">
            <w:pPr>
              <w:jc w:val="right"/>
              <w:rPr>
                <w:rFonts w:ascii="Arial" w:hAnsi="Arial" w:cs="Arial"/>
                <w:sz w:val="22"/>
                <w:szCs w:val="22"/>
              </w:rPr>
            </w:pPr>
            <w:r>
              <w:rPr>
                <w:rFonts w:ascii="Arial" w:hAnsi="Arial" w:cs="Arial"/>
                <w:color w:val="000000"/>
                <w:sz w:val="22"/>
                <w:szCs w:val="22"/>
              </w:rPr>
              <w:t>96,880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4FB4B5" w14:textId="7644BA0E" w:rsidR="00F80933" w:rsidRPr="00437874" w:rsidRDefault="00F80933" w:rsidP="00F80933">
            <w:pPr>
              <w:jc w:val="right"/>
              <w:rPr>
                <w:rFonts w:ascii="Arial" w:hAnsi="Arial" w:cs="Arial"/>
                <w:sz w:val="22"/>
                <w:szCs w:val="22"/>
              </w:rPr>
            </w:pPr>
            <w:r>
              <w:rPr>
                <w:rFonts w:ascii="Arial" w:hAnsi="Arial" w:cs="Arial"/>
                <w:color w:val="000000"/>
                <w:sz w:val="22"/>
                <w:szCs w:val="22"/>
              </w:rPr>
              <w:t>106,568</w:t>
            </w:r>
          </w:p>
        </w:tc>
        <w:tc>
          <w:tcPr>
            <w:tcW w:w="1481" w:type="dxa"/>
            <w:tcBorders>
              <w:top w:val="single" w:sz="4" w:space="0" w:color="auto"/>
              <w:left w:val="nil"/>
              <w:bottom w:val="single" w:sz="4" w:space="0" w:color="auto"/>
              <w:right w:val="single" w:sz="4" w:space="0" w:color="auto"/>
            </w:tcBorders>
            <w:shd w:val="clear" w:color="000000" w:fill="FFFFFF"/>
            <w:noWrap/>
            <w:vAlign w:val="center"/>
          </w:tcPr>
          <w:p w14:paraId="58D446AA" w14:textId="78206441" w:rsidR="00F80933" w:rsidRPr="00437874" w:rsidRDefault="00F80933" w:rsidP="00F80933">
            <w:pPr>
              <w:jc w:val="right"/>
              <w:rPr>
                <w:rFonts w:ascii="Arial" w:hAnsi="Arial" w:cs="Arial"/>
                <w:sz w:val="22"/>
                <w:szCs w:val="22"/>
              </w:rPr>
            </w:pPr>
            <w:r>
              <w:rPr>
                <w:rFonts w:ascii="Arial" w:hAnsi="Arial" w:cs="Arial"/>
                <w:color w:val="000000"/>
                <w:sz w:val="22"/>
                <w:szCs w:val="22"/>
              </w:rPr>
              <w:t>87,192</w:t>
            </w:r>
          </w:p>
        </w:tc>
      </w:tr>
      <w:tr w:rsidR="00F80933" w:rsidRPr="00B64150" w14:paraId="17811068" w14:textId="77777777" w:rsidTr="001B7F50">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59E8AEAC" w14:textId="77777777" w:rsidR="00F80933" w:rsidRPr="008A0A4E" w:rsidRDefault="00F80933" w:rsidP="00F80933">
            <w:pPr>
              <w:rPr>
                <w:rFonts w:ascii="Arial" w:hAnsi="Arial" w:cs="Arial"/>
                <w:color w:val="000000"/>
                <w:sz w:val="22"/>
                <w:szCs w:val="22"/>
              </w:rPr>
            </w:pPr>
            <w:r w:rsidRPr="008A0A4E">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4E81F186" w14:textId="77777777" w:rsidR="00F80933" w:rsidRPr="008E6013" w:rsidRDefault="00F80933" w:rsidP="00F80933">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A1B70E0" w14:textId="34073C27" w:rsidR="00F80933" w:rsidRPr="00437874" w:rsidRDefault="00F80933" w:rsidP="00F80933">
            <w:pPr>
              <w:jc w:val="right"/>
              <w:rPr>
                <w:rFonts w:ascii="Arial" w:hAnsi="Arial" w:cs="Arial"/>
                <w:sz w:val="22"/>
                <w:szCs w:val="22"/>
              </w:rPr>
            </w:pPr>
            <w:r>
              <w:rPr>
                <w:rFonts w:ascii="Arial" w:hAnsi="Arial" w:cs="Arial"/>
                <w:color w:val="000000"/>
                <w:sz w:val="22"/>
                <w:szCs w:val="22"/>
              </w:rPr>
              <w:t>76,043</w:t>
            </w:r>
          </w:p>
        </w:tc>
        <w:tc>
          <w:tcPr>
            <w:tcW w:w="1134" w:type="dxa"/>
            <w:tcBorders>
              <w:top w:val="nil"/>
              <w:left w:val="nil"/>
              <w:bottom w:val="single" w:sz="4" w:space="0" w:color="auto"/>
              <w:right w:val="single" w:sz="4" w:space="0" w:color="auto"/>
            </w:tcBorders>
            <w:shd w:val="clear" w:color="000000" w:fill="FFFFFF"/>
            <w:vAlign w:val="center"/>
          </w:tcPr>
          <w:p w14:paraId="39C6415A" w14:textId="0A0864DC" w:rsidR="00F80933" w:rsidRPr="00437874" w:rsidRDefault="00F80933" w:rsidP="00F80933">
            <w:pPr>
              <w:jc w:val="right"/>
              <w:rPr>
                <w:rFonts w:ascii="Arial" w:hAnsi="Arial" w:cs="Arial"/>
                <w:sz w:val="22"/>
                <w:szCs w:val="22"/>
              </w:rPr>
            </w:pPr>
            <w:r>
              <w:rPr>
                <w:rFonts w:ascii="Arial" w:hAnsi="Arial" w:cs="Arial"/>
                <w:color w:val="000000"/>
                <w:sz w:val="22"/>
                <w:szCs w:val="22"/>
              </w:rPr>
              <w:t>87,449</w:t>
            </w:r>
          </w:p>
        </w:tc>
        <w:tc>
          <w:tcPr>
            <w:tcW w:w="1481" w:type="dxa"/>
            <w:tcBorders>
              <w:top w:val="nil"/>
              <w:left w:val="nil"/>
              <w:bottom w:val="single" w:sz="4" w:space="0" w:color="auto"/>
              <w:right w:val="single" w:sz="4" w:space="0" w:color="auto"/>
            </w:tcBorders>
            <w:shd w:val="clear" w:color="000000" w:fill="FFFFFF"/>
            <w:noWrap/>
            <w:vAlign w:val="center"/>
          </w:tcPr>
          <w:p w14:paraId="05C5FCD4" w14:textId="27218EE2" w:rsidR="00F80933" w:rsidRPr="00437874" w:rsidRDefault="00F80933" w:rsidP="00F80933">
            <w:pPr>
              <w:jc w:val="right"/>
              <w:rPr>
                <w:rFonts w:ascii="Arial" w:hAnsi="Arial" w:cs="Arial"/>
                <w:sz w:val="22"/>
                <w:szCs w:val="22"/>
              </w:rPr>
            </w:pPr>
            <w:r>
              <w:rPr>
                <w:rFonts w:ascii="Arial" w:hAnsi="Arial" w:cs="Arial"/>
                <w:color w:val="000000"/>
                <w:sz w:val="22"/>
                <w:szCs w:val="22"/>
              </w:rPr>
              <w:t>64,637</w:t>
            </w:r>
          </w:p>
        </w:tc>
      </w:tr>
      <w:tr w:rsidR="00F80933" w:rsidRPr="00B64150" w14:paraId="7A6C312E" w14:textId="77777777" w:rsidTr="001B7F50">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4D5F32E2" w14:textId="77777777" w:rsidR="00F80933" w:rsidRPr="008A0A4E" w:rsidRDefault="00F80933" w:rsidP="00F80933">
            <w:pPr>
              <w:rPr>
                <w:rFonts w:ascii="Arial" w:hAnsi="Arial" w:cs="Arial"/>
                <w:color w:val="000000"/>
                <w:sz w:val="22"/>
                <w:szCs w:val="22"/>
              </w:rPr>
            </w:pPr>
            <w:r w:rsidRPr="008A0A4E">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582FDE6B" w14:textId="77777777" w:rsidR="00F80933" w:rsidRPr="008E6013" w:rsidRDefault="00F80933" w:rsidP="00F80933">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F74924D" w14:textId="28417250" w:rsidR="00F80933" w:rsidRPr="00437874" w:rsidRDefault="00F80933" w:rsidP="00F80933">
            <w:pPr>
              <w:jc w:val="right"/>
              <w:rPr>
                <w:rFonts w:ascii="Arial" w:hAnsi="Arial" w:cs="Arial"/>
                <w:sz w:val="22"/>
                <w:szCs w:val="22"/>
              </w:rPr>
            </w:pPr>
            <w:r>
              <w:rPr>
                <w:rFonts w:ascii="Arial" w:hAnsi="Arial" w:cs="Arial"/>
                <w:color w:val="000000"/>
                <w:sz w:val="22"/>
                <w:szCs w:val="22"/>
              </w:rPr>
              <w:t>127,590</w:t>
            </w:r>
          </w:p>
        </w:tc>
        <w:tc>
          <w:tcPr>
            <w:tcW w:w="1134" w:type="dxa"/>
            <w:tcBorders>
              <w:top w:val="nil"/>
              <w:left w:val="nil"/>
              <w:bottom w:val="single" w:sz="4" w:space="0" w:color="auto"/>
              <w:right w:val="single" w:sz="4" w:space="0" w:color="auto"/>
            </w:tcBorders>
            <w:shd w:val="clear" w:color="000000" w:fill="FFFFFF"/>
            <w:vAlign w:val="center"/>
          </w:tcPr>
          <w:p w14:paraId="761D6F3B" w14:textId="7312001C" w:rsidR="00F80933" w:rsidRPr="00437874" w:rsidRDefault="00F80933" w:rsidP="00F80933">
            <w:pPr>
              <w:jc w:val="right"/>
              <w:rPr>
                <w:rFonts w:ascii="Arial" w:hAnsi="Arial" w:cs="Arial"/>
                <w:sz w:val="22"/>
                <w:szCs w:val="22"/>
              </w:rPr>
            </w:pPr>
            <w:r>
              <w:rPr>
                <w:rFonts w:ascii="Arial" w:hAnsi="Arial" w:cs="Arial"/>
                <w:color w:val="000000"/>
                <w:sz w:val="22"/>
                <w:szCs w:val="22"/>
              </w:rPr>
              <w:t>146,729</w:t>
            </w:r>
          </w:p>
        </w:tc>
        <w:tc>
          <w:tcPr>
            <w:tcW w:w="1481" w:type="dxa"/>
            <w:tcBorders>
              <w:top w:val="nil"/>
              <w:left w:val="nil"/>
              <w:bottom w:val="single" w:sz="4" w:space="0" w:color="auto"/>
              <w:right w:val="single" w:sz="4" w:space="0" w:color="auto"/>
            </w:tcBorders>
            <w:shd w:val="clear" w:color="000000" w:fill="FFFFFF"/>
            <w:noWrap/>
            <w:vAlign w:val="center"/>
          </w:tcPr>
          <w:p w14:paraId="624133C6" w14:textId="57F2B138" w:rsidR="00F80933" w:rsidRPr="00437874" w:rsidRDefault="00F80933" w:rsidP="00F80933">
            <w:pPr>
              <w:jc w:val="right"/>
              <w:rPr>
                <w:rFonts w:ascii="Arial" w:hAnsi="Arial" w:cs="Arial"/>
                <w:sz w:val="22"/>
                <w:szCs w:val="22"/>
              </w:rPr>
            </w:pPr>
            <w:r>
              <w:rPr>
                <w:rFonts w:ascii="Arial" w:hAnsi="Arial" w:cs="Arial"/>
                <w:color w:val="000000"/>
                <w:sz w:val="22"/>
                <w:szCs w:val="22"/>
              </w:rPr>
              <w:t>108,451</w:t>
            </w:r>
          </w:p>
        </w:tc>
      </w:tr>
      <w:tr w:rsidR="00F80933" w:rsidRPr="00B64150" w14:paraId="0F0AF656" w14:textId="77777777" w:rsidTr="001B7F50">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23A7B463" w14:textId="77777777" w:rsidR="00F80933" w:rsidRPr="008A0A4E" w:rsidRDefault="00F80933" w:rsidP="00F80933">
            <w:pPr>
              <w:rPr>
                <w:rFonts w:ascii="Arial" w:hAnsi="Arial" w:cs="Arial"/>
                <w:color w:val="000000"/>
                <w:sz w:val="22"/>
                <w:szCs w:val="22"/>
              </w:rPr>
            </w:pPr>
            <w:r w:rsidRPr="008A0A4E">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73C00B69" w14:textId="77777777" w:rsidR="00F80933" w:rsidRPr="008E6013" w:rsidRDefault="00F80933" w:rsidP="00F80933">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982A5FE" w14:textId="187B09A9" w:rsidR="00F80933" w:rsidRPr="00437874" w:rsidRDefault="00F80933" w:rsidP="00F80933">
            <w:pPr>
              <w:jc w:val="right"/>
              <w:rPr>
                <w:rFonts w:ascii="Arial" w:hAnsi="Arial" w:cs="Arial"/>
                <w:sz w:val="22"/>
                <w:szCs w:val="22"/>
              </w:rPr>
            </w:pPr>
            <w:r>
              <w:rPr>
                <w:rFonts w:ascii="Arial" w:hAnsi="Arial" w:cs="Arial"/>
                <w:color w:val="000000"/>
                <w:sz w:val="22"/>
                <w:szCs w:val="22"/>
              </w:rPr>
              <w:t>827</w:t>
            </w:r>
          </w:p>
        </w:tc>
        <w:tc>
          <w:tcPr>
            <w:tcW w:w="1134" w:type="dxa"/>
            <w:tcBorders>
              <w:top w:val="nil"/>
              <w:left w:val="nil"/>
              <w:bottom w:val="single" w:sz="4" w:space="0" w:color="auto"/>
              <w:right w:val="single" w:sz="4" w:space="0" w:color="auto"/>
            </w:tcBorders>
            <w:shd w:val="clear" w:color="000000" w:fill="FFFFFF"/>
            <w:vAlign w:val="center"/>
          </w:tcPr>
          <w:p w14:paraId="1426DC04" w14:textId="1D6786F9" w:rsidR="00F80933" w:rsidRPr="00437874" w:rsidRDefault="00F80933" w:rsidP="00F80933">
            <w:pPr>
              <w:jc w:val="right"/>
              <w:rPr>
                <w:rFonts w:ascii="Arial" w:hAnsi="Arial" w:cs="Arial"/>
                <w:sz w:val="22"/>
                <w:szCs w:val="22"/>
              </w:rPr>
            </w:pPr>
            <w:r>
              <w:rPr>
                <w:rFonts w:ascii="Arial" w:hAnsi="Arial" w:cs="Arial"/>
                <w:color w:val="000000"/>
                <w:sz w:val="22"/>
                <w:szCs w:val="22"/>
              </w:rPr>
              <w:t>951</w:t>
            </w:r>
          </w:p>
        </w:tc>
        <w:tc>
          <w:tcPr>
            <w:tcW w:w="1481" w:type="dxa"/>
            <w:tcBorders>
              <w:top w:val="nil"/>
              <w:left w:val="nil"/>
              <w:bottom w:val="single" w:sz="4" w:space="0" w:color="auto"/>
              <w:right w:val="single" w:sz="4" w:space="0" w:color="auto"/>
            </w:tcBorders>
            <w:shd w:val="clear" w:color="000000" w:fill="FFFFFF"/>
            <w:noWrap/>
            <w:vAlign w:val="center"/>
          </w:tcPr>
          <w:p w14:paraId="31D337A8" w14:textId="6275B907" w:rsidR="00F80933" w:rsidRPr="00437874" w:rsidRDefault="00F80933" w:rsidP="00F80933">
            <w:pPr>
              <w:jc w:val="right"/>
              <w:rPr>
                <w:rFonts w:ascii="Arial" w:hAnsi="Arial" w:cs="Arial"/>
                <w:sz w:val="22"/>
                <w:szCs w:val="22"/>
              </w:rPr>
            </w:pPr>
            <w:r>
              <w:rPr>
                <w:rFonts w:ascii="Arial" w:hAnsi="Arial" w:cs="Arial"/>
                <w:color w:val="000000"/>
                <w:sz w:val="22"/>
                <w:szCs w:val="22"/>
              </w:rPr>
              <w:t>703</w:t>
            </w:r>
          </w:p>
        </w:tc>
      </w:tr>
      <w:tr w:rsidR="00F80933" w:rsidRPr="00B64150" w14:paraId="37CACF3D" w14:textId="77777777" w:rsidTr="001B7F50">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298ED9A" w14:textId="77777777" w:rsidR="00F80933" w:rsidRPr="008A0A4E" w:rsidRDefault="00F80933" w:rsidP="00F80933">
            <w:pPr>
              <w:rPr>
                <w:rFonts w:ascii="Arial" w:hAnsi="Arial" w:cs="Arial"/>
                <w:color w:val="000000"/>
                <w:sz w:val="22"/>
                <w:szCs w:val="22"/>
              </w:rPr>
            </w:pPr>
            <w:r w:rsidRPr="008A0A4E">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2FDFF4CE" w14:textId="77777777" w:rsidR="00F80933" w:rsidRPr="008A0A4E" w:rsidRDefault="00F80933" w:rsidP="00F80933">
            <w:pPr>
              <w:rPr>
                <w:rFonts w:ascii="Arial" w:hAnsi="Arial" w:cs="Arial"/>
                <w:color w:val="000000"/>
                <w:sz w:val="22"/>
                <w:szCs w:val="22"/>
              </w:rPr>
            </w:pPr>
            <w:r w:rsidRPr="008A0A4E">
              <w:rPr>
                <w:rFonts w:ascii="Arial" w:hAnsi="Arial" w:cs="Arial"/>
                <w:color w:val="000000"/>
                <w:sz w:val="22"/>
                <w:szCs w:val="22"/>
              </w:rPr>
              <w:t> </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DBF3DBB" w14:textId="63692CF0" w:rsidR="00F80933" w:rsidRPr="008A79ED" w:rsidRDefault="00F80933" w:rsidP="00F80933">
            <w:pPr>
              <w:jc w:val="right"/>
              <w:rPr>
                <w:rFonts w:ascii="Arial" w:hAnsi="Arial" w:cs="Arial"/>
                <w:b/>
                <w:bCs/>
                <w:sz w:val="22"/>
                <w:szCs w:val="22"/>
              </w:rPr>
            </w:pPr>
            <w:r>
              <w:rPr>
                <w:rFonts w:ascii="Arial" w:hAnsi="Arial" w:cs="Arial"/>
                <w:b/>
                <w:bCs/>
                <w:color w:val="000000"/>
                <w:sz w:val="22"/>
                <w:szCs w:val="22"/>
              </w:rPr>
              <w:t>301,340</w:t>
            </w:r>
          </w:p>
        </w:tc>
        <w:tc>
          <w:tcPr>
            <w:tcW w:w="1134" w:type="dxa"/>
            <w:tcBorders>
              <w:top w:val="nil"/>
              <w:left w:val="nil"/>
              <w:bottom w:val="single" w:sz="4" w:space="0" w:color="auto"/>
              <w:right w:val="single" w:sz="4" w:space="0" w:color="auto"/>
            </w:tcBorders>
            <w:shd w:val="clear" w:color="000000" w:fill="FFFFFF"/>
            <w:vAlign w:val="center"/>
          </w:tcPr>
          <w:p w14:paraId="6CAFFFEE" w14:textId="6AF4E21A" w:rsidR="00F80933" w:rsidRPr="008A79ED" w:rsidRDefault="00F80933" w:rsidP="00F80933">
            <w:pPr>
              <w:jc w:val="right"/>
              <w:rPr>
                <w:rFonts w:ascii="Arial" w:hAnsi="Arial" w:cs="Arial"/>
                <w:b/>
                <w:bCs/>
                <w:sz w:val="22"/>
                <w:szCs w:val="22"/>
              </w:rPr>
            </w:pPr>
            <w:r>
              <w:rPr>
                <w:rFonts w:ascii="Arial" w:hAnsi="Arial" w:cs="Arial"/>
                <w:b/>
                <w:bCs/>
                <w:color w:val="000000"/>
                <w:sz w:val="22"/>
                <w:szCs w:val="22"/>
              </w:rPr>
              <w:t>341,697</w:t>
            </w:r>
          </w:p>
        </w:tc>
        <w:tc>
          <w:tcPr>
            <w:tcW w:w="1481" w:type="dxa"/>
            <w:tcBorders>
              <w:top w:val="nil"/>
              <w:left w:val="nil"/>
              <w:bottom w:val="single" w:sz="4" w:space="0" w:color="auto"/>
              <w:right w:val="single" w:sz="4" w:space="0" w:color="auto"/>
            </w:tcBorders>
            <w:shd w:val="clear" w:color="000000" w:fill="FFFFFF"/>
            <w:vAlign w:val="center"/>
          </w:tcPr>
          <w:p w14:paraId="36FA34DD" w14:textId="42853FC7" w:rsidR="00F80933" w:rsidRPr="008A79ED" w:rsidRDefault="00F80933" w:rsidP="00F80933">
            <w:pPr>
              <w:jc w:val="right"/>
              <w:rPr>
                <w:rFonts w:ascii="Arial" w:hAnsi="Arial" w:cs="Arial"/>
                <w:b/>
                <w:bCs/>
                <w:sz w:val="22"/>
                <w:szCs w:val="22"/>
              </w:rPr>
            </w:pPr>
            <w:r>
              <w:rPr>
                <w:rFonts w:ascii="Arial" w:hAnsi="Arial" w:cs="Arial"/>
                <w:b/>
                <w:bCs/>
                <w:color w:val="000000"/>
                <w:sz w:val="22"/>
                <w:szCs w:val="22"/>
              </w:rPr>
              <w:t>260,983</w:t>
            </w:r>
          </w:p>
        </w:tc>
      </w:tr>
    </w:tbl>
    <w:p w14:paraId="65E5D5DD" w14:textId="77777777" w:rsidR="00B07CCE" w:rsidRDefault="00B07CCE" w:rsidP="006C2B1C">
      <w:pPr>
        <w:pStyle w:val="BodyTextIndent2"/>
        <w:tabs>
          <w:tab w:val="left" w:pos="567"/>
        </w:tabs>
        <w:spacing w:after="0" w:line="240" w:lineRule="auto"/>
        <w:ind w:left="426"/>
        <w:jc w:val="both"/>
        <w:rPr>
          <w:rFonts w:ascii="Arial" w:hAnsi="Arial" w:cs="Arial"/>
          <w:sz w:val="22"/>
          <w:szCs w:val="22"/>
        </w:rPr>
      </w:pPr>
    </w:p>
    <w:p w14:paraId="45A25E82" w14:textId="77777777" w:rsidR="00B07CCE" w:rsidRPr="00130C46" w:rsidRDefault="00B07CCE" w:rsidP="006C2B1C">
      <w:pPr>
        <w:pStyle w:val="BodyTextIndent2"/>
        <w:tabs>
          <w:tab w:val="left" w:pos="567"/>
        </w:tabs>
        <w:spacing w:after="0" w:line="240" w:lineRule="auto"/>
        <w:ind w:left="426"/>
        <w:jc w:val="both"/>
        <w:rPr>
          <w:rFonts w:ascii="Arial" w:hAnsi="Arial" w:cs="Arial"/>
          <w:sz w:val="22"/>
          <w:szCs w:val="22"/>
        </w:rPr>
      </w:pPr>
    </w:p>
    <w:p w14:paraId="1FEDEDFD" w14:textId="77777777" w:rsidR="004572A5" w:rsidRPr="008A0A4E" w:rsidRDefault="004572A5" w:rsidP="003C45DA">
      <w:pPr>
        <w:pStyle w:val="BodyTextIndent2"/>
        <w:spacing w:after="0" w:line="240" w:lineRule="auto"/>
        <w:ind w:left="284"/>
        <w:jc w:val="both"/>
        <w:rPr>
          <w:rFonts w:ascii="Arial" w:hAnsi="Arial" w:cs="Arial"/>
          <w:b/>
          <w:sz w:val="22"/>
          <w:szCs w:val="22"/>
        </w:rPr>
      </w:pPr>
    </w:p>
    <w:tbl>
      <w:tblPr>
        <w:tblW w:w="8847" w:type="dxa"/>
        <w:jc w:val="center"/>
        <w:tblLook w:val="04A0" w:firstRow="1" w:lastRow="0" w:firstColumn="1" w:lastColumn="0" w:noHBand="0" w:noVBand="1"/>
      </w:tblPr>
      <w:tblGrid>
        <w:gridCol w:w="3539"/>
        <w:gridCol w:w="1253"/>
        <w:gridCol w:w="1440"/>
        <w:gridCol w:w="1134"/>
        <w:gridCol w:w="1481"/>
      </w:tblGrid>
      <w:tr w:rsidR="003C45DA" w:rsidRPr="00B64150" w14:paraId="6222FE2C" w14:textId="77777777" w:rsidTr="004E7FAA">
        <w:trPr>
          <w:trHeight w:val="362"/>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E510" w14:textId="77777777"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7B56A36" w14:textId="77777777"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Assessed</w:t>
            </w:r>
            <w:r w:rsidRPr="00262A51">
              <w:rPr>
                <w:rFonts w:ascii="Arial" w:hAnsi="Arial" w:cs="Arial"/>
                <w:b/>
                <w:bCs/>
                <w:color w:val="000000"/>
                <w:sz w:val="22"/>
                <w:szCs w:val="22"/>
              </w:rPr>
              <w:br/>
              <w:t>valuation range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B85375" w14:textId="1B615516"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Value at 31</w:t>
            </w:r>
            <w:r w:rsidRPr="00262A51">
              <w:rPr>
                <w:rFonts w:ascii="Arial" w:hAnsi="Arial" w:cs="Arial"/>
                <w:b/>
                <w:bCs/>
                <w:color w:val="000000"/>
                <w:sz w:val="22"/>
                <w:szCs w:val="22"/>
              </w:rPr>
              <w:br/>
              <w:t>March 20</w:t>
            </w:r>
            <w:r w:rsidR="00B10224" w:rsidRPr="00262A51">
              <w:rPr>
                <w:rFonts w:ascii="Arial" w:hAnsi="Arial" w:cs="Arial"/>
                <w:b/>
                <w:bCs/>
                <w:color w:val="000000"/>
                <w:sz w:val="22"/>
                <w:szCs w:val="22"/>
              </w:rPr>
              <w:t>2</w:t>
            </w:r>
            <w:r w:rsidR="007B7273" w:rsidRPr="00262A51">
              <w:rPr>
                <w:rFonts w:ascii="Arial" w:hAnsi="Arial" w:cs="Arial"/>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66B866" w14:textId="77777777"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Value on Increase</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6EBCF57F" w14:textId="77777777"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Value on Decrease</w:t>
            </w:r>
          </w:p>
        </w:tc>
      </w:tr>
      <w:tr w:rsidR="003C45DA" w:rsidRPr="00B64150" w14:paraId="5B59F0F2"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37DD3B2" w14:textId="77777777" w:rsidR="003C45DA" w:rsidRPr="00262A51" w:rsidRDefault="003C45DA" w:rsidP="00DF3ECC">
            <w:pPr>
              <w:jc w:val="center"/>
              <w:rPr>
                <w:rFonts w:ascii="Arial" w:hAnsi="Arial" w:cs="Arial"/>
                <w:b/>
                <w:bCs/>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3D2F3B37" w14:textId="77777777" w:rsidR="003C45DA" w:rsidRPr="00262A51" w:rsidRDefault="003C45DA" w:rsidP="00DF3ECC">
            <w:pPr>
              <w:jc w:val="center"/>
              <w:rPr>
                <w:rFonts w:ascii="Arial" w:hAnsi="Arial" w:cs="Arial"/>
                <w:b/>
                <w:bCs/>
                <w:color w:val="000000"/>
                <w:sz w:val="22"/>
                <w:szCs w:val="22"/>
              </w:rPr>
            </w:pPr>
            <w:r w:rsidRPr="00262A51">
              <w:rPr>
                <w:rFonts w:ascii="Arial" w:hAnsi="Arial" w:cs="Arial"/>
                <w:b/>
                <w:bCs/>
                <w:color w:val="000000"/>
                <w:sz w:val="22"/>
                <w:szCs w:val="22"/>
              </w:rPr>
              <w:t>%</w:t>
            </w:r>
          </w:p>
        </w:tc>
        <w:tc>
          <w:tcPr>
            <w:tcW w:w="1440" w:type="dxa"/>
            <w:tcBorders>
              <w:top w:val="nil"/>
              <w:left w:val="nil"/>
              <w:bottom w:val="single" w:sz="4" w:space="0" w:color="auto"/>
              <w:right w:val="single" w:sz="4" w:space="0" w:color="auto"/>
            </w:tcBorders>
            <w:shd w:val="clear" w:color="auto" w:fill="auto"/>
          </w:tcPr>
          <w:p w14:paraId="57FF8804" w14:textId="77777777" w:rsidR="003C45DA" w:rsidRPr="00262A51" w:rsidRDefault="003C45DA" w:rsidP="00DF3ECC">
            <w:pPr>
              <w:jc w:val="center"/>
              <w:rPr>
                <w:rFonts w:ascii="Arial" w:hAnsi="Arial" w:cs="Arial"/>
                <w:b/>
                <w:bCs/>
                <w:sz w:val="22"/>
                <w:szCs w:val="22"/>
              </w:rPr>
            </w:pPr>
            <w:r w:rsidRPr="00262A51">
              <w:rPr>
                <w:rFonts w:ascii="Arial" w:hAnsi="Arial" w:cs="Arial"/>
                <w:b/>
                <w:bCs/>
                <w:sz w:val="22"/>
                <w:szCs w:val="22"/>
              </w:rPr>
              <w:t>£000s</w:t>
            </w:r>
          </w:p>
        </w:tc>
        <w:tc>
          <w:tcPr>
            <w:tcW w:w="1134" w:type="dxa"/>
            <w:tcBorders>
              <w:top w:val="nil"/>
              <w:left w:val="nil"/>
              <w:bottom w:val="single" w:sz="4" w:space="0" w:color="auto"/>
              <w:right w:val="single" w:sz="4" w:space="0" w:color="auto"/>
            </w:tcBorders>
            <w:shd w:val="clear" w:color="auto" w:fill="auto"/>
          </w:tcPr>
          <w:p w14:paraId="0111F5E5" w14:textId="77777777" w:rsidR="003C45DA" w:rsidRPr="00262A51" w:rsidRDefault="003C45DA" w:rsidP="00DF3ECC">
            <w:pPr>
              <w:jc w:val="center"/>
              <w:rPr>
                <w:rFonts w:ascii="Arial" w:hAnsi="Arial" w:cs="Arial"/>
                <w:b/>
                <w:bCs/>
                <w:sz w:val="22"/>
                <w:szCs w:val="22"/>
              </w:rPr>
            </w:pPr>
            <w:r w:rsidRPr="00262A51">
              <w:rPr>
                <w:rFonts w:ascii="Arial" w:hAnsi="Arial" w:cs="Arial"/>
                <w:b/>
                <w:bCs/>
                <w:sz w:val="22"/>
                <w:szCs w:val="22"/>
              </w:rPr>
              <w:t>£000s</w:t>
            </w:r>
          </w:p>
        </w:tc>
        <w:tc>
          <w:tcPr>
            <w:tcW w:w="1481" w:type="dxa"/>
            <w:tcBorders>
              <w:top w:val="nil"/>
              <w:left w:val="nil"/>
              <w:bottom w:val="single" w:sz="4" w:space="0" w:color="auto"/>
              <w:right w:val="single" w:sz="4" w:space="0" w:color="auto"/>
            </w:tcBorders>
            <w:shd w:val="clear" w:color="auto" w:fill="auto"/>
            <w:noWrap/>
          </w:tcPr>
          <w:p w14:paraId="29131002" w14:textId="77777777" w:rsidR="003C45DA" w:rsidRPr="00262A51" w:rsidRDefault="003C45DA" w:rsidP="00DF3ECC">
            <w:pPr>
              <w:jc w:val="center"/>
              <w:rPr>
                <w:rFonts w:ascii="Arial" w:hAnsi="Arial" w:cs="Arial"/>
                <w:b/>
                <w:bCs/>
                <w:sz w:val="22"/>
                <w:szCs w:val="22"/>
              </w:rPr>
            </w:pPr>
            <w:r w:rsidRPr="00262A51">
              <w:rPr>
                <w:rFonts w:ascii="Arial" w:hAnsi="Arial" w:cs="Arial"/>
                <w:b/>
                <w:bCs/>
                <w:sz w:val="22"/>
                <w:szCs w:val="22"/>
              </w:rPr>
              <w:t>£000s</w:t>
            </w:r>
          </w:p>
        </w:tc>
      </w:tr>
      <w:tr w:rsidR="00BA02D7" w:rsidRPr="00B64150" w14:paraId="211A948A"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47D5F8D" w14:textId="6E532C74" w:rsidR="00BA02D7" w:rsidRPr="00750CE2" w:rsidRDefault="006D022E" w:rsidP="00BA02D7">
            <w:pPr>
              <w:rPr>
                <w:rFonts w:ascii="Arial" w:hAnsi="Arial" w:cs="Arial"/>
                <w:color w:val="000000"/>
                <w:sz w:val="22"/>
                <w:szCs w:val="22"/>
              </w:rPr>
            </w:pPr>
            <w:r w:rsidRPr="00750CE2">
              <w:rPr>
                <w:rFonts w:ascii="Arial" w:hAnsi="Arial" w:cs="Arial"/>
                <w:color w:val="000000"/>
                <w:sz w:val="22"/>
                <w:szCs w:val="22"/>
              </w:rPr>
              <w:t xml:space="preserve"> </w:t>
            </w:r>
            <w:r w:rsidR="00BA02D7" w:rsidRPr="00750CE2">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78C7681B" w14:textId="77777777" w:rsidR="00BA02D7" w:rsidRPr="00750CE2" w:rsidRDefault="00BA02D7" w:rsidP="00BA02D7">
            <w:pPr>
              <w:jc w:val="center"/>
              <w:rPr>
                <w:rFonts w:ascii="Arial" w:hAnsi="Arial" w:cs="Arial"/>
                <w:color w:val="000000"/>
                <w:sz w:val="22"/>
                <w:szCs w:val="22"/>
              </w:rPr>
            </w:pPr>
            <w:r w:rsidRPr="00750CE2">
              <w:rPr>
                <w:rFonts w:ascii="Arial" w:hAnsi="Arial" w:cs="Arial"/>
                <w:color w:val="000000"/>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4F1C361" w14:textId="382E0B58"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47,850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E1258D" w14:textId="5975F493"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52,635</w:t>
            </w:r>
          </w:p>
        </w:tc>
        <w:tc>
          <w:tcPr>
            <w:tcW w:w="1481" w:type="dxa"/>
            <w:tcBorders>
              <w:top w:val="single" w:sz="4" w:space="0" w:color="auto"/>
              <w:left w:val="nil"/>
              <w:bottom w:val="single" w:sz="4" w:space="0" w:color="auto"/>
              <w:right w:val="single" w:sz="4" w:space="0" w:color="auto"/>
            </w:tcBorders>
            <w:shd w:val="clear" w:color="000000" w:fill="FFFFFF"/>
            <w:noWrap/>
            <w:vAlign w:val="center"/>
          </w:tcPr>
          <w:p w14:paraId="6D6A465F" w14:textId="1D34A1CB"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43,065</w:t>
            </w:r>
          </w:p>
        </w:tc>
      </w:tr>
      <w:tr w:rsidR="00BA02D7" w:rsidRPr="00B64150" w14:paraId="7DE3E331"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13C12683" w14:textId="77777777" w:rsidR="00BA02D7" w:rsidRPr="00750CE2" w:rsidRDefault="00BA02D7" w:rsidP="00BA02D7">
            <w:pPr>
              <w:rPr>
                <w:rFonts w:ascii="Arial" w:hAnsi="Arial" w:cs="Arial"/>
                <w:color w:val="000000"/>
                <w:sz w:val="22"/>
                <w:szCs w:val="22"/>
              </w:rPr>
            </w:pPr>
            <w:r w:rsidRPr="00750CE2">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73EF21CA" w14:textId="77777777" w:rsidR="00BA02D7" w:rsidRPr="00750CE2" w:rsidRDefault="00BA02D7" w:rsidP="00BA02D7">
            <w:pPr>
              <w:jc w:val="center"/>
              <w:rPr>
                <w:rFonts w:ascii="Arial" w:hAnsi="Arial" w:cs="Arial"/>
                <w:color w:val="000000"/>
                <w:sz w:val="22"/>
                <w:szCs w:val="22"/>
              </w:rPr>
            </w:pPr>
            <w:r w:rsidRPr="00750CE2">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7F0370C" w14:textId="072F9BED"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86,574</w:t>
            </w:r>
          </w:p>
        </w:tc>
        <w:tc>
          <w:tcPr>
            <w:tcW w:w="1134" w:type="dxa"/>
            <w:tcBorders>
              <w:top w:val="nil"/>
              <w:left w:val="nil"/>
              <w:bottom w:val="single" w:sz="4" w:space="0" w:color="auto"/>
              <w:right w:val="single" w:sz="4" w:space="0" w:color="auto"/>
            </w:tcBorders>
            <w:shd w:val="clear" w:color="000000" w:fill="FFFFFF"/>
            <w:vAlign w:val="center"/>
          </w:tcPr>
          <w:p w14:paraId="157C9A28" w14:textId="487D88E5"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99,560</w:t>
            </w:r>
          </w:p>
        </w:tc>
        <w:tc>
          <w:tcPr>
            <w:tcW w:w="1481" w:type="dxa"/>
            <w:tcBorders>
              <w:top w:val="nil"/>
              <w:left w:val="nil"/>
              <w:bottom w:val="single" w:sz="4" w:space="0" w:color="auto"/>
              <w:right w:val="single" w:sz="4" w:space="0" w:color="auto"/>
            </w:tcBorders>
            <w:shd w:val="clear" w:color="000000" w:fill="FFFFFF"/>
            <w:noWrap/>
            <w:vAlign w:val="center"/>
          </w:tcPr>
          <w:p w14:paraId="6832BF5B" w14:textId="12F9A311"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73,588</w:t>
            </w:r>
          </w:p>
        </w:tc>
      </w:tr>
      <w:tr w:rsidR="00BA02D7" w:rsidRPr="00B64150" w14:paraId="6C4F7B3D"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2A8FC68A" w14:textId="77777777" w:rsidR="00BA02D7" w:rsidRPr="00750CE2" w:rsidRDefault="00BA02D7" w:rsidP="00BA02D7">
            <w:pPr>
              <w:rPr>
                <w:rFonts w:ascii="Arial" w:hAnsi="Arial" w:cs="Arial"/>
                <w:color w:val="000000"/>
                <w:sz w:val="22"/>
                <w:szCs w:val="22"/>
              </w:rPr>
            </w:pPr>
            <w:r w:rsidRPr="00750CE2">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68C059CC" w14:textId="77777777" w:rsidR="00BA02D7" w:rsidRPr="00750CE2" w:rsidRDefault="00BA02D7" w:rsidP="00BA02D7">
            <w:pPr>
              <w:jc w:val="center"/>
              <w:rPr>
                <w:rFonts w:ascii="Arial" w:hAnsi="Arial" w:cs="Arial"/>
                <w:color w:val="000000"/>
                <w:sz w:val="22"/>
                <w:szCs w:val="22"/>
              </w:rPr>
            </w:pPr>
            <w:r w:rsidRPr="00750CE2">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641D3C2" w14:textId="0DF18FE8"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107,474</w:t>
            </w:r>
          </w:p>
        </w:tc>
        <w:tc>
          <w:tcPr>
            <w:tcW w:w="1134" w:type="dxa"/>
            <w:tcBorders>
              <w:top w:val="nil"/>
              <w:left w:val="nil"/>
              <w:bottom w:val="single" w:sz="4" w:space="0" w:color="auto"/>
              <w:right w:val="single" w:sz="4" w:space="0" w:color="auto"/>
            </w:tcBorders>
            <w:shd w:val="clear" w:color="000000" w:fill="FFFFFF"/>
            <w:vAlign w:val="center"/>
          </w:tcPr>
          <w:p w14:paraId="16657B7E" w14:textId="072A6AC3"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123,595</w:t>
            </w:r>
          </w:p>
        </w:tc>
        <w:tc>
          <w:tcPr>
            <w:tcW w:w="1481" w:type="dxa"/>
            <w:tcBorders>
              <w:top w:val="nil"/>
              <w:left w:val="nil"/>
              <w:bottom w:val="single" w:sz="4" w:space="0" w:color="auto"/>
              <w:right w:val="single" w:sz="4" w:space="0" w:color="auto"/>
            </w:tcBorders>
            <w:shd w:val="clear" w:color="000000" w:fill="FFFFFF"/>
            <w:noWrap/>
            <w:vAlign w:val="center"/>
          </w:tcPr>
          <w:p w14:paraId="4E3F4539" w14:textId="014E6627"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91,353</w:t>
            </w:r>
          </w:p>
        </w:tc>
      </w:tr>
      <w:tr w:rsidR="00BA02D7" w:rsidRPr="00B64150" w14:paraId="0840DD58"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4037C3B4" w14:textId="77777777" w:rsidR="00BA02D7" w:rsidRPr="00750CE2" w:rsidRDefault="00BA02D7" w:rsidP="00BA02D7">
            <w:pPr>
              <w:rPr>
                <w:rFonts w:ascii="Arial" w:hAnsi="Arial" w:cs="Arial"/>
                <w:color w:val="000000"/>
                <w:sz w:val="22"/>
                <w:szCs w:val="22"/>
              </w:rPr>
            </w:pPr>
            <w:r w:rsidRPr="00750CE2">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365BA3A3" w14:textId="77777777" w:rsidR="00BA02D7" w:rsidRPr="00750CE2" w:rsidRDefault="00BA02D7" w:rsidP="00BA02D7">
            <w:pPr>
              <w:jc w:val="center"/>
              <w:rPr>
                <w:rFonts w:ascii="Arial" w:hAnsi="Arial" w:cs="Arial"/>
                <w:color w:val="000000"/>
                <w:sz w:val="22"/>
                <w:szCs w:val="22"/>
              </w:rPr>
            </w:pPr>
            <w:r w:rsidRPr="00750CE2">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74A1767C" w14:textId="37B19932"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31,941</w:t>
            </w:r>
          </w:p>
        </w:tc>
        <w:tc>
          <w:tcPr>
            <w:tcW w:w="1134" w:type="dxa"/>
            <w:tcBorders>
              <w:top w:val="nil"/>
              <w:left w:val="nil"/>
              <w:bottom w:val="single" w:sz="4" w:space="0" w:color="auto"/>
              <w:right w:val="single" w:sz="4" w:space="0" w:color="auto"/>
            </w:tcBorders>
            <w:shd w:val="clear" w:color="000000" w:fill="FFFFFF"/>
            <w:vAlign w:val="center"/>
          </w:tcPr>
          <w:p w14:paraId="714B5DD1" w14:textId="334EE164"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36,732</w:t>
            </w:r>
          </w:p>
        </w:tc>
        <w:tc>
          <w:tcPr>
            <w:tcW w:w="1481" w:type="dxa"/>
            <w:tcBorders>
              <w:top w:val="nil"/>
              <w:left w:val="nil"/>
              <w:bottom w:val="single" w:sz="4" w:space="0" w:color="auto"/>
              <w:right w:val="single" w:sz="4" w:space="0" w:color="auto"/>
            </w:tcBorders>
            <w:shd w:val="clear" w:color="000000" w:fill="FFFFFF"/>
            <w:noWrap/>
            <w:vAlign w:val="center"/>
          </w:tcPr>
          <w:p w14:paraId="735B14FB" w14:textId="7429908B" w:rsidR="00BA02D7" w:rsidRPr="00750CE2" w:rsidRDefault="00BA02D7" w:rsidP="00BA02D7">
            <w:pPr>
              <w:jc w:val="right"/>
              <w:rPr>
                <w:rFonts w:ascii="Arial" w:hAnsi="Arial" w:cs="Arial"/>
                <w:sz w:val="22"/>
                <w:szCs w:val="22"/>
              </w:rPr>
            </w:pPr>
            <w:r w:rsidRPr="00750CE2">
              <w:rPr>
                <w:rFonts w:ascii="Arial" w:hAnsi="Arial" w:cs="Arial"/>
                <w:color w:val="000000"/>
                <w:sz w:val="22"/>
                <w:szCs w:val="22"/>
              </w:rPr>
              <w:t>27,150</w:t>
            </w:r>
          </w:p>
        </w:tc>
      </w:tr>
      <w:tr w:rsidR="00BA02D7" w:rsidRPr="00B64150" w14:paraId="7FBE357A"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B782BB2" w14:textId="77777777" w:rsidR="00BA02D7" w:rsidRPr="00750CE2" w:rsidRDefault="00BA02D7" w:rsidP="00BA02D7">
            <w:pPr>
              <w:rPr>
                <w:rFonts w:ascii="Arial" w:hAnsi="Arial" w:cs="Arial"/>
                <w:color w:val="000000"/>
                <w:sz w:val="22"/>
                <w:szCs w:val="22"/>
              </w:rPr>
            </w:pPr>
            <w:r w:rsidRPr="00750CE2">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0C312462" w14:textId="77777777" w:rsidR="00BA02D7" w:rsidRPr="00750CE2" w:rsidRDefault="00BA02D7" w:rsidP="00BA02D7">
            <w:pPr>
              <w:rPr>
                <w:rFonts w:ascii="Arial" w:hAnsi="Arial" w:cs="Arial"/>
                <w:color w:val="000000"/>
                <w:sz w:val="22"/>
                <w:szCs w:val="22"/>
              </w:rPr>
            </w:pPr>
            <w:r w:rsidRPr="00750CE2">
              <w:rPr>
                <w:rFonts w:ascii="Arial" w:hAnsi="Arial" w:cs="Arial"/>
                <w:color w:val="000000"/>
                <w:sz w:val="22"/>
                <w:szCs w:val="22"/>
              </w:rPr>
              <w:t> </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44D7979" w14:textId="799B0ED1" w:rsidR="00BA02D7" w:rsidRPr="00262A51" w:rsidRDefault="00BA02D7" w:rsidP="00BA02D7">
            <w:pPr>
              <w:jc w:val="right"/>
              <w:rPr>
                <w:rFonts w:ascii="Arial" w:hAnsi="Arial" w:cs="Arial"/>
                <w:b/>
                <w:bCs/>
                <w:sz w:val="22"/>
                <w:szCs w:val="22"/>
              </w:rPr>
            </w:pPr>
            <w:r w:rsidRPr="00262A51">
              <w:rPr>
                <w:rFonts w:ascii="Arial" w:hAnsi="Arial" w:cs="Arial"/>
                <w:b/>
                <w:bCs/>
                <w:color w:val="000000"/>
                <w:sz w:val="22"/>
                <w:szCs w:val="22"/>
              </w:rPr>
              <w:t>273,839</w:t>
            </w:r>
          </w:p>
        </w:tc>
        <w:tc>
          <w:tcPr>
            <w:tcW w:w="1134" w:type="dxa"/>
            <w:tcBorders>
              <w:top w:val="nil"/>
              <w:left w:val="nil"/>
              <w:bottom w:val="single" w:sz="4" w:space="0" w:color="auto"/>
              <w:right w:val="single" w:sz="4" w:space="0" w:color="auto"/>
            </w:tcBorders>
            <w:shd w:val="clear" w:color="000000" w:fill="FFFFFF"/>
            <w:vAlign w:val="center"/>
          </w:tcPr>
          <w:p w14:paraId="3B3A07CD" w14:textId="4C945E89" w:rsidR="00BA02D7" w:rsidRPr="00262A51" w:rsidRDefault="00BA02D7" w:rsidP="00BA02D7">
            <w:pPr>
              <w:jc w:val="right"/>
              <w:rPr>
                <w:rFonts w:ascii="Arial" w:hAnsi="Arial" w:cs="Arial"/>
                <w:b/>
                <w:bCs/>
                <w:sz w:val="22"/>
                <w:szCs w:val="22"/>
              </w:rPr>
            </w:pPr>
            <w:r w:rsidRPr="00262A51">
              <w:rPr>
                <w:rFonts w:ascii="Arial" w:hAnsi="Arial" w:cs="Arial"/>
                <w:b/>
                <w:bCs/>
                <w:color w:val="000000"/>
                <w:sz w:val="22"/>
                <w:szCs w:val="22"/>
              </w:rPr>
              <w:t>312,522</w:t>
            </w:r>
          </w:p>
        </w:tc>
        <w:tc>
          <w:tcPr>
            <w:tcW w:w="1481" w:type="dxa"/>
            <w:tcBorders>
              <w:top w:val="nil"/>
              <w:left w:val="nil"/>
              <w:bottom w:val="single" w:sz="4" w:space="0" w:color="auto"/>
              <w:right w:val="single" w:sz="4" w:space="0" w:color="auto"/>
            </w:tcBorders>
            <w:shd w:val="clear" w:color="000000" w:fill="FFFFFF"/>
            <w:vAlign w:val="center"/>
          </w:tcPr>
          <w:p w14:paraId="3C4A0C14" w14:textId="72FB9C49" w:rsidR="00BA02D7" w:rsidRPr="00262A51" w:rsidRDefault="00BA02D7" w:rsidP="00BA02D7">
            <w:pPr>
              <w:jc w:val="right"/>
              <w:rPr>
                <w:rFonts w:ascii="Arial" w:hAnsi="Arial" w:cs="Arial"/>
                <w:b/>
                <w:bCs/>
                <w:sz w:val="22"/>
                <w:szCs w:val="22"/>
              </w:rPr>
            </w:pPr>
            <w:r w:rsidRPr="00262A51">
              <w:rPr>
                <w:rFonts w:ascii="Arial" w:hAnsi="Arial" w:cs="Arial"/>
                <w:b/>
                <w:bCs/>
                <w:color w:val="000000"/>
                <w:sz w:val="22"/>
                <w:szCs w:val="22"/>
              </w:rPr>
              <w:t>235,156</w:t>
            </w:r>
          </w:p>
        </w:tc>
      </w:tr>
    </w:tbl>
    <w:p w14:paraId="44B99808" w14:textId="77777777" w:rsidR="0010635C" w:rsidRDefault="0010635C" w:rsidP="00253D53">
      <w:pPr>
        <w:pStyle w:val="BodyTextIndent2"/>
        <w:tabs>
          <w:tab w:val="left" w:pos="1311"/>
        </w:tabs>
        <w:spacing w:after="0" w:line="240" w:lineRule="auto"/>
        <w:ind w:left="0"/>
        <w:rPr>
          <w:rFonts w:ascii="Arial" w:hAnsi="Arial" w:cs="Arial"/>
          <w:sz w:val="22"/>
          <w:szCs w:val="22"/>
        </w:rPr>
      </w:pPr>
    </w:p>
    <w:p w14:paraId="5CE63F9A" w14:textId="46CD155E" w:rsidR="003C45DA" w:rsidRPr="008A0A4E" w:rsidRDefault="003C45DA" w:rsidP="00253D53">
      <w:pPr>
        <w:pStyle w:val="BodyTextIndent2"/>
        <w:tabs>
          <w:tab w:val="left" w:pos="1311"/>
        </w:tabs>
        <w:spacing w:after="0" w:line="240" w:lineRule="auto"/>
        <w:ind w:left="0"/>
        <w:rPr>
          <w:rFonts w:ascii="Arial" w:hAnsi="Arial" w:cs="Arial"/>
          <w:sz w:val="22"/>
          <w:szCs w:val="22"/>
        </w:rPr>
      </w:pPr>
      <w:r w:rsidRPr="008A0A4E">
        <w:rPr>
          <w:rFonts w:ascii="Arial" w:hAnsi="Arial" w:cs="Arial"/>
          <w:sz w:val="22"/>
          <w:szCs w:val="22"/>
        </w:rPr>
        <w:t>The potential movement of 10% for Property Unit Trusts represents a combination of the following factors, which could all move independently in different directions:</w:t>
      </w:r>
    </w:p>
    <w:p w14:paraId="0822CE04" w14:textId="77777777" w:rsidR="003C45DA" w:rsidRPr="008A0A4E" w:rsidRDefault="003C45DA" w:rsidP="003C45DA">
      <w:pPr>
        <w:pStyle w:val="BodyTextIndent2"/>
        <w:spacing w:after="0" w:line="240" w:lineRule="auto"/>
        <w:ind w:left="567"/>
        <w:rPr>
          <w:rFonts w:ascii="Arial" w:hAnsi="Arial" w:cs="Arial"/>
          <w:sz w:val="22"/>
          <w:szCs w:val="22"/>
        </w:rPr>
      </w:pPr>
    </w:p>
    <w:p w14:paraId="3A46257A" w14:textId="4D2927C1"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Rental increases +/- 4%</w:t>
      </w:r>
    </w:p>
    <w:p w14:paraId="301891BD"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Vacancy levels +/- 2%</w:t>
      </w:r>
    </w:p>
    <w:p w14:paraId="399BC006"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Market prices +/- 3%</w:t>
      </w:r>
    </w:p>
    <w:p w14:paraId="27228125"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Discount rates +/-1%</w:t>
      </w:r>
    </w:p>
    <w:p w14:paraId="71C12F8C" w14:textId="77777777" w:rsidR="003C45DA" w:rsidRPr="008A0A4E" w:rsidRDefault="003C45DA" w:rsidP="003C45DA">
      <w:pPr>
        <w:pStyle w:val="BodyTextIndent2"/>
        <w:spacing w:after="0" w:line="240" w:lineRule="auto"/>
        <w:ind w:left="567"/>
        <w:rPr>
          <w:rFonts w:ascii="Arial" w:hAnsi="Arial" w:cs="Arial"/>
          <w:sz w:val="22"/>
          <w:szCs w:val="22"/>
        </w:rPr>
      </w:pPr>
    </w:p>
    <w:p w14:paraId="11ED904F" w14:textId="17EEA6FD" w:rsidR="00823846" w:rsidRDefault="003C45DA" w:rsidP="00D97305">
      <w:pPr>
        <w:pStyle w:val="BodyTextIndent2"/>
        <w:spacing w:after="0" w:line="240" w:lineRule="auto"/>
        <w:ind w:left="502"/>
        <w:jc w:val="both"/>
        <w:rPr>
          <w:rFonts w:ascii="Arial" w:hAnsi="Arial" w:cs="Arial"/>
          <w:sz w:val="22"/>
          <w:szCs w:val="22"/>
        </w:rPr>
      </w:pPr>
      <w:r w:rsidRPr="008A0A4E">
        <w:rPr>
          <w:rFonts w:ascii="Arial" w:hAnsi="Arial" w:cs="Arial"/>
          <w:sz w:val="22"/>
          <w:szCs w:val="22"/>
        </w:rPr>
        <w:t>All movements in the assessed valuation range derive from changes in the underlying profitability of component companies, the range in the potential movement of 15% is caused by how this profitability is measured since different methods (listed in the first table of Note 2</w:t>
      </w:r>
      <w:r w:rsidR="00355846">
        <w:rPr>
          <w:rFonts w:ascii="Arial" w:hAnsi="Arial" w:cs="Arial"/>
          <w:sz w:val="22"/>
          <w:szCs w:val="22"/>
        </w:rPr>
        <w:t>2</w:t>
      </w:r>
      <w:r w:rsidRPr="008A0A4E">
        <w:rPr>
          <w:rFonts w:ascii="Arial" w:hAnsi="Arial" w:cs="Arial"/>
          <w:sz w:val="22"/>
          <w:szCs w:val="22"/>
        </w:rPr>
        <w:t xml:space="preserve"> above) produce different price results</w:t>
      </w:r>
      <w:r w:rsidR="008A79ED">
        <w:rPr>
          <w:rFonts w:ascii="Arial" w:hAnsi="Arial" w:cs="Arial"/>
          <w:sz w:val="22"/>
          <w:szCs w:val="22"/>
        </w:rPr>
        <w:t>.</w:t>
      </w:r>
    </w:p>
    <w:p w14:paraId="03700040" w14:textId="77777777" w:rsidR="00CF77DD" w:rsidRDefault="00CF77DD" w:rsidP="00582223">
      <w:pPr>
        <w:pStyle w:val="BodyTextIndent2"/>
        <w:spacing w:after="0" w:line="240" w:lineRule="auto"/>
        <w:ind w:left="502"/>
        <w:jc w:val="both"/>
        <w:rPr>
          <w:rFonts w:ascii="Arial" w:hAnsi="Arial" w:cs="Arial"/>
          <w:sz w:val="22"/>
          <w:szCs w:val="22"/>
        </w:rPr>
      </w:pPr>
    </w:p>
    <w:p w14:paraId="26865837" w14:textId="77777777" w:rsidR="00CF77DD" w:rsidRDefault="00CF77DD" w:rsidP="00582223">
      <w:pPr>
        <w:pStyle w:val="BodyTextIndent2"/>
        <w:spacing w:after="0" w:line="240" w:lineRule="auto"/>
        <w:ind w:left="502"/>
        <w:jc w:val="both"/>
        <w:rPr>
          <w:rFonts w:ascii="Arial" w:hAnsi="Arial" w:cs="Arial"/>
          <w:sz w:val="22"/>
          <w:szCs w:val="22"/>
        </w:rPr>
      </w:pPr>
    </w:p>
    <w:p w14:paraId="6BB4729C" w14:textId="5C0E4EF1" w:rsidR="00B36F02" w:rsidRDefault="005D4679" w:rsidP="00345CE4">
      <w:pPr>
        <w:pStyle w:val="BodyTextIndent2"/>
        <w:spacing w:after="0" w:line="240" w:lineRule="auto"/>
        <w:ind w:left="0"/>
        <w:jc w:val="both"/>
        <w:rPr>
          <w:rFonts w:ascii="Arial" w:hAnsi="Arial" w:cs="Arial"/>
          <w:b/>
          <w:bCs/>
          <w:sz w:val="22"/>
          <w:szCs w:val="22"/>
        </w:rPr>
      </w:pPr>
      <w:r w:rsidRPr="0082134C">
        <w:rPr>
          <w:rFonts w:ascii="Arial" w:hAnsi="Arial" w:cs="Arial"/>
          <w:b/>
          <w:bCs/>
          <w:sz w:val="22"/>
          <w:szCs w:val="22"/>
        </w:rPr>
        <w:t>22</w:t>
      </w:r>
      <w:r w:rsidR="000164D5" w:rsidRPr="0082134C">
        <w:rPr>
          <w:rFonts w:ascii="Arial" w:hAnsi="Arial" w:cs="Arial"/>
          <w:b/>
          <w:bCs/>
          <w:sz w:val="22"/>
          <w:szCs w:val="22"/>
        </w:rPr>
        <w:t>a.</w:t>
      </w:r>
      <w:r w:rsidR="000164D5" w:rsidRPr="0082134C">
        <w:rPr>
          <w:rFonts w:ascii="Arial" w:hAnsi="Arial" w:cs="Arial"/>
          <w:b/>
          <w:bCs/>
          <w:sz w:val="22"/>
          <w:szCs w:val="22"/>
        </w:rPr>
        <w:tab/>
      </w:r>
      <w:r w:rsidR="0082134C">
        <w:rPr>
          <w:rFonts w:ascii="Arial" w:hAnsi="Arial" w:cs="Arial"/>
          <w:b/>
          <w:bCs/>
          <w:sz w:val="22"/>
          <w:szCs w:val="22"/>
        </w:rPr>
        <w:t xml:space="preserve">Reconciliation of fair value measurements within level </w:t>
      </w:r>
      <w:r w:rsidR="0084259A">
        <w:rPr>
          <w:rFonts w:ascii="Arial" w:hAnsi="Arial" w:cs="Arial"/>
          <w:b/>
          <w:bCs/>
          <w:sz w:val="22"/>
          <w:szCs w:val="22"/>
        </w:rPr>
        <w:t xml:space="preserve">3 </w:t>
      </w:r>
    </w:p>
    <w:p w14:paraId="1915A848" w14:textId="77777777" w:rsidR="0081637C" w:rsidRPr="0084259A" w:rsidRDefault="0081637C" w:rsidP="00345CE4">
      <w:pPr>
        <w:pStyle w:val="BodyTextIndent2"/>
        <w:spacing w:after="0" w:line="240" w:lineRule="auto"/>
        <w:ind w:left="0"/>
        <w:jc w:val="both"/>
        <w:rPr>
          <w:rFonts w:ascii="Arial" w:hAnsi="Arial" w:cs="Arial"/>
          <w:b/>
          <w:bCs/>
          <w:sz w:val="22"/>
          <w:szCs w:val="22"/>
        </w:rPr>
      </w:pPr>
    </w:p>
    <w:tbl>
      <w:tblPr>
        <w:tblpPr w:leftFromText="180" w:rightFromText="180" w:vertAnchor="text" w:horzAnchor="margin" w:tblpXSpec="center" w:tblpY="253"/>
        <w:tblW w:w="10684" w:type="dxa"/>
        <w:tblLook w:val="04A0" w:firstRow="1" w:lastRow="0" w:firstColumn="1" w:lastColumn="0" w:noHBand="0" w:noVBand="1"/>
      </w:tblPr>
      <w:tblGrid>
        <w:gridCol w:w="2820"/>
        <w:gridCol w:w="1292"/>
        <w:gridCol w:w="1647"/>
        <w:gridCol w:w="1587"/>
        <w:gridCol w:w="1669"/>
        <w:gridCol w:w="1669"/>
      </w:tblGrid>
      <w:tr w:rsidR="00467130" w:rsidRPr="00467130" w14:paraId="68117A44" w14:textId="77777777" w:rsidTr="00920219">
        <w:trPr>
          <w:trHeight w:val="241"/>
        </w:trPr>
        <w:tc>
          <w:tcPr>
            <w:tcW w:w="2820" w:type="dxa"/>
            <w:tcBorders>
              <w:top w:val="nil"/>
              <w:left w:val="nil"/>
              <w:bottom w:val="nil"/>
              <w:right w:val="nil"/>
            </w:tcBorders>
            <w:shd w:val="clear" w:color="000000" w:fill="FFFFFF"/>
            <w:noWrap/>
            <w:vAlign w:val="bottom"/>
            <w:hideMark/>
          </w:tcPr>
          <w:p w14:paraId="55FFDEFE" w14:textId="77777777" w:rsidR="00FF2581" w:rsidRPr="00467130" w:rsidRDefault="00FF2581" w:rsidP="0084259A">
            <w:pPr>
              <w:rPr>
                <w:rFonts w:ascii="Arial" w:hAnsi="Arial" w:cs="Arial"/>
                <w:sz w:val="22"/>
                <w:szCs w:val="22"/>
              </w:rPr>
            </w:pPr>
            <w:r w:rsidRPr="00467130">
              <w:rPr>
                <w:rFonts w:ascii="Arial" w:hAnsi="Arial" w:cs="Arial"/>
                <w:sz w:val="22"/>
                <w:szCs w:val="22"/>
              </w:rPr>
              <w:t> </w:t>
            </w:r>
          </w:p>
        </w:tc>
        <w:tc>
          <w:tcPr>
            <w:tcW w:w="1292" w:type="dxa"/>
            <w:tcBorders>
              <w:top w:val="nil"/>
              <w:left w:val="nil"/>
              <w:bottom w:val="nil"/>
              <w:right w:val="nil"/>
            </w:tcBorders>
            <w:shd w:val="clear" w:color="000000" w:fill="FFFFFF"/>
            <w:noWrap/>
            <w:vAlign w:val="bottom"/>
            <w:hideMark/>
          </w:tcPr>
          <w:p w14:paraId="541A93C8"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Private Equity</w:t>
            </w:r>
          </w:p>
        </w:tc>
        <w:tc>
          <w:tcPr>
            <w:tcW w:w="1647" w:type="dxa"/>
            <w:tcBorders>
              <w:top w:val="nil"/>
              <w:left w:val="nil"/>
              <w:bottom w:val="nil"/>
              <w:right w:val="nil"/>
            </w:tcBorders>
            <w:shd w:val="clear" w:color="000000" w:fill="FFFFFF"/>
            <w:noWrap/>
            <w:vAlign w:val="bottom"/>
            <w:hideMark/>
          </w:tcPr>
          <w:p w14:paraId="1AA453DF" w14:textId="76DD7B2B" w:rsidR="00FF2581" w:rsidRPr="00467130" w:rsidRDefault="0064485D" w:rsidP="00B44F00">
            <w:pPr>
              <w:jc w:val="right"/>
              <w:rPr>
                <w:rFonts w:ascii="Arial" w:hAnsi="Arial" w:cs="Arial"/>
                <w:b/>
                <w:bCs/>
                <w:sz w:val="22"/>
                <w:szCs w:val="22"/>
              </w:rPr>
            </w:pPr>
            <w:r w:rsidRPr="00467130">
              <w:rPr>
                <w:rFonts w:ascii="Arial" w:hAnsi="Arial" w:cs="Arial"/>
                <w:b/>
                <w:bCs/>
                <w:sz w:val="22"/>
                <w:szCs w:val="22"/>
              </w:rPr>
              <w:t>Infrastructure</w:t>
            </w:r>
          </w:p>
        </w:tc>
        <w:tc>
          <w:tcPr>
            <w:tcW w:w="1587" w:type="dxa"/>
            <w:tcBorders>
              <w:top w:val="nil"/>
              <w:left w:val="nil"/>
              <w:bottom w:val="nil"/>
              <w:right w:val="nil"/>
            </w:tcBorders>
            <w:shd w:val="clear" w:color="000000" w:fill="FFFFFF"/>
            <w:noWrap/>
            <w:vAlign w:val="bottom"/>
            <w:hideMark/>
          </w:tcPr>
          <w:p w14:paraId="2D32614A"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Other- Hedge Fund</w:t>
            </w:r>
          </w:p>
        </w:tc>
        <w:tc>
          <w:tcPr>
            <w:tcW w:w="1669" w:type="dxa"/>
            <w:tcBorders>
              <w:top w:val="nil"/>
              <w:left w:val="nil"/>
              <w:bottom w:val="nil"/>
              <w:right w:val="nil"/>
            </w:tcBorders>
            <w:shd w:val="clear" w:color="000000" w:fill="FFFFFF"/>
            <w:noWrap/>
            <w:vAlign w:val="bottom"/>
            <w:hideMark/>
          </w:tcPr>
          <w:p w14:paraId="00CB0E1B"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Other- Property</w:t>
            </w:r>
          </w:p>
        </w:tc>
        <w:tc>
          <w:tcPr>
            <w:tcW w:w="1669" w:type="dxa"/>
            <w:tcBorders>
              <w:top w:val="nil"/>
              <w:left w:val="nil"/>
              <w:bottom w:val="nil"/>
              <w:right w:val="nil"/>
            </w:tcBorders>
            <w:shd w:val="clear" w:color="000000" w:fill="FFFFFF"/>
            <w:noWrap/>
            <w:vAlign w:val="bottom"/>
            <w:hideMark/>
          </w:tcPr>
          <w:p w14:paraId="08E8DA75"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Total</w:t>
            </w:r>
          </w:p>
        </w:tc>
      </w:tr>
      <w:tr w:rsidR="00467130" w:rsidRPr="00467130" w14:paraId="70F7A3E5" w14:textId="77777777" w:rsidTr="00920219">
        <w:trPr>
          <w:trHeight w:val="241"/>
        </w:trPr>
        <w:tc>
          <w:tcPr>
            <w:tcW w:w="2820" w:type="dxa"/>
            <w:tcBorders>
              <w:top w:val="nil"/>
              <w:left w:val="nil"/>
              <w:bottom w:val="nil"/>
              <w:right w:val="nil"/>
            </w:tcBorders>
            <w:shd w:val="clear" w:color="000000" w:fill="FFFFFF"/>
            <w:noWrap/>
            <w:vAlign w:val="bottom"/>
            <w:hideMark/>
          </w:tcPr>
          <w:p w14:paraId="018C7E27" w14:textId="77777777" w:rsidR="00FF2581" w:rsidRPr="00467130" w:rsidRDefault="00FF2581" w:rsidP="0084259A">
            <w:pPr>
              <w:rPr>
                <w:rFonts w:ascii="Arial" w:hAnsi="Arial" w:cs="Arial"/>
                <w:sz w:val="22"/>
                <w:szCs w:val="22"/>
              </w:rPr>
            </w:pPr>
            <w:r w:rsidRPr="00467130">
              <w:rPr>
                <w:rFonts w:ascii="Arial" w:hAnsi="Arial" w:cs="Arial"/>
                <w:sz w:val="22"/>
                <w:szCs w:val="22"/>
              </w:rPr>
              <w:t> </w:t>
            </w:r>
          </w:p>
        </w:tc>
        <w:tc>
          <w:tcPr>
            <w:tcW w:w="1292" w:type="dxa"/>
            <w:tcBorders>
              <w:top w:val="nil"/>
              <w:left w:val="nil"/>
              <w:bottom w:val="nil"/>
              <w:right w:val="nil"/>
            </w:tcBorders>
            <w:shd w:val="clear" w:color="000000" w:fill="FFFFFF"/>
            <w:vAlign w:val="center"/>
            <w:hideMark/>
          </w:tcPr>
          <w:p w14:paraId="05D04822"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£000s</w:t>
            </w:r>
          </w:p>
        </w:tc>
        <w:tc>
          <w:tcPr>
            <w:tcW w:w="1647" w:type="dxa"/>
            <w:tcBorders>
              <w:top w:val="nil"/>
              <w:left w:val="nil"/>
              <w:bottom w:val="nil"/>
              <w:right w:val="nil"/>
            </w:tcBorders>
            <w:shd w:val="clear" w:color="000000" w:fill="FFFFFF"/>
            <w:vAlign w:val="center"/>
            <w:hideMark/>
          </w:tcPr>
          <w:p w14:paraId="226BE90A"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£000s</w:t>
            </w:r>
          </w:p>
        </w:tc>
        <w:tc>
          <w:tcPr>
            <w:tcW w:w="1587" w:type="dxa"/>
            <w:tcBorders>
              <w:top w:val="nil"/>
              <w:left w:val="nil"/>
              <w:bottom w:val="nil"/>
              <w:right w:val="nil"/>
            </w:tcBorders>
            <w:shd w:val="clear" w:color="000000" w:fill="FFFFFF"/>
            <w:vAlign w:val="center"/>
            <w:hideMark/>
          </w:tcPr>
          <w:p w14:paraId="20D7FBCF"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£000s</w:t>
            </w:r>
          </w:p>
        </w:tc>
        <w:tc>
          <w:tcPr>
            <w:tcW w:w="1669" w:type="dxa"/>
            <w:tcBorders>
              <w:top w:val="nil"/>
              <w:left w:val="nil"/>
              <w:bottom w:val="nil"/>
              <w:right w:val="nil"/>
            </w:tcBorders>
            <w:shd w:val="clear" w:color="000000" w:fill="FFFFFF"/>
            <w:vAlign w:val="center"/>
            <w:hideMark/>
          </w:tcPr>
          <w:p w14:paraId="18E40037"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£000s</w:t>
            </w:r>
          </w:p>
        </w:tc>
        <w:tc>
          <w:tcPr>
            <w:tcW w:w="1669" w:type="dxa"/>
            <w:tcBorders>
              <w:top w:val="nil"/>
              <w:left w:val="nil"/>
              <w:bottom w:val="nil"/>
              <w:right w:val="nil"/>
            </w:tcBorders>
            <w:shd w:val="clear" w:color="000000" w:fill="FFFFFF"/>
            <w:vAlign w:val="center"/>
            <w:hideMark/>
          </w:tcPr>
          <w:p w14:paraId="7DE90F29" w14:textId="77777777" w:rsidR="00FF2581" w:rsidRPr="00467130" w:rsidRDefault="00FF2581" w:rsidP="00B44F00">
            <w:pPr>
              <w:jc w:val="right"/>
              <w:rPr>
                <w:rFonts w:ascii="Arial" w:hAnsi="Arial" w:cs="Arial"/>
                <w:b/>
                <w:bCs/>
                <w:sz w:val="22"/>
                <w:szCs w:val="22"/>
              </w:rPr>
            </w:pPr>
            <w:r w:rsidRPr="00467130">
              <w:rPr>
                <w:rFonts w:ascii="Arial" w:hAnsi="Arial" w:cs="Arial"/>
                <w:b/>
                <w:bCs/>
                <w:sz w:val="22"/>
                <w:szCs w:val="22"/>
              </w:rPr>
              <w:t>£000s</w:t>
            </w:r>
          </w:p>
        </w:tc>
      </w:tr>
      <w:tr w:rsidR="00E04719" w:rsidRPr="00467130" w14:paraId="71200EDF" w14:textId="77777777" w:rsidTr="00920219">
        <w:trPr>
          <w:trHeight w:val="241"/>
        </w:trPr>
        <w:tc>
          <w:tcPr>
            <w:tcW w:w="2820" w:type="dxa"/>
            <w:tcBorders>
              <w:top w:val="nil"/>
              <w:left w:val="nil"/>
              <w:bottom w:val="nil"/>
              <w:right w:val="nil"/>
            </w:tcBorders>
            <w:shd w:val="clear" w:color="000000" w:fill="FFFFFF"/>
            <w:noWrap/>
            <w:vAlign w:val="bottom"/>
            <w:hideMark/>
          </w:tcPr>
          <w:p w14:paraId="6757847F" w14:textId="4CF7DCE7" w:rsidR="00E04719" w:rsidRPr="00467130" w:rsidRDefault="00E04719" w:rsidP="00E04719">
            <w:pPr>
              <w:rPr>
                <w:rFonts w:ascii="Arial" w:hAnsi="Arial" w:cs="Arial"/>
                <w:sz w:val="22"/>
                <w:szCs w:val="22"/>
              </w:rPr>
            </w:pPr>
            <w:r w:rsidRPr="00467130">
              <w:rPr>
                <w:rFonts w:ascii="Arial" w:hAnsi="Arial" w:cs="Arial"/>
                <w:sz w:val="22"/>
                <w:szCs w:val="22"/>
              </w:rPr>
              <w:t xml:space="preserve">Market Value 1 April 2024                   </w:t>
            </w:r>
          </w:p>
        </w:tc>
        <w:tc>
          <w:tcPr>
            <w:tcW w:w="1292" w:type="dxa"/>
            <w:tcBorders>
              <w:top w:val="nil"/>
              <w:left w:val="nil"/>
              <w:bottom w:val="nil"/>
              <w:right w:val="nil"/>
            </w:tcBorders>
            <w:shd w:val="clear" w:color="000000" w:fill="FFFFFF"/>
            <w:noWrap/>
            <w:vAlign w:val="center"/>
          </w:tcPr>
          <w:p w14:paraId="2382E32A" w14:textId="148FFA93" w:rsidR="00E04719" w:rsidRPr="00467130" w:rsidRDefault="00E04719" w:rsidP="00E04719">
            <w:pPr>
              <w:jc w:val="right"/>
              <w:rPr>
                <w:rFonts w:ascii="Arial" w:hAnsi="Arial" w:cs="Arial"/>
                <w:sz w:val="22"/>
                <w:szCs w:val="22"/>
              </w:rPr>
            </w:pPr>
            <w:r w:rsidRPr="00467130">
              <w:rPr>
                <w:rFonts w:ascii="Arial" w:hAnsi="Arial" w:cs="Arial"/>
                <w:sz w:val="22"/>
                <w:szCs w:val="22"/>
              </w:rPr>
              <w:t>107,474</w:t>
            </w:r>
          </w:p>
        </w:tc>
        <w:tc>
          <w:tcPr>
            <w:tcW w:w="1647" w:type="dxa"/>
            <w:tcBorders>
              <w:top w:val="nil"/>
              <w:left w:val="nil"/>
              <w:bottom w:val="nil"/>
              <w:right w:val="nil"/>
            </w:tcBorders>
            <w:shd w:val="clear" w:color="000000" w:fill="FFFFFF"/>
            <w:noWrap/>
            <w:vAlign w:val="center"/>
          </w:tcPr>
          <w:p w14:paraId="6F5192BA" w14:textId="1510E4E5" w:rsidR="00E04719" w:rsidRPr="00467130" w:rsidRDefault="00E04719" w:rsidP="00E04719">
            <w:pPr>
              <w:jc w:val="right"/>
              <w:rPr>
                <w:rFonts w:ascii="Arial" w:hAnsi="Arial" w:cs="Arial"/>
                <w:sz w:val="22"/>
                <w:szCs w:val="22"/>
              </w:rPr>
            </w:pPr>
            <w:r w:rsidRPr="00467130">
              <w:rPr>
                <w:rFonts w:ascii="Arial" w:hAnsi="Arial" w:cs="Arial"/>
                <w:sz w:val="22"/>
                <w:szCs w:val="22"/>
              </w:rPr>
              <w:t>86,574</w:t>
            </w:r>
          </w:p>
        </w:tc>
        <w:tc>
          <w:tcPr>
            <w:tcW w:w="1587" w:type="dxa"/>
            <w:tcBorders>
              <w:top w:val="nil"/>
              <w:left w:val="nil"/>
              <w:bottom w:val="nil"/>
              <w:right w:val="nil"/>
            </w:tcBorders>
            <w:shd w:val="clear" w:color="000000" w:fill="FFFFFF"/>
            <w:noWrap/>
            <w:vAlign w:val="center"/>
          </w:tcPr>
          <w:p w14:paraId="2776ECEC" w14:textId="4E672C0C" w:rsidR="00E04719" w:rsidRPr="00467130" w:rsidRDefault="00E04719" w:rsidP="00E04719">
            <w:pPr>
              <w:jc w:val="right"/>
              <w:rPr>
                <w:rFonts w:ascii="Arial" w:hAnsi="Arial" w:cs="Arial"/>
                <w:sz w:val="22"/>
                <w:szCs w:val="22"/>
              </w:rPr>
            </w:pPr>
            <w:r w:rsidRPr="00467130">
              <w:rPr>
                <w:rFonts w:ascii="Arial" w:hAnsi="Arial" w:cs="Arial"/>
                <w:sz w:val="22"/>
                <w:szCs w:val="22"/>
              </w:rPr>
              <w:t>31,941</w:t>
            </w:r>
          </w:p>
        </w:tc>
        <w:tc>
          <w:tcPr>
            <w:tcW w:w="1669" w:type="dxa"/>
            <w:tcBorders>
              <w:top w:val="nil"/>
              <w:left w:val="nil"/>
              <w:bottom w:val="nil"/>
              <w:right w:val="nil"/>
            </w:tcBorders>
            <w:shd w:val="clear" w:color="000000" w:fill="FFFFFF"/>
            <w:noWrap/>
            <w:vAlign w:val="center"/>
          </w:tcPr>
          <w:p w14:paraId="186BDD3F" w14:textId="2B0F4957" w:rsidR="00E04719" w:rsidRPr="00467130" w:rsidRDefault="00E04719" w:rsidP="00E04719">
            <w:pPr>
              <w:jc w:val="right"/>
              <w:rPr>
                <w:rFonts w:ascii="Arial" w:hAnsi="Arial" w:cs="Arial"/>
                <w:sz w:val="22"/>
                <w:szCs w:val="22"/>
              </w:rPr>
            </w:pPr>
            <w:r w:rsidRPr="00467130">
              <w:rPr>
                <w:rFonts w:ascii="Arial" w:hAnsi="Arial" w:cs="Arial"/>
                <w:sz w:val="22"/>
                <w:szCs w:val="22"/>
              </w:rPr>
              <w:t>47,850</w:t>
            </w:r>
          </w:p>
        </w:tc>
        <w:tc>
          <w:tcPr>
            <w:tcW w:w="1669" w:type="dxa"/>
            <w:tcBorders>
              <w:top w:val="nil"/>
              <w:left w:val="nil"/>
              <w:bottom w:val="nil"/>
              <w:right w:val="nil"/>
            </w:tcBorders>
            <w:shd w:val="clear" w:color="000000" w:fill="FFFFFF"/>
            <w:noWrap/>
            <w:vAlign w:val="center"/>
          </w:tcPr>
          <w:p w14:paraId="7D13869C" w14:textId="290453ED"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273,839</w:t>
            </w:r>
          </w:p>
        </w:tc>
      </w:tr>
      <w:tr w:rsidR="00E04719" w:rsidRPr="00467130" w14:paraId="3FD6664F" w14:textId="77777777" w:rsidTr="00920219">
        <w:trPr>
          <w:trHeight w:val="241"/>
        </w:trPr>
        <w:tc>
          <w:tcPr>
            <w:tcW w:w="2820" w:type="dxa"/>
            <w:tcBorders>
              <w:top w:val="nil"/>
              <w:left w:val="nil"/>
              <w:bottom w:val="nil"/>
              <w:right w:val="nil"/>
            </w:tcBorders>
            <w:shd w:val="clear" w:color="000000" w:fill="FFFFFF"/>
            <w:noWrap/>
            <w:vAlign w:val="bottom"/>
          </w:tcPr>
          <w:p w14:paraId="3FEF8D70" w14:textId="5B939E37" w:rsidR="00E04719" w:rsidRPr="00467130" w:rsidRDefault="00E04719" w:rsidP="00E04719">
            <w:pPr>
              <w:rPr>
                <w:rFonts w:ascii="Arial" w:hAnsi="Arial" w:cs="Arial"/>
                <w:sz w:val="22"/>
                <w:szCs w:val="22"/>
              </w:rPr>
            </w:pPr>
            <w:r w:rsidRPr="00467130">
              <w:rPr>
                <w:rFonts w:ascii="Arial" w:hAnsi="Arial" w:cs="Arial"/>
                <w:sz w:val="22"/>
                <w:szCs w:val="22"/>
              </w:rPr>
              <w:t>Transfers into Level 3</w:t>
            </w:r>
          </w:p>
        </w:tc>
        <w:tc>
          <w:tcPr>
            <w:tcW w:w="1292" w:type="dxa"/>
            <w:tcBorders>
              <w:top w:val="nil"/>
              <w:left w:val="nil"/>
              <w:bottom w:val="nil"/>
              <w:right w:val="nil"/>
            </w:tcBorders>
            <w:shd w:val="clear" w:color="000000" w:fill="FFFFFF"/>
            <w:noWrap/>
            <w:vAlign w:val="center"/>
          </w:tcPr>
          <w:p w14:paraId="6411DF45" w14:textId="055E424A"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47" w:type="dxa"/>
            <w:tcBorders>
              <w:top w:val="nil"/>
              <w:left w:val="nil"/>
              <w:bottom w:val="nil"/>
              <w:right w:val="nil"/>
            </w:tcBorders>
            <w:shd w:val="clear" w:color="000000" w:fill="FFFFFF"/>
            <w:noWrap/>
            <w:vAlign w:val="center"/>
          </w:tcPr>
          <w:p w14:paraId="1CAF5540" w14:textId="0911B118"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0D664368" w14:textId="56140338" w:rsidR="00E04719" w:rsidRPr="00467130" w:rsidRDefault="00E04719" w:rsidP="00E04719">
            <w:pPr>
              <w:jc w:val="right"/>
              <w:rPr>
                <w:rFonts w:ascii="Arial" w:hAnsi="Arial" w:cs="Arial"/>
                <w:sz w:val="22"/>
                <w:szCs w:val="22"/>
              </w:rPr>
            </w:pPr>
            <w:r>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2734A761" w14:textId="7929CF69"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2A05E95D" w14:textId="47553EC1" w:rsidR="00E04719" w:rsidRPr="00467130" w:rsidRDefault="00E04719" w:rsidP="00E04719">
            <w:pPr>
              <w:jc w:val="right"/>
              <w:rPr>
                <w:rFonts w:ascii="Arial" w:hAnsi="Arial" w:cs="Arial"/>
                <w:b/>
                <w:bCs/>
                <w:sz w:val="22"/>
                <w:szCs w:val="22"/>
              </w:rPr>
            </w:pPr>
            <w:r>
              <w:rPr>
                <w:rFonts w:ascii="Arial" w:hAnsi="Arial" w:cs="Arial"/>
                <w:b/>
                <w:bCs/>
                <w:sz w:val="22"/>
                <w:szCs w:val="22"/>
              </w:rPr>
              <w:t>-</w:t>
            </w:r>
          </w:p>
        </w:tc>
      </w:tr>
      <w:tr w:rsidR="00E04719" w:rsidRPr="00467130" w14:paraId="19BA982C" w14:textId="77777777" w:rsidTr="00920219">
        <w:trPr>
          <w:trHeight w:val="241"/>
        </w:trPr>
        <w:tc>
          <w:tcPr>
            <w:tcW w:w="2820" w:type="dxa"/>
            <w:tcBorders>
              <w:top w:val="nil"/>
              <w:left w:val="nil"/>
              <w:bottom w:val="nil"/>
              <w:right w:val="nil"/>
            </w:tcBorders>
            <w:shd w:val="clear" w:color="000000" w:fill="FFFFFF"/>
            <w:noWrap/>
            <w:vAlign w:val="bottom"/>
          </w:tcPr>
          <w:p w14:paraId="2654F2C8" w14:textId="4C733DB7" w:rsidR="00E04719" w:rsidRPr="00467130" w:rsidRDefault="00E04719" w:rsidP="00E04719">
            <w:pPr>
              <w:rPr>
                <w:rFonts w:ascii="Arial" w:hAnsi="Arial" w:cs="Arial"/>
                <w:sz w:val="22"/>
                <w:szCs w:val="22"/>
              </w:rPr>
            </w:pPr>
            <w:r w:rsidRPr="00467130">
              <w:rPr>
                <w:rFonts w:ascii="Arial" w:hAnsi="Arial" w:cs="Arial"/>
                <w:sz w:val="22"/>
                <w:szCs w:val="22"/>
              </w:rPr>
              <w:t>Transfers out of Level 3</w:t>
            </w:r>
          </w:p>
        </w:tc>
        <w:tc>
          <w:tcPr>
            <w:tcW w:w="1292" w:type="dxa"/>
            <w:tcBorders>
              <w:top w:val="nil"/>
              <w:left w:val="nil"/>
              <w:bottom w:val="nil"/>
              <w:right w:val="nil"/>
            </w:tcBorders>
            <w:shd w:val="clear" w:color="000000" w:fill="FFFFFF"/>
            <w:noWrap/>
            <w:vAlign w:val="center"/>
          </w:tcPr>
          <w:p w14:paraId="23F2AE69" w14:textId="65ADF729"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47" w:type="dxa"/>
            <w:tcBorders>
              <w:top w:val="nil"/>
              <w:left w:val="nil"/>
              <w:bottom w:val="nil"/>
              <w:right w:val="nil"/>
            </w:tcBorders>
            <w:shd w:val="clear" w:color="000000" w:fill="FFFFFF"/>
            <w:noWrap/>
            <w:vAlign w:val="center"/>
          </w:tcPr>
          <w:p w14:paraId="3019BE20" w14:textId="524A80BC"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669F8C24" w14:textId="58CC51F6" w:rsidR="00E04719" w:rsidRPr="00467130" w:rsidRDefault="00E04719" w:rsidP="00E04719">
            <w:pPr>
              <w:jc w:val="right"/>
              <w:rPr>
                <w:rFonts w:ascii="Arial" w:hAnsi="Arial" w:cs="Arial"/>
                <w:sz w:val="22"/>
                <w:szCs w:val="22"/>
              </w:rPr>
            </w:pPr>
            <w:r>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11D03BF7" w14:textId="20DC3436"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7C992202" w14:textId="5F0D8449" w:rsidR="00E04719" w:rsidRPr="00467130" w:rsidRDefault="00E04719" w:rsidP="00E04719">
            <w:pPr>
              <w:jc w:val="right"/>
              <w:rPr>
                <w:rFonts w:ascii="Arial" w:hAnsi="Arial" w:cs="Arial"/>
                <w:b/>
                <w:bCs/>
                <w:sz w:val="22"/>
                <w:szCs w:val="22"/>
              </w:rPr>
            </w:pPr>
            <w:r>
              <w:rPr>
                <w:rFonts w:ascii="Arial" w:hAnsi="Arial" w:cs="Arial"/>
                <w:b/>
                <w:bCs/>
                <w:sz w:val="22"/>
                <w:szCs w:val="22"/>
              </w:rPr>
              <w:t>-</w:t>
            </w:r>
          </w:p>
        </w:tc>
      </w:tr>
      <w:tr w:rsidR="00E04719" w:rsidRPr="00467130" w14:paraId="7CFF67BD" w14:textId="77777777" w:rsidTr="00920219">
        <w:trPr>
          <w:trHeight w:val="241"/>
        </w:trPr>
        <w:tc>
          <w:tcPr>
            <w:tcW w:w="2820" w:type="dxa"/>
            <w:tcBorders>
              <w:top w:val="nil"/>
              <w:left w:val="nil"/>
              <w:bottom w:val="nil"/>
              <w:right w:val="nil"/>
            </w:tcBorders>
            <w:shd w:val="clear" w:color="000000" w:fill="FFFFFF"/>
            <w:noWrap/>
            <w:vAlign w:val="bottom"/>
          </w:tcPr>
          <w:p w14:paraId="09CD2EA3" w14:textId="50DDA3D6" w:rsidR="00E04719" w:rsidRPr="00467130" w:rsidRDefault="00E04719" w:rsidP="00E04719">
            <w:pPr>
              <w:rPr>
                <w:rFonts w:ascii="Arial" w:hAnsi="Arial" w:cs="Arial"/>
                <w:sz w:val="22"/>
                <w:szCs w:val="22"/>
              </w:rPr>
            </w:pPr>
            <w:r w:rsidRPr="00467130">
              <w:rPr>
                <w:rFonts w:ascii="Arial" w:hAnsi="Arial" w:cs="Arial"/>
                <w:sz w:val="22"/>
                <w:szCs w:val="22"/>
              </w:rPr>
              <w:t>Purchases during the year</w:t>
            </w:r>
          </w:p>
        </w:tc>
        <w:tc>
          <w:tcPr>
            <w:tcW w:w="1292" w:type="dxa"/>
            <w:tcBorders>
              <w:top w:val="nil"/>
              <w:left w:val="nil"/>
              <w:bottom w:val="nil"/>
              <w:right w:val="nil"/>
            </w:tcBorders>
            <w:shd w:val="clear" w:color="000000" w:fill="FFFFFF"/>
            <w:noWrap/>
            <w:vAlign w:val="center"/>
          </w:tcPr>
          <w:p w14:paraId="1F82E920" w14:textId="080BC528" w:rsidR="00E04719" w:rsidRPr="00467130" w:rsidRDefault="00E04719" w:rsidP="00E04719">
            <w:pPr>
              <w:jc w:val="right"/>
              <w:rPr>
                <w:rFonts w:ascii="Arial" w:hAnsi="Arial" w:cs="Arial"/>
                <w:sz w:val="22"/>
                <w:szCs w:val="22"/>
              </w:rPr>
            </w:pPr>
            <w:r w:rsidRPr="00467130">
              <w:rPr>
                <w:rFonts w:ascii="Arial" w:hAnsi="Arial" w:cs="Arial"/>
                <w:sz w:val="22"/>
                <w:szCs w:val="22"/>
              </w:rPr>
              <w:t>28,925</w:t>
            </w:r>
          </w:p>
        </w:tc>
        <w:tc>
          <w:tcPr>
            <w:tcW w:w="1647" w:type="dxa"/>
            <w:tcBorders>
              <w:top w:val="nil"/>
              <w:left w:val="nil"/>
              <w:bottom w:val="nil"/>
              <w:right w:val="nil"/>
            </w:tcBorders>
            <w:shd w:val="clear" w:color="000000" w:fill="FFFFFF"/>
            <w:noWrap/>
            <w:vAlign w:val="center"/>
          </w:tcPr>
          <w:p w14:paraId="7C363628" w14:textId="342BF2D0" w:rsidR="00E04719" w:rsidRPr="00467130" w:rsidRDefault="00E04719" w:rsidP="00E04719">
            <w:pPr>
              <w:jc w:val="right"/>
              <w:rPr>
                <w:rFonts w:ascii="Arial" w:hAnsi="Arial" w:cs="Arial"/>
                <w:sz w:val="22"/>
                <w:szCs w:val="22"/>
              </w:rPr>
            </w:pPr>
            <w:r w:rsidRPr="00467130">
              <w:rPr>
                <w:rFonts w:ascii="Arial" w:hAnsi="Arial" w:cs="Arial"/>
                <w:sz w:val="22"/>
                <w:szCs w:val="22"/>
              </w:rPr>
              <w:t>660</w:t>
            </w:r>
          </w:p>
        </w:tc>
        <w:tc>
          <w:tcPr>
            <w:tcW w:w="1587" w:type="dxa"/>
            <w:tcBorders>
              <w:top w:val="nil"/>
              <w:left w:val="nil"/>
              <w:bottom w:val="nil"/>
              <w:right w:val="nil"/>
            </w:tcBorders>
            <w:shd w:val="clear" w:color="000000" w:fill="FFFFFF"/>
            <w:noWrap/>
            <w:vAlign w:val="center"/>
          </w:tcPr>
          <w:p w14:paraId="46C88BF3" w14:textId="3171234F" w:rsidR="00E04719" w:rsidRPr="00467130" w:rsidRDefault="00E04719" w:rsidP="00E04719">
            <w:pPr>
              <w:jc w:val="right"/>
              <w:rPr>
                <w:rFonts w:ascii="Arial" w:hAnsi="Arial" w:cs="Arial"/>
                <w:sz w:val="22"/>
                <w:szCs w:val="22"/>
              </w:rPr>
            </w:pPr>
            <w:r>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16ADC704" w14:textId="3398A4B6" w:rsidR="00E04719" w:rsidRPr="00467130" w:rsidRDefault="00E04719" w:rsidP="00E04719">
            <w:pPr>
              <w:jc w:val="right"/>
              <w:rPr>
                <w:rFonts w:ascii="Arial" w:hAnsi="Arial" w:cs="Arial"/>
                <w:sz w:val="22"/>
                <w:szCs w:val="22"/>
              </w:rPr>
            </w:pPr>
            <w:r w:rsidRPr="00467130">
              <w:rPr>
                <w:rFonts w:ascii="Arial" w:hAnsi="Arial" w:cs="Arial"/>
                <w:sz w:val="22"/>
                <w:szCs w:val="22"/>
              </w:rPr>
              <w:t>46,040</w:t>
            </w:r>
          </w:p>
        </w:tc>
        <w:tc>
          <w:tcPr>
            <w:tcW w:w="1669" w:type="dxa"/>
            <w:tcBorders>
              <w:top w:val="nil"/>
              <w:left w:val="nil"/>
              <w:bottom w:val="nil"/>
              <w:right w:val="nil"/>
            </w:tcBorders>
            <w:shd w:val="clear" w:color="000000" w:fill="FFFFFF"/>
            <w:noWrap/>
            <w:vAlign w:val="center"/>
          </w:tcPr>
          <w:p w14:paraId="23B8A0D9" w14:textId="5808867E"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75,625</w:t>
            </w:r>
          </w:p>
        </w:tc>
      </w:tr>
      <w:tr w:rsidR="00E04719" w:rsidRPr="00467130" w14:paraId="2192017D" w14:textId="77777777" w:rsidTr="00920219">
        <w:trPr>
          <w:trHeight w:val="241"/>
        </w:trPr>
        <w:tc>
          <w:tcPr>
            <w:tcW w:w="2820" w:type="dxa"/>
            <w:tcBorders>
              <w:top w:val="nil"/>
              <w:left w:val="nil"/>
              <w:bottom w:val="nil"/>
              <w:right w:val="nil"/>
            </w:tcBorders>
            <w:shd w:val="clear" w:color="000000" w:fill="FFFFFF"/>
            <w:noWrap/>
            <w:vAlign w:val="bottom"/>
            <w:hideMark/>
          </w:tcPr>
          <w:p w14:paraId="2AEBFAA9" w14:textId="7E7103EF" w:rsidR="00E04719" w:rsidRPr="00467130" w:rsidRDefault="00E04719" w:rsidP="00E04719">
            <w:pPr>
              <w:rPr>
                <w:rFonts w:ascii="Arial" w:hAnsi="Arial" w:cs="Arial"/>
                <w:sz w:val="22"/>
                <w:szCs w:val="22"/>
              </w:rPr>
            </w:pPr>
            <w:r w:rsidRPr="00467130">
              <w:rPr>
                <w:rFonts w:ascii="Arial" w:hAnsi="Arial" w:cs="Arial"/>
                <w:sz w:val="22"/>
                <w:szCs w:val="22"/>
              </w:rPr>
              <w:t>Sales during the year</w:t>
            </w:r>
          </w:p>
        </w:tc>
        <w:tc>
          <w:tcPr>
            <w:tcW w:w="1292" w:type="dxa"/>
            <w:tcBorders>
              <w:top w:val="nil"/>
              <w:left w:val="nil"/>
              <w:bottom w:val="nil"/>
              <w:right w:val="nil"/>
            </w:tcBorders>
            <w:shd w:val="clear" w:color="000000" w:fill="FFFFFF"/>
            <w:noWrap/>
            <w:vAlign w:val="center"/>
          </w:tcPr>
          <w:p w14:paraId="39FBF1AC" w14:textId="1BAAE0EB" w:rsidR="00E04719" w:rsidRPr="00467130" w:rsidRDefault="00E04719" w:rsidP="00E04719">
            <w:pPr>
              <w:jc w:val="right"/>
              <w:rPr>
                <w:rFonts w:ascii="Arial" w:hAnsi="Arial" w:cs="Arial"/>
                <w:sz w:val="22"/>
                <w:szCs w:val="22"/>
              </w:rPr>
            </w:pPr>
            <w:r w:rsidRPr="00467130">
              <w:rPr>
                <w:rFonts w:ascii="Arial" w:hAnsi="Arial" w:cs="Arial"/>
                <w:sz w:val="22"/>
                <w:szCs w:val="22"/>
              </w:rPr>
              <w:t>(11,441)</w:t>
            </w:r>
          </w:p>
        </w:tc>
        <w:tc>
          <w:tcPr>
            <w:tcW w:w="1647" w:type="dxa"/>
            <w:tcBorders>
              <w:top w:val="nil"/>
              <w:left w:val="nil"/>
              <w:bottom w:val="nil"/>
              <w:right w:val="nil"/>
            </w:tcBorders>
            <w:shd w:val="clear" w:color="000000" w:fill="FFFFFF"/>
            <w:noWrap/>
            <w:vAlign w:val="center"/>
          </w:tcPr>
          <w:p w14:paraId="117329E1" w14:textId="2164FE67"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0A1A60C7" w14:textId="7E3AABE8" w:rsidR="00E04719" w:rsidRPr="00467130" w:rsidRDefault="00E04719" w:rsidP="00E04719">
            <w:pPr>
              <w:jc w:val="right"/>
              <w:rPr>
                <w:rFonts w:ascii="Arial" w:hAnsi="Arial" w:cs="Arial"/>
                <w:sz w:val="22"/>
                <w:szCs w:val="22"/>
              </w:rPr>
            </w:pPr>
            <w:r w:rsidRPr="00467130">
              <w:rPr>
                <w:rFonts w:ascii="Arial" w:hAnsi="Arial" w:cs="Arial"/>
                <w:sz w:val="22"/>
                <w:szCs w:val="22"/>
              </w:rPr>
              <w:t>(38,21</w:t>
            </w:r>
            <w:r>
              <w:rPr>
                <w:rFonts w:ascii="Arial" w:hAnsi="Arial" w:cs="Arial"/>
                <w:sz w:val="22"/>
                <w:szCs w:val="22"/>
              </w:rPr>
              <w:t>7</w:t>
            </w:r>
            <w:r w:rsidRPr="00467130">
              <w:rPr>
                <w:rFonts w:ascii="Arial" w:hAnsi="Arial" w:cs="Arial"/>
                <w:sz w:val="22"/>
                <w:szCs w:val="22"/>
              </w:rPr>
              <w:t>)</w:t>
            </w:r>
          </w:p>
        </w:tc>
        <w:tc>
          <w:tcPr>
            <w:tcW w:w="1669" w:type="dxa"/>
            <w:tcBorders>
              <w:top w:val="nil"/>
              <w:left w:val="nil"/>
              <w:bottom w:val="nil"/>
              <w:right w:val="nil"/>
            </w:tcBorders>
            <w:shd w:val="clear" w:color="000000" w:fill="FFFFFF"/>
            <w:noWrap/>
            <w:vAlign w:val="bottom"/>
          </w:tcPr>
          <w:p w14:paraId="30FF6313" w14:textId="6DA16FB2"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50888CE5" w14:textId="6393236A"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(49,658)</w:t>
            </w:r>
          </w:p>
        </w:tc>
      </w:tr>
      <w:tr w:rsidR="00E04719" w:rsidRPr="00467130" w14:paraId="70BA4A0E" w14:textId="77777777" w:rsidTr="00920219">
        <w:trPr>
          <w:trHeight w:val="241"/>
        </w:trPr>
        <w:tc>
          <w:tcPr>
            <w:tcW w:w="2820" w:type="dxa"/>
            <w:tcBorders>
              <w:top w:val="nil"/>
              <w:left w:val="nil"/>
              <w:bottom w:val="nil"/>
              <w:right w:val="nil"/>
            </w:tcBorders>
            <w:shd w:val="clear" w:color="000000" w:fill="FFFFFF"/>
            <w:noWrap/>
            <w:vAlign w:val="bottom"/>
          </w:tcPr>
          <w:p w14:paraId="40A2E8C1" w14:textId="68B8DE34" w:rsidR="00E04719" w:rsidRPr="00467130" w:rsidRDefault="00E04719" w:rsidP="00E04719">
            <w:pPr>
              <w:rPr>
                <w:rFonts w:ascii="Arial" w:hAnsi="Arial" w:cs="Arial"/>
                <w:sz w:val="22"/>
                <w:szCs w:val="22"/>
              </w:rPr>
            </w:pPr>
            <w:r w:rsidRPr="00467130">
              <w:rPr>
                <w:rFonts w:ascii="Arial" w:hAnsi="Arial" w:cs="Arial"/>
                <w:sz w:val="22"/>
                <w:szCs w:val="22"/>
              </w:rPr>
              <w:t>Unrealised gains/</w:t>
            </w:r>
            <w:r>
              <w:rPr>
                <w:rFonts w:ascii="Arial" w:hAnsi="Arial" w:cs="Arial"/>
                <w:sz w:val="22"/>
                <w:szCs w:val="22"/>
              </w:rPr>
              <w:t>(</w:t>
            </w:r>
            <w:r w:rsidRPr="00467130">
              <w:rPr>
                <w:rFonts w:ascii="Arial" w:hAnsi="Arial" w:cs="Arial"/>
                <w:sz w:val="22"/>
                <w:szCs w:val="22"/>
              </w:rPr>
              <w:t>losses</w:t>
            </w:r>
            <w:r>
              <w:rPr>
                <w:rFonts w:ascii="Arial" w:hAnsi="Arial" w:cs="Arial"/>
                <w:sz w:val="22"/>
                <w:szCs w:val="22"/>
              </w:rPr>
              <w:t>)</w:t>
            </w:r>
          </w:p>
        </w:tc>
        <w:tc>
          <w:tcPr>
            <w:tcW w:w="1292" w:type="dxa"/>
            <w:tcBorders>
              <w:top w:val="nil"/>
              <w:left w:val="nil"/>
              <w:bottom w:val="nil"/>
              <w:right w:val="nil"/>
            </w:tcBorders>
            <w:shd w:val="clear" w:color="000000" w:fill="FFFFFF"/>
            <w:noWrap/>
            <w:vAlign w:val="center"/>
          </w:tcPr>
          <w:p w14:paraId="44C80735" w14:textId="0188555B" w:rsidR="00E04719" w:rsidRPr="00467130" w:rsidRDefault="00E04719" w:rsidP="00E04719">
            <w:pPr>
              <w:jc w:val="right"/>
              <w:rPr>
                <w:rFonts w:ascii="Arial" w:hAnsi="Arial" w:cs="Arial"/>
                <w:sz w:val="22"/>
                <w:szCs w:val="22"/>
              </w:rPr>
            </w:pPr>
            <w:r w:rsidRPr="00467130">
              <w:rPr>
                <w:rFonts w:ascii="Arial" w:hAnsi="Arial" w:cs="Arial"/>
                <w:sz w:val="22"/>
                <w:szCs w:val="22"/>
              </w:rPr>
              <w:t>(1,375)</w:t>
            </w:r>
          </w:p>
        </w:tc>
        <w:tc>
          <w:tcPr>
            <w:tcW w:w="1647" w:type="dxa"/>
            <w:tcBorders>
              <w:top w:val="nil"/>
              <w:left w:val="nil"/>
              <w:bottom w:val="nil"/>
              <w:right w:val="nil"/>
            </w:tcBorders>
            <w:shd w:val="clear" w:color="000000" w:fill="FFFFFF"/>
            <w:noWrap/>
            <w:vAlign w:val="center"/>
          </w:tcPr>
          <w:p w14:paraId="48C966F4" w14:textId="2CA2CA24" w:rsidR="00E04719" w:rsidRPr="00467130" w:rsidRDefault="00E04719" w:rsidP="00E04719">
            <w:pPr>
              <w:jc w:val="right"/>
              <w:rPr>
                <w:rFonts w:ascii="Arial" w:hAnsi="Arial" w:cs="Arial"/>
                <w:sz w:val="22"/>
                <w:szCs w:val="22"/>
              </w:rPr>
            </w:pPr>
            <w:r w:rsidRPr="00467130">
              <w:rPr>
                <w:rFonts w:ascii="Arial" w:hAnsi="Arial" w:cs="Arial"/>
                <w:sz w:val="22"/>
                <w:szCs w:val="22"/>
              </w:rPr>
              <w:t>(11,191)</w:t>
            </w:r>
          </w:p>
        </w:tc>
        <w:tc>
          <w:tcPr>
            <w:tcW w:w="1587" w:type="dxa"/>
            <w:tcBorders>
              <w:top w:val="nil"/>
              <w:left w:val="nil"/>
              <w:bottom w:val="nil"/>
              <w:right w:val="nil"/>
            </w:tcBorders>
            <w:shd w:val="clear" w:color="000000" w:fill="FFFFFF"/>
            <w:noWrap/>
            <w:vAlign w:val="center"/>
          </w:tcPr>
          <w:p w14:paraId="717F6B4A" w14:textId="1B09AFCF" w:rsidR="00E04719" w:rsidRPr="00467130" w:rsidRDefault="00E04719" w:rsidP="00E04719">
            <w:pPr>
              <w:jc w:val="right"/>
              <w:rPr>
                <w:rFonts w:ascii="Arial" w:hAnsi="Arial" w:cs="Arial"/>
                <w:sz w:val="22"/>
                <w:szCs w:val="22"/>
              </w:rPr>
            </w:pPr>
            <w:r w:rsidRPr="00467130">
              <w:rPr>
                <w:rFonts w:ascii="Arial" w:hAnsi="Arial" w:cs="Arial"/>
                <w:sz w:val="22"/>
                <w:szCs w:val="22"/>
              </w:rPr>
              <w:t>(1,5</w:t>
            </w:r>
            <w:r>
              <w:rPr>
                <w:rFonts w:ascii="Arial" w:hAnsi="Arial" w:cs="Arial"/>
                <w:sz w:val="22"/>
                <w:szCs w:val="22"/>
              </w:rPr>
              <w:t>36</w:t>
            </w:r>
            <w:r w:rsidRPr="00467130">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4043EF1E" w14:textId="212D4AFF" w:rsidR="00E04719" w:rsidRPr="00467130" w:rsidRDefault="00E04719" w:rsidP="00E04719">
            <w:pPr>
              <w:jc w:val="right"/>
              <w:rPr>
                <w:rFonts w:ascii="Arial" w:hAnsi="Arial" w:cs="Arial"/>
                <w:sz w:val="22"/>
                <w:szCs w:val="22"/>
              </w:rPr>
            </w:pPr>
            <w:r w:rsidRPr="00467130">
              <w:rPr>
                <w:rFonts w:ascii="Arial" w:hAnsi="Arial" w:cs="Arial"/>
                <w:sz w:val="22"/>
                <w:szCs w:val="22"/>
              </w:rPr>
              <w:t>2,990</w:t>
            </w:r>
          </w:p>
        </w:tc>
        <w:tc>
          <w:tcPr>
            <w:tcW w:w="1669" w:type="dxa"/>
            <w:tcBorders>
              <w:top w:val="nil"/>
              <w:left w:val="nil"/>
              <w:bottom w:val="nil"/>
              <w:right w:val="nil"/>
            </w:tcBorders>
            <w:shd w:val="clear" w:color="000000" w:fill="FFFFFF"/>
            <w:noWrap/>
            <w:vAlign w:val="center"/>
          </w:tcPr>
          <w:p w14:paraId="093927D8" w14:textId="1EF72B31"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(11,112)</w:t>
            </w:r>
          </w:p>
        </w:tc>
      </w:tr>
      <w:tr w:rsidR="00E04719" w:rsidRPr="00467130" w14:paraId="4B2F141F" w14:textId="77777777" w:rsidTr="00B53577">
        <w:trPr>
          <w:trHeight w:val="241"/>
        </w:trPr>
        <w:tc>
          <w:tcPr>
            <w:tcW w:w="2820" w:type="dxa"/>
            <w:tcBorders>
              <w:top w:val="nil"/>
              <w:left w:val="nil"/>
              <w:bottom w:val="nil"/>
              <w:right w:val="nil"/>
            </w:tcBorders>
            <w:shd w:val="clear" w:color="000000" w:fill="FFFFFF"/>
            <w:noWrap/>
            <w:vAlign w:val="bottom"/>
            <w:hideMark/>
          </w:tcPr>
          <w:p w14:paraId="794FD925" w14:textId="59C4B154" w:rsidR="00E04719" w:rsidRPr="00467130" w:rsidRDefault="00E04719" w:rsidP="00E04719">
            <w:pPr>
              <w:rPr>
                <w:rFonts w:ascii="Arial" w:hAnsi="Arial" w:cs="Arial"/>
                <w:sz w:val="22"/>
                <w:szCs w:val="22"/>
              </w:rPr>
            </w:pPr>
            <w:r w:rsidRPr="00467130">
              <w:rPr>
                <w:rFonts w:ascii="Arial" w:hAnsi="Arial" w:cs="Arial"/>
                <w:sz w:val="22"/>
                <w:szCs w:val="22"/>
              </w:rPr>
              <w:t>Realised gains/</w:t>
            </w:r>
            <w:r>
              <w:rPr>
                <w:rFonts w:ascii="Arial" w:hAnsi="Arial" w:cs="Arial"/>
                <w:sz w:val="22"/>
                <w:szCs w:val="22"/>
              </w:rPr>
              <w:t>(</w:t>
            </w:r>
            <w:r w:rsidRPr="00467130">
              <w:rPr>
                <w:rFonts w:ascii="Arial" w:hAnsi="Arial" w:cs="Arial"/>
                <w:sz w:val="22"/>
                <w:szCs w:val="22"/>
              </w:rPr>
              <w:t>losses</w:t>
            </w:r>
            <w:r>
              <w:rPr>
                <w:rFonts w:ascii="Arial" w:hAnsi="Arial" w:cs="Arial"/>
                <w:sz w:val="22"/>
                <w:szCs w:val="22"/>
              </w:rPr>
              <w:t>)</w:t>
            </w:r>
          </w:p>
        </w:tc>
        <w:tc>
          <w:tcPr>
            <w:tcW w:w="1292" w:type="dxa"/>
            <w:tcBorders>
              <w:top w:val="nil"/>
              <w:left w:val="nil"/>
              <w:bottom w:val="single" w:sz="4" w:space="0" w:color="auto"/>
              <w:right w:val="nil"/>
            </w:tcBorders>
            <w:shd w:val="clear" w:color="000000" w:fill="FFFFFF"/>
            <w:noWrap/>
            <w:vAlign w:val="center"/>
          </w:tcPr>
          <w:p w14:paraId="074A5E40" w14:textId="156B009D" w:rsidR="00E04719" w:rsidRPr="00467130" w:rsidRDefault="00E04719" w:rsidP="00E04719">
            <w:pPr>
              <w:jc w:val="right"/>
              <w:rPr>
                <w:rFonts w:ascii="Arial" w:hAnsi="Arial" w:cs="Arial"/>
                <w:sz w:val="22"/>
                <w:szCs w:val="22"/>
              </w:rPr>
            </w:pPr>
            <w:r w:rsidRPr="00467130">
              <w:rPr>
                <w:rFonts w:ascii="Arial" w:hAnsi="Arial" w:cs="Arial"/>
                <w:sz w:val="22"/>
                <w:szCs w:val="22"/>
              </w:rPr>
              <w:t>4,007</w:t>
            </w:r>
          </w:p>
        </w:tc>
        <w:tc>
          <w:tcPr>
            <w:tcW w:w="1647" w:type="dxa"/>
            <w:tcBorders>
              <w:top w:val="nil"/>
              <w:left w:val="nil"/>
              <w:bottom w:val="single" w:sz="4" w:space="0" w:color="auto"/>
              <w:right w:val="nil"/>
            </w:tcBorders>
            <w:shd w:val="clear" w:color="000000" w:fill="FFFFFF"/>
            <w:noWrap/>
            <w:vAlign w:val="center"/>
          </w:tcPr>
          <w:p w14:paraId="4B0E6FD4" w14:textId="3A807E53"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587" w:type="dxa"/>
            <w:tcBorders>
              <w:top w:val="nil"/>
              <w:left w:val="nil"/>
              <w:bottom w:val="single" w:sz="4" w:space="0" w:color="auto"/>
              <w:right w:val="nil"/>
            </w:tcBorders>
            <w:shd w:val="clear" w:color="000000" w:fill="FFFFFF"/>
            <w:noWrap/>
            <w:vAlign w:val="center"/>
          </w:tcPr>
          <w:p w14:paraId="03E4E2CC" w14:textId="3E9519D9" w:rsidR="00E04719" w:rsidRPr="00467130" w:rsidRDefault="00E04719" w:rsidP="00E04719">
            <w:pPr>
              <w:jc w:val="right"/>
              <w:rPr>
                <w:rFonts w:ascii="Arial" w:hAnsi="Arial" w:cs="Arial"/>
                <w:sz w:val="22"/>
                <w:szCs w:val="22"/>
              </w:rPr>
            </w:pPr>
            <w:r w:rsidRPr="00467130">
              <w:rPr>
                <w:rFonts w:ascii="Arial" w:hAnsi="Arial" w:cs="Arial"/>
                <w:sz w:val="22"/>
                <w:szCs w:val="22"/>
              </w:rPr>
              <w:t>8,639</w:t>
            </w:r>
          </w:p>
        </w:tc>
        <w:tc>
          <w:tcPr>
            <w:tcW w:w="1669" w:type="dxa"/>
            <w:tcBorders>
              <w:top w:val="nil"/>
              <w:left w:val="nil"/>
              <w:bottom w:val="single" w:sz="4" w:space="0" w:color="auto"/>
              <w:right w:val="nil"/>
            </w:tcBorders>
            <w:shd w:val="clear" w:color="000000" w:fill="FFFFFF"/>
            <w:noWrap/>
            <w:vAlign w:val="bottom"/>
          </w:tcPr>
          <w:p w14:paraId="7EDD6A39" w14:textId="6546E5B7" w:rsidR="00E04719" w:rsidRPr="00467130" w:rsidRDefault="00E04719" w:rsidP="00E04719">
            <w:pPr>
              <w:jc w:val="right"/>
              <w:rPr>
                <w:rFonts w:ascii="Arial" w:hAnsi="Arial" w:cs="Arial"/>
                <w:sz w:val="22"/>
                <w:szCs w:val="22"/>
              </w:rPr>
            </w:pPr>
            <w:r w:rsidRPr="00467130">
              <w:rPr>
                <w:rFonts w:ascii="Arial" w:hAnsi="Arial" w:cs="Arial"/>
                <w:sz w:val="22"/>
                <w:szCs w:val="22"/>
              </w:rPr>
              <w:t>-</w:t>
            </w:r>
          </w:p>
        </w:tc>
        <w:tc>
          <w:tcPr>
            <w:tcW w:w="1669" w:type="dxa"/>
            <w:tcBorders>
              <w:top w:val="nil"/>
              <w:left w:val="nil"/>
              <w:bottom w:val="single" w:sz="4" w:space="0" w:color="auto"/>
              <w:right w:val="nil"/>
            </w:tcBorders>
            <w:shd w:val="clear" w:color="000000" w:fill="FFFFFF"/>
            <w:noWrap/>
            <w:vAlign w:val="center"/>
          </w:tcPr>
          <w:p w14:paraId="0F40FCCE" w14:textId="200563E5"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12,646</w:t>
            </w:r>
          </w:p>
        </w:tc>
      </w:tr>
      <w:tr w:rsidR="00E04719" w:rsidRPr="00467130" w14:paraId="580C8746" w14:textId="77777777" w:rsidTr="00B53577">
        <w:trPr>
          <w:trHeight w:val="241"/>
        </w:trPr>
        <w:tc>
          <w:tcPr>
            <w:tcW w:w="2820" w:type="dxa"/>
            <w:tcBorders>
              <w:top w:val="nil"/>
              <w:left w:val="nil"/>
              <w:bottom w:val="nil"/>
              <w:right w:val="nil"/>
            </w:tcBorders>
            <w:shd w:val="clear" w:color="000000" w:fill="FFFFFF"/>
            <w:noWrap/>
            <w:vAlign w:val="bottom"/>
          </w:tcPr>
          <w:p w14:paraId="5FD6C590" w14:textId="17BDB3C8" w:rsidR="00E04719" w:rsidRPr="00467130" w:rsidRDefault="00E04719" w:rsidP="00E04719">
            <w:pPr>
              <w:rPr>
                <w:rFonts w:ascii="Arial" w:hAnsi="Arial" w:cs="Arial"/>
                <w:sz w:val="22"/>
                <w:szCs w:val="22"/>
              </w:rPr>
            </w:pPr>
            <w:r w:rsidRPr="00467130">
              <w:rPr>
                <w:rFonts w:ascii="Arial" w:hAnsi="Arial" w:cs="Arial"/>
                <w:b/>
                <w:bCs/>
                <w:sz w:val="22"/>
                <w:szCs w:val="22"/>
              </w:rPr>
              <w:t>Market Value 31 March 2025</w:t>
            </w:r>
          </w:p>
        </w:tc>
        <w:tc>
          <w:tcPr>
            <w:tcW w:w="1292" w:type="dxa"/>
            <w:tcBorders>
              <w:top w:val="single" w:sz="4" w:space="0" w:color="auto"/>
              <w:left w:val="nil"/>
              <w:bottom w:val="single" w:sz="8" w:space="0" w:color="auto"/>
              <w:right w:val="nil"/>
            </w:tcBorders>
            <w:shd w:val="clear" w:color="000000" w:fill="FFFFFF"/>
            <w:noWrap/>
            <w:vAlign w:val="center"/>
          </w:tcPr>
          <w:p w14:paraId="4D660239" w14:textId="090B7D4F" w:rsidR="00E04719" w:rsidRPr="00467130" w:rsidRDefault="00E04719" w:rsidP="00E04719">
            <w:pPr>
              <w:jc w:val="right"/>
              <w:rPr>
                <w:rFonts w:ascii="Arial" w:hAnsi="Arial" w:cs="Arial"/>
                <w:b/>
                <w:bCs/>
                <w:sz w:val="22"/>
                <w:szCs w:val="22"/>
              </w:rPr>
            </w:pPr>
            <w:r w:rsidRPr="00467130">
              <w:rPr>
                <w:rFonts w:ascii="Arial" w:hAnsi="Arial" w:cs="Arial"/>
                <w:b/>
                <w:bCs/>
                <w:sz w:val="22"/>
                <w:szCs w:val="22"/>
              </w:rPr>
              <w:t>127,590</w:t>
            </w:r>
          </w:p>
        </w:tc>
        <w:tc>
          <w:tcPr>
            <w:tcW w:w="1647" w:type="dxa"/>
            <w:tcBorders>
              <w:top w:val="single" w:sz="4" w:space="0" w:color="auto"/>
              <w:left w:val="nil"/>
              <w:bottom w:val="single" w:sz="8" w:space="0" w:color="auto"/>
              <w:right w:val="nil"/>
            </w:tcBorders>
            <w:shd w:val="clear" w:color="000000" w:fill="FFFFFF"/>
            <w:noWrap/>
            <w:vAlign w:val="center"/>
          </w:tcPr>
          <w:p w14:paraId="5D702789" w14:textId="70465154" w:rsidR="00E04719" w:rsidRPr="00467130" w:rsidRDefault="00E04719" w:rsidP="00E04719">
            <w:pPr>
              <w:jc w:val="right"/>
              <w:rPr>
                <w:rFonts w:ascii="Arial" w:hAnsi="Arial" w:cs="Arial"/>
                <w:b/>
                <w:bCs/>
                <w:sz w:val="22"/>
                <w:szCs w:val="22"/>
              </w:rPr>
            </w:pPr>
            <w:r w:rsidRPr="00467130">
              <w:rPr>
                <w:rFonts w:ascii="Arial" w:hAnsi="Arial" w:cs="Arial"/>
                <w:b/>
                <w:bCs/>
                <w:sz w:val="22"/>
                <w:szCs w:val="22"/>
              </w:rPr>
              <w:t>76,043</w:t>
            </w:r>
          </w:p>
        </w:tc>
        <w:tc>
          <w:tcPr>
            <w:tcW w:w="1587" w:type="dxa"/>
            <w:tcBorders>
              <w:top w:val="single" w:sz="4" w:space="0" w:color="auto"/>
              <w:left w:val="nil"/>
              <w:bottom w:val="single" w:sz="8" w:space="0" w:color="auto"/>
              <w:right w:val="nil"/>
            </w:tcBorders>
            <w:shd w:val="clear" w:color="000000" w:fill="FFFFFF"/>
            <w:noWrap/>
            <w:vAlign w:val="center"/>
          </w:tcPr>
          <w:p w14:paraId="32A9A303" w14:textId="600378B9" w:rsidR="00E04719" w:rsidRPr="00467130" w:rsidRDefault="00E04719" w:rsidP="00E04719">
            <w:pPr>
              <w:jc w:val="right"/>
              <w:rPr>
                <w:rFonts w:ascii="Arial" w:hAnsi="Arial" w:cs="Arial"/>
                <w:sz w:val="22"/>
                <w:szCs w:val="22"/>
              </w:rPr>
            </w:pPr>
            <w:r w:rsidRPr="00467130">
              <w:rPr>
                <w:rFonts w:ascii="Arial" w:hAnsi="Arial" w:cs="Arial"/>
                <w:b/>
                <w:bCs/>
                <w:sz w:val="22"/>
                <w:szCs w:val="22"/>
              </w:rPr>
              <w:t>8</w:t>
            </w:r>
            <w:r>
              <w:rPr>
                <w:rFonts w:ascii="Arial" w:hAnsi="Arial" w:cs="Arial"/>
                <w:b/>
                <w:bCs/>
                <w:sz w:val="22"/>
                <w:szCs w:val="22"/>
              </w:rPr>
              <w:t>27</w:t>
            </w:r>
          </w:p>
        </w:tc>
        <w:tc>
          <w:tcPr>
            <w:tcW w:w="1669" w:type="dxa"/>
            <w:tcBorders>
              <w:top w:val="single" w:sz="4" w:space="0" w:color="auto"/>
              <w:left w:val="nil"/>
              <w:bottom w:val="single" w:sz="8" w:space="0" w:color="auto"/>
              <w:right w:val="nil"/>
            </w:tcBorders>
            <w:shd w:val="clear" w:color="000000" w:fill="FFFFFF"/>
            <w:noWrap/>
            <w:vAlign w:val="center"/>
          </w:tcPr>
          <w:p w14:paraId="30DF87AD" w14:textId="58AC0B70" w:rsidR="00E04719" w:rsidRPr="00467130" w:rsidRDefault="00E04719" w:rsidP="00E04719">
            <w:pPr>
              <w:jc w:val="right"/>
              <w:rPr>
                <w:rFonts w:ascii="Arial" w:hAnsi="Arial" w:cs="Arial"/>
                <w:sz w:val="22"/>
                <w:szCs w:val="22"/>
              </w:rPr>
            </w:pPr>
            <w:r w:rsidRPr="00467130">
              <w:rPr>
                <w:rFonts w:ascii="Arial" w:hAnsi="Arial" w:cs="Arial"/>
                <w:b/>
                <w:bCs/>
                <w:sz w:val="22"/>
                <w:szCs w:val="22"/>
              </w:rPr>
              <w:t>96,880</w:t>
            </w:r>
          </w:p>
        </w:tc>
        <w:tc>
          <w:tcPr>
            <w:tcW w:w="1669" w:type="dxa"/>
            <w:tcBorders>
              <w:top w:val="single" w:sz="4" w:space="0" w:color="auto"/>
              <w:left w:val="nil"/>
              <w:bottom w:val="single" w:sz="8" w:space="0" w:color="auto"/>
              <w:right w:val="nil"/>
            </w:tcBorders>
            <w:shd w:val="clear" w:color="000000" w:fill="FFFFFF"/>
            <w:noWrap/>
            <w:vAlign w:val="center"/>
          </w:tcPr>
          <w:p w14:paraId="0A64CCAC" w14:textId="7318CA4A" w:rsidR="00E04719" w:rsidRPr="00467130" w:rsidRDefault="00E04719" w:rsidP="00E04719">
            <w:pPr>
              <w:jc w:val="right"/>
              <w:rPr>
                <w:rFonts w:ascii="Arial" w:hAnsi="Arial" w:cs="Arial"/>
                <w:b/>
                <w:bCs/>
                <w:sz w:val="22"/>
                <w:szCs w:val="22"/>
              </w:rPr>
            </w:pPr>
            <w:r>
              <w:rPr>
                <w:rFonts w:ascii="Arial" w:hAnsi="Arial" w:cs="Arial"/>
                <w:b/>
                <w:bCs/>
                <w:color w:val="000000"/>
                <w:sz w:val="22"/>
                <w:szCs w:val="22"/>
              </w:rPr>
              <w:t>301,340</w:t>
            </w:r>
          </w:p>
        </w:tc>
      </w:tr>
      <w:tr w:rsidR="00CF77DD" w:rsidRPr="00467130" w14:paraId="25151115" w14:textId="77777777" w:rsidTr="00B53577">
        <w:trPr>
          <w:trHeight w:val="241"/>
        </w:trPr>
        <w:tc>
          <w:tcPr>
            <w:tcW w:w="2820" w:type="dxa"/>
            <w:tcBorders>
              <w:top w:val="nil"/>
              <w:left w:val="nil"/>
              <w:bottom w:val="nil"/>
              <w:right w:val="nil"/>
            </w:tcBorders>
            <w:shd w:val="clear" w:color="000000" w:fill="FFFFFF"/>
            <w:noWrap/>
            <w:vAlign w:val="bottom"/>
          </w:tcPr>
          <w:p w14:paraId="6EC164C5" w14:textId="77777777" w:rsidR="00CF77DD" w:rsidRPr="00467130" w:rsidRDefault="00CF77DD" w:rsidP="00E04719">
            <w:pPr>
              <w:rPr>
                <w:rFonts w:ascii="Arial" w:hAnsi="Arial" w:cs="Arial"/>
                <w:b/>
                <w:bCs/>
                <w:sz w:val="22"/>
                <w:szCs w:val="22"/>
              </w:rPr>
            </w:pPr>
          </w:p>
        </w:tc>
        <w:tc>
          <w:tcPr>
            <w:tcW w:w="1292" w:type="dxa"/>
            <w:tcBorders>
              <w:top w:val="single" w:sz="8" w:space="0" w:color="auto"/>
              <w:left w:val="nil"/>
              <w:right w:val="nil"/>
            </w:tcBorders>
            <w:shd w:val="clear" w:color="000000" w:fill="FFFFFF"/>
            <w:noWrap/>
            <w:vAlign w:val="center"/>
          </w:tcPr>
          <w:p w14:paraId="551EB345" w14:textId="77777777" w:rsidR="00CF77DD" w:rsidRDefault="00CF77DD" w:rsidP="00E04719">
            <w:pPr>
              <w:jc w:val="right"/>
              <w:rPr>
                <w:rFonts w:ascii="Arial" w:hAnsi="Arial" w:cs="Arial"/>
                <w:b/>
                <w:bCs/>
                <w:sz w:val="22"/>
                <w:szCs w:val="22"/>
              </w:rPr>
            </w:pPr>
          </w:p>
          <w:p w14:paraId="73D4A4B9" w14:textId="77777777" w:rsidR="004A7AF6" w:rsidRDefault="004A7AF6" w:rsidP="00E04719">
            <w:pPr>
              <w:jc w:val="right"/>
              <w:rPr>
                <w:rFonts w:ascii="Arial" w:hAnsi="Arial" w:cs="Arial"/>
                <w:b/>
                <w:bCs/>
                <w:sz w:val="22"/>
                <w:szCs w:val="22"/>
              </w:rPr>
            </w:pPr>
          </w:p>
          <w:p w14:paraId="0C43D5CD" w14:textId="77777777" w:rsidR="004A7AF6" w:rsidRPr="00467130" w:rsidRDefault="004A7AF6" w:rsidP="00E04719">
            <w:pPr>
              <w:jc w:val="right"/>
              <w:rPr>
                <w:rFonts w:ascii="Arial" w:hAnsi="Arial" w:cs="Arial"/>
                <w:b/>
                <w:bCs/>
                <w:sz w:val="22"/>
                <w:szCs w:val="22"/>
              </w:rPr>
            </w:pPr>
          </w:p>
        </w:tc>
        <w:tc>
          <w:tcPr>
            <w:tcW w:w="1647" w:type="dxa"/>
            <w:tcBorders>
              <w:top w:val="single" w:sz="8" w:space="0" w:color="auto"/>
              <w:left w:val="nil"/>
              <w:right w:val="nil"/>
            </w:tcBorders>
            <w:shd w:val="clear" w:color="000000" w:fill="FFFFFF"/>
            <w:noWrap/>
            <w:vAlign w:val="center"/>
          </w:tcPr>
          <w:p w14:paraId="216DD33F" w14:textId="77777777" w:rsidR="00CF77DD" w:rsidRPr="00467130" w:rsidRDefault="00CF77DD" w:rsidP="00E04719">
            <w:pPr>
              <w:jc w:val="right"/>
              <w:rPr>
                <w:rFonts w:ascii="Arial" w:hAnsi="Arial" w:cs="Arial"/>
                <w:b/>
                <w:bCs/>
                <w:sz w:val="22"/>
                <w:szCs w:val="22"/>
              </w:rPr>
            </w:pPr>
          </w:p>
        </w:tc>
        <w:tc>
          <w:tcPr>
            <w:tcW w:w="1587" w:type="dxa"/>
            <w:tcBorders>
              <w:top w:val="single" w:sz="8" w:space="0" w:color="auto"/>
              <w:left w:val="nil"/>
              <w:right w:val="nil"/>
            </w:tcBorders>
            <w:shd w:val="clear" w:color="000000" w:fill="FFFFFF"/>
            <w:noWrap/>
            <w:vAlign w:val="center"/>
          </w:tcPr>
          <w:p w14:paraId="0D4DCD17" w14:textId="77777777" w:rsidR="00CF77DD" w:rsidRPr="00467130" w:rsidRDefault="00CF77DD" w:rsidP="00E04719">
            <w:pPr>
              <w:jc w:val="right"/>
              <w:rPr>
                <w:rFonts w:ascii="Arial" w:hAnsi="Arial" w:cs="Arial"/>
                <w:b/>
                <w:bCs/>
                <w:sz w:val="22"/>
                <w:szCs w:val="22"/>
              </w:rPr>
            </w:pPr>
          </w:p>
        </w:tc>
        <w:tc>
          <w:tcPr>
            <w:tcW w:w="1669" w:type="dxa"/>
            <w:tcBorders>
              <w:top w:val="single" w:sz="8" w:space="0" w:color="auto"/>
              <w:left w:val="nil"/>
              <w:right w:val="nil"/>
            </w:tcBorders>
            <w:shd w:val="clear" w:color="000000" w:fill="FFFFFF"/>
            <w:noWrap/>
            <w:vAlign w:val="center"/>
          </w:tcPr>
          <w:p w14:paraId="7CC19D7B" w14:textId="77777777" w:rsidR="00CF77DD" w:rsidRPr="00467130" w:rsidRDefault="00CF77DD" w:rsidP="00E04719">
            <w:pPr>
              <w:jc w:val="right"/>
              <w:rPr>
                <w:rFonts w:ascii="Arial" w:hAnsi="Arial" w:cs="Arial"/>
                <w:b/>
                <w:bCs/>
                <w:sz w:val="22"/>
                <w:szCs w:val="22"/>
              </w:rPr>
            </w:pPr>
          </w:p>
        </w:tc>
        <w:tc>
          <w:tcPr>
            <w:tcW w:w="1669" w:type="dxa"/>
            <w:tcBorders>
              <w:top w:val="single" w:sz="8" w:space="0" w:color="auto"/>
              <w:left w:val="nil"/>
              <w:right w:val="nil"/>
            </w:tcBorders>
            <w:shd w:val="clear" w:color="000000" w:fill="FFFFFF"/>
            <w:noWrap/>
            <w:vAlign w:val="center"/>
          </w:tcPr>
          <w:p w14:paraId="2AC36561" w14:textId="77777777" w:rsidR="00CF77DD" w:rsidRDefault="00CF77DD" w:rsidP="00E04719">
            <w:pPr>
              <w:jc w:val="right"/>
              <w:rPr>
                <w:rFonts w:ascii="Arial" w:hAnsi="Arial" w:cs="Arial"/>
                <w:b/>
                <w:bCs/>
                <w:color w:val="000000"/>
                <w:sz w:val="22"/>
                <w:szCs w:val="22"/>
              </w:rPr>
            </w:pPr>
          </w:p>
        </w:tc>
      </w:tr>
      <w:tr w:rsidR="00467130" w:rsidRPr="00467130" w14:paraId="7449E011" w14:textId="77777777" w:rsidTr="00920219">
        <w:trPr>
          <w:trHeight w:val="241"/>
        </w:trPr>
        <w:tc>
          <w:tcPr>
            <w:tcW w:w="2820" w:type="dxa"/>
            <w:tcBorders>
              <w:top w:val="nil"/>
              <w:left w:val="nil"/>
              <w:bottom w:val="nil"/>
              <w:right w:val="nil"/>
            </w:tcBorders>
            <w:shd w:val="clear" w:color="000000" w:fill="FFFFFF"/>
            <w:noWrap/>
            <w:vAlign w:val="bottom"/>
          </w:tcPr>
          <w:p w14:paraId="40B6403B" w14:textId="2792B330" w:rsidR="0096731F" w:rsidRPr="00467130" w:rsidRDefault="0096731F" w:rsidP="0096731F">
            <w:pPr>
              <w:rPr>
                <w:rFonts w:ascii="Arial" w:hAnsi="Arial" w:cs="Arial"/>
                <w:sz w:val="22"/>
                <w:szCs w:val="22"/>
              </w:rPr>
            </w:pPr>
            <w:r w:rsidRPr="00467130">
              <w:rPr>
                <w:rFonts w:ascii="Arial" w:hAnsi="Arial" w:cs="Arial"/>
                <w:sz w:val="22"/>
                <w:szCs w:val="22"/>
              </w:rPr>
              <w:t> </w:t>
            </w:r>
          </w:p>
        </w:tc>
        <w:tc>
          <w:tcPr>
            <w:tcW w:w="1292" w:type="dxa"/>
            <w:tcBorders>
              <w:top w:val="nil"/>
              <w:left w:val="nil"/>
              <w:bottom w:val="nil"/>
              <w:right w:val="nil"/>
            </w:tcBorders>
            <w:shd w:val="clear" w:color="000000" w:fill="FFFFFF"/>
            <w:noWrap/>
            <w:vAlign w:val="bottom"/>
          </w:tcPr>
          <w:p w14:paraId="2ACB0116" w14:textId="41F102D7"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Private Equity</w:t>
            </w:r>
          </w:p>
        </w:tc>
        <w:tc>
          <w:tcPr>
            <w:tcW w:w="1647" w:type="dxa"/>
            <w:tcBorders>
              <w:top w:val="nil"/>
              <w:left w:val="nil"/>
              <w:bottom w:val="nil"/>
              <w:right w:val="nil"/>
            </w:tcBorders>
            <w:shd w:val="clear" w:color="000000" w:fill="FFFFFF"/>
            <w:noWrap/>
            <w:vAlign w:val="bottom"/>
            <w:hideMark/>
          </w:tcPr>
          <w:p w14:paraId="48F560D0" w14:textId="5FEA1C24"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Infrastructure</w:t>
            </w:r>
          </w:p>
        </w:tc>
        <w:tc>
          <w:tcPr>
            <w:tcW w:w="1587" w:type="dxa"/>
            <w:tcBorders>
              <w:top w:val="nil"/>
              <w:left w:val="nil"/>
              <w:bottom w:val="nil"/>
              <w:right w:val="nil"/>
            </w:tcBorders>
            <w:shd w:val="clear" w:color="000000" w:fill="FFFFFF"/>
            <w:noWrap/>
            <w:vAlign w:val="bottom"/>
            <w:hideMark/>
          </w:tcPr>
          <w:p w14:paraId="088FF1C5" w14:textId="33468538"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Other- Hedge Fund</w:t>
            </w:r>
          </w:p>
        </w:tc>
        <w:tc>
          <w:tcPr>
            <w:tcW w:w="1669" w:type="dxa"/>
            <w:tcBorders>
              <w:top w:val="nil"/>
              <w:left w:val="nil"/>
              <w:bottom w:val="nil"/>
              <w:right w:val="nil"/>
            </w:tcBorders>
            <w:shd w:val="clear" w:color="000000" w:fill="FFFFFF"/>
            <w:noWrap/>
            <w:vAlign w:val="bottom"/>
            <w:hideMark/>
          </w:tcPr>
          <w:p w14:paraId="153ABCC1" w14:textId="23EE2E03"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Other- Property</w:t>
            </w:r>
          </w:p>
        </w:tc>
        <w:tc>
          <w:tcPr>
            <w:tcW w:w="1669" w:type="dxa"/>
            <w:tcBorders>
              <w:top w:val="nil"/>
              <w:left w:val="nil"/>
              <w:bottom w:val="nil"/>
              <w:right w:val="nil"/>
            </w:tcBorders>
            <w:shd w:val="clear" w:color="000000" w:fill="FFFFFF"/>
            <w:noWrap/>
            <w:vAlign w:val="bottom"/>
            <w:hideMark/>
          </w:tcPr>
          <w:p w14:paraId="0967F5B5" w14:textId="433D7012"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Total</w:t>
            </w:r>
          </w:p>
        </w:tc>
      </w:tr>
      <w:tr w:rsidR="00467130" w:rsidRPr="00467130" w14:paraId="141BA16C" w14:textId="77777777" w:rsidTr="00920219">
        <w:trPr>
          <w:trHeight w:val="241"/>
        </w:trPr>
        <w:tc>
          <w:tcPr>
            <w:tcW w:w="2820" w:type="dxa"/>
            <w:tcBorders>
              <w:top w:val="nil"/>
              <w:left w:val="nil"/>
              <w:bottom w:val="nil"/>
              <w:right w:val="nil"/>
            </w:tcBorders>
            <w:shd w:val="clear" w:color="000000" w:fill="FFFFFF"/>
            <w:noWrap/>
            <w:vAlign w:val="bottom"/>
            <w:hideMark/>
          </w:tcPr>
          <w:p w14:paraId="5125D8AC" w14:textId="270140BA" w:rsidR="0096731F" w:rsidRPr="00467130" w:rsidRDefault="0096731F" w:rsidP="0096731F">
            <w:pPr>
              <w:rPr>
                <w:rFonts w:ascii="Arial" w:hAnsi="Arial" w:cs="Arial"/>
                <w:sz w:val="22"/>
                <w:szCs w:val="22"/>
              </w:rPr>
            </w:pPr>
            <w:r w:rsidRPr="00467130">
              <w:rPr>
                <w:rFonts w:ascii="Arial" w:hAnsi="Arial" w:cs="Arial"/>
                <w:sz w:val="22"/>
                <w:szCs w:val="22"/>
              </w:rPr>
              <w:t> </w:t>
            </w:r>
          </w:p>
        </w:tc>
        <w:tc>
          <w:tcPr>
            <w:tcW w:w="1292" w:type="dxa"/>
            <w:tcBorders>
              <w:top w:val="nil"/>
              <w:left w:val="nil"/>
              <w:bottom w:val="nil"/>
              <w:right w:val="nil"/>
            </w:tcBorders>
            <w:shd w:val="clear" w:color="000000" w:fill="FFFFFF"/>
            <w:noWrap/>
            <w:vAlign w:val="center"/>
            <w:hideMark/>
          </w:tcPr>
          <w:p w14:paraId="33F618ED" w14:textId="4CB38FB1"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£000s</w:t>
            </w:r>
          </w:p>
        </w:tc>
        <w:tc>
          <w:tcPr>
            <w:tcW w:w="1647" w:type="dxa"/>
            <w:tcBorders>
              <w:top w:val="nil"/>
              <w:left w:val="nil"/>
              <w:bottom w:val="nil"/>
              <w:right w:val="nil"/>
            </w:tcBorders>
            <w:shd w:val="clear" w:color="000000" w:fill="FFFFFF"/>
            <w:noWrap/>
            <w:vAlign w:val="center"/>
            <w:hideMark/>
          </w:tcPr>
          <w:p w14:paraId="0326F8CB" w14:textId="4CB54C29"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£000s</w:t>
            </w:r>
          </w:p>
        </w:tc>
        <w:tc>
          <w:tcPr>
            <w:tcW w:w="1587" w:type="dxa"/>
            <w:tcBorders>
              <w:top w:val="nil"/>
              <w:left w:val="nil"/>
              <w:bottom w:val="nil"/>
              <w:right w:val="nil"/>
            </w:tcBorders>
            <w:shd w:val="clear" w:color="000000" w:fill="FFFFFF"/>
            <w:noWrap/>
            <w:vAlign w:val="center"/>
          </w:tcPr>
          <w:p w14:paraId="09233C2C" w14:textId="0C6596E2"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£000s</w:t>
            </w:r>
          </w:p>
        </w:tc>
        <w:tc>
          <w:tcPr>
            <w:tcW w:w="1669" w:type="dxa"/>
            <w:tcBorders>
              <w:top w:val="nil"/>
              <w:left w:val="nil"/>
              <w:bottom w:val="nil"/>
              <w:right w:val="nil"/>
            </w:tcBorders>
            <w:shd w:val="clear" w:color="000000" w:fill="FFFFFF"/>
            <w:noWrap/>
            <w:vAlign w:val="center"/>
          </w:tcPr>
          <w:p w14:paraId="27C80ED9" w14:textId="305A1546"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£000s</w:t>
            </w:r>
          </w:p>
        </w:tc>
        <w:tc>
          <w:tcPr>
            <w:tcW w:w="1669" w:type="dxa"/>
            <w:tcBorders>
              <w:top w:val="nil"/>
              <w:left w:val="nil"/>
              <w:bottom w:val="nil"/>
              <w:right w:val="nil"/>
            </w:tcBorders>
            <w:shd w:val="clear" w:color="000000" w:fill="FFFFFF"/>
            <w:noWrap/>
            <w:vAlign w:val="center"/>
          </w:tcPr>
          <w:p w14:paraId="40EE6168" w14:textId="0AEEE89D" w:rsidR="0096731F" w:rsidRPr="004A3AC2" w:rsidRDefault="0096731F" w:rsidP="00920219">
            <w:pPr>
              <w:jc w:val="right"/>
              <w:rPr>
                <w:rFonts w:ascii="Arial" w:hAnsi="Arial" w:cs="Arial"/>
                <w:b/>
                <w:bCs/>
                <w:sz w:val="22"/>
                <w:szCs w:val="22"/>
              </w:rPr>
            </w:pPr>
            <w:r w:rsidRPr="004A3AC2">
              <w:rPr>
                <w:rFonts w:ascii="Arial" w:hAnsi="Arial" w:cs="Arial"/>
                <w:b/>
                <w:bCs/>
                <w:sz w:val="22"/>
                <w:szCs w:val="22"/>
              </w:rPr>
              <w:t>£000s</w:t>
            </w:r>
          </w:p>
        </w:tc>
      </w:tr>
      <w:tr w:rsidR="00467130" w:rsidRPr="00467130" w14:paraId="143CE354" w14:textId="77777777" w:rsidTr="00920219">
        <w:trPr>
          <w:trHeight w:val="241"/>
        </w:trPr>
        <w:tc>
          <w:tcPr>
            <w:tcW w:w="2820" w:type="dxa"/>
            <w:tcBorders>
              <w:top w:val="nil"/>
              <w:left w:val="nil"/>
              <w:bottom w:val="nil"/>
              <w:right w:val="nil"/>
            </w:tcBorders>
            <w:shd w:val="clear" w:color="000000" w:fill="FFFFFF"/>
            <w:noWrap/>
            <w:vAlign w:val="bottom"/>
          </w:tcPr>
          <w:p w14:paraId="65DE8902" w14:textId="6D981E02" w:rsidR="00044153" w:rsidRPr="00467130" w:rsidRDefault="00044153" w:rsidP="00044153">
            <w:pPr>
              <w:rPr>
                <w:rFonts w:ascii="Arial" w:hAnsi="Arial" w:cs="Arial"/>
                <w:sz w:val="22"/>
                <w:szCs w:val="22"/>
              </w:rPr>
            </w:pPr>
            <w:r w:rsidRPr="00467130">
              <w:rPr>
                <w:rFonts w:ascii="Arial" w:hAnsi="Arial" w:cs="Arial"/>
                <w:sz w:val="22"/>
                <w:szCs w:val="22"/>
              </w:rPr>
              <w:t xml:space="preserve">Market Value 1 April 2023                  </w:t>
            </w:r>
          </w:p>
        </w:tc>
        <w:tc>
          <w:tcPr>
            <w:tcW w:w="1292" w:type="dxa"/>
            <w:tcBorders>
              <w:top w:val="nil"/>
              <w:left w:val="nil"/>
              <w:bottom w:val="nil"/>
              <w:right w:val="nil"/>
            </w:tcBorders>
            <w:shd w:val="clear" w:color="000000" w:fill="FFFFFF"/>
            <w:noWrap/>
            <w:vAlign w:val="center"/>
          </w:tcPr>
          <w:p w14:paraId="253AEDF7" w14:textId="28837D02" w:rsidR="00044153" w:rsidRPr="00750CE2" w:rsidRDefault="00044153" w:rsidP="00044153">
            <w:pPr>
              <w:jc w:val="right"/>
              <w:rPr>
                <w:rFonts w:ascii="Arial" w:hAnsi="Arial" w:cs="Arial"/>
                <w:sz w:val="22"/>
                <w:szCs w:val="22"/>
              </w:rPr>
            </w:pPr>
            <w:r w:rsidRPr="00750CE2">
              <w:rPr>
                <w:rFonts w:ascii="Arial" w:hAnsi="Arial" w:cs="Arial"/>
                <w:sz w:val="22"/>
                <w:szCs w:val="22"/>
              </w:rPr>
              <w:t>89,808</w:t>
            </w:r>
          </w:p>
        </w:tc>
        <w:tc>
          <w:tcPr>
            <w:tcW w:w="1647" w:type="dxa"/>
            <w:tcBorders>
              <w:top w:val="nil"/>
              <w:left w:val="nil"/>
              <w:bottom w:val="nil"/>
              <w:right w:val="nil"/>
            </w:tcBorders>
            <w:shd w:val="clear" w:color="000000" w:fill="FFFFFF"/>
            <w:noWrap/>
            <w:vAlign w:val="center"/>
          </w:tcPr>
          <w:p w14:paraId="60C7E735" w14:textId="034AF672" w:rsidR="00044153" w:rsidRPr="00750CE2" w:rsidRDefault="00044153" w:rsidP="00044153">
            <w:pPr>
              <w:jc w:val="right"/>
              <w:rPr>
                <w:rFonts w:ascii="Arial" w:hAnsi="Arial" w:cs="Arial"/>
                <w:sz w:val="22"/>
                <w:szCs w:val="22"/>
              </w:rPr>
            </w:pPr>
            <w:r w:rsidRPr="00750CE2">
              <w:rPr>
                <w:rFonts w:ascii="Arial" w:hAnsi="Arial" w:cs="Arial"/>
                <w:sz w:val="22"/>
                <w:szCs w:val="22"/>
              </w:rPr>
              <w:t>96,926</w:t>
            </w:r>
          </w:p>
        </w:tc>
        <w:tc>
          <w:tcPr>
            <w:tcW w:w="1587" w:type="dxa"/>
            <w:tcBorders>
              <w:top w:val="nil"/>
              <w:left w:val="nil"/>
              <w:bottom w:val="nil"/>
              <w:right w:val="nil"/>
            </w:tcBorders>
            <w:shd w:val="clear" w:color="000000" w:fill="FFFFFF"/>
            <w:noWrap/>
            <w:vAlign w:val="center"/>
          </w:tcPr>
          <w:p w14:paraId="6FFDCB38" w14:textId="56B9DB0E" w:rsidR="00044153" w:rsidRPr="00750CE2" w:rsidRDefault="00044153" w:rsidP="00044153">
            <w:pPr>
              <w:jc w:val="right"/>
              <w:rPr>
                <w:rFonts w:ascii="Arial" w:hAnsi="Arial" w:cs="Arial"/>
                <w:sz w:val="22"/>
                <w:szCs w:val="22"/>
              </w:rPr>
            </w:pPr>
            <w:r w:rsidRPr="00750CE2">
              <w:rPr>
                <w:rFonts w:ascii="Arial" w:hAnsi="Arial" w:cs="Arial"/>
                <w:sz w:val="22"/>
                <w:szCs w:val="22"/>
              </w:rPr>
              <w:t>36,473</w:t>
            </w:r>
          </w:p>
        </w:tc>
        <w:tc>
          <w:tcPr>
            <w:tcW w:w="1669" w:type="dxa"/>
            <w:tcBorders>
              <w:top w:val="nil"/>
              <w:left w:val="nil"/>
              <w:bottom w:val="nil"/>
              <w:right w:val="nil"/>
            </w:tcBorders>
            <w:shd w:val="clear" w:color="000000" w:fill="FFFFFF"/>
            <w:noWrap/>
            <w:vAlign w:val="center"/>
          </w:tcPr>
          <w:p w14:paraId="766A23EB" w14:textId="5D1A5C44" w:rsidR="00044153" w:rsidRPr="00750CE2" w:rsidRDefault="00044153" w:rsidP="00044153">
            <w:pPr>
              <w:jc w:val="right"/>
              <w:rPr>
                <w:rFonts w:ascii="Arial" w:hAnsi="Arial" w:cs="Arial"/>
                <w:sz w:val="22"/>
                <w:szCs w:val="22"/>
              </w:rPr>
            </w:pPr>
            <w:r w:rsidRPr="00750CE2">
              <w:rPr>
                <w:rFonts w:ascii="Arial" w:hAnsi="Arial" w:cs="Arial"/>
                <w:sz w:val="22"/>
                <w:szCs w:val="22"/>
              </w:rPr>
              <w:t>50,088</w:t>
            </w:r>
          </w:p>
        </w:tc>
        <w:tc>
          <w:tcPr>
            <w:tcW w:w="1669" w:type="dxa"/>
            <w:tcBorders>
              <w:top w:val="nil"/>
              <w:left w:val="nil"/>
              <w:bottom w:val="nil"/>
              <w:right w:val="nil"/>
            </w:tcBorders>
            <w:shd w:val="clear" w:color="000000" w:fill="FFFFFF"/>
            <w:noWrap/>
            <w:vAlign w:val="center"/>
          </w:tcPr>
          <w:p w14:paraId="60F0E2E2" w14:textId="134F7083"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273,295</w:t>
            </w:r>
          </w:p>
        </w:tc>
      </w:tr>
      <w:tr w:rsidR="00467130" w:rsidRPr="00467130" w14:paraId="73E613AC" w14:textId="77777777" w:rsidTr="00920219">
        <w:trPr>
          <w:trHeight w:val="241"/>
        </w:trPr>
        <w:tc>
          <w:tcPr>
            <w:tcW w:w="2820" w:type="dxa"/>
            <w:tcBorders>
              <w:top w:val="nil"/>
              <w:left w:val="nil"/>
              <w:bottom w:val="nil"/>
              <w:right w:val="nil"/>
            </w:tcBorders>
            <w:shd w:val="clear" w:color="000000" w:fill="FFFFFF"/>
            <w:noWrap/>
            <w:vAlign w:val="bottom"/>
          </w:tcPr>
          <w:p w14:paraId="130E8DDD" w14:textId="5C8D9269" w:rsidR="00044153" w:rsidRPr="00467130" w:rsidRDefault="00044153" w:rsidP="00044153">
            <w:pPr>
              <w:rPr>
                <w:rFonts w:ascii="Arial" w:hAnsi="Arial" w:cs="Arial"/>
                <w:sz w:val="22"/>
                <w:szCs w:val="22"/>
              </w:rPr>
            </w:pPr>
            <w:r w:rsidRPr="00467130">
              <w:rPr>
                <w:rFonts w:ascii="Arial" w:hAnsi="Arial" w:cs="Arial"/>
                <w:sz w:val="22"/>
                <w:szCs w:val="22"/>
              </w:rPr>
              <w:t>Transfers into Level 3</w:t>
            </w:r>
          </w:p>
        </w:tc>
        <w:tc>
          <w:tcPr>
            <w:tcW w:w="1292" w:type="dxa"/>
            <w:tcBorders>
              <w:top w:val="nil"/>
              <w:left w:val="nil"/>
              <w:bottom w:val="nil"/>
              <w:right w:val="nil"/>
            </w:tcBorders>
            <w:shd w:val="clear" w:color="000000" w:fill="FFFFFF"/>
            <w:noWrap/>
            <w:vAlign w:val="center"/>
          </w:tcPr>
          <w:p w14:paraId="3065110E" w14:textId="2546C323"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47" w:type="dxa"/>
            <w:tcBorders>
              <w:top w:val="nil"/>
              <w:left w:val="nil"/>
              <w:bottom w:val="nil"/>
              <w:right w:val="nil"/>
            </w:tcBorders>
            <w:shd w:val="clear" w:color="000000" w:fill="FFFFFF"/>
            <w:noWrap/>
            <w:vAlign w:val="center"/>
          </w:tcPr>
          <w:p w14:paraId="304C21A6" w14:textId="1DF38178"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73B3B5CB" w14:textId="10177820"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50521A71" w14:textId="057F26D0"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78CD37E4" w14:textId="08039E69"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w:t>
            </w:r>
          </w:p>
        </w:tc>
      </w:tr>
      <w:tr w:rsidR="00467130" w:rsidRPr="00467130" w14:paraId="53BEE514" w14:textId="77777777" w:rsidTr="00920219">
        <w:trPr>
          <w:trHeight w:val="241"/>
        </w:trPr>
        <w:tc>
          <w:tcPr>
            <w:tcW w:w="2820" w:type="dxa"/>
            <w:tcBorders>
              <w:top w:val="nil"/>
              <w:left w:val="nil"/>
              <w:bottom w:val="nil"/>
              <w:right w:val="nil"/>
            </w:tcBorders>
            <w:shd w:val="clear" w:color="000000" w:fill="FFFFFF"/>
            <w:noWrap/>
            <w:vAlign w:val="bottom"/>
          </w:tcPr>
          <w:p w14:paraId="27985222" w14:textId="5D671A4A" w:rsidR="00044153" w:rsidRPr="00467130" w:rsidRDefault="00044153" w:rsidP="00044153">
            <w:pPr>
              <w:rPr>
                <w:rFonts w:ascii="Arial" w:hAnsi="Arial" w:cs="Arial"/>
                <w:sz w:val="22"/>
                <w:szCs w:val="22"/>
              </w:rPr>
            </w:pPr>
            <w:r w:rsidRPr="00467130">
              <w:rPr>
                <w:rFonts w:ascii="Arial" w:hAnsi="Arial" w:cs="Arial"/>
                <w:sz w:val="22"/>
                <w:szCs w:val="22"/>
              </w:rPr>
              <w:t>Transfers out of Level 3</w:t>
            </w:r>
          </w:p>
        </w:tc>
        <w:tc>
          <w:tcPr>
            <w:tcW w:w="1292" w:type="dxa"/>
            <w:tcBorders>
              <w:top w:val="nil"/>
              <w:left w:val="nil"/>
              <w:bottom w:val="nil"/>
              <w:right w:val="nil"/>
            </w:tcBorders>
            <w:shd w:val="clear" w:color="000000" w:fill="FFFFFF"/>
            <w:noWrap/>
            <w:vAlign w:val="center"/>
          </w:tcPr>
          <w:p w14:paraId="1993AD35" w14:textId="0610FF32"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47" w:type="dxa"/>
            <w:tcBorders>
              <w:top w:val="nil"/>
              <w:left w:val="nil"/>
              <w:bottom w:val="nil"/>
              <w:right w:val="nil"/>
            </w:tcBorders>
            <w:shd w:val="clear" w:color="000000" w:fill="FFFFFF"/>
            <w:noWrap/>
            <w:vAlign w:val="center"/>
          </w:tcPr>
          <w:p w14:paraId="51688F56" w14:textId="01342B11"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334FC237" w14:textId="3AD31FF7"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15DA8802" w14:textId="12F3645C"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7BA067E6" w14:textId="1082B4F6"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w:t>
            </w:r>
          </w:p>
        </w:tc>
      </w:tr>
      <w:tr w:rsidR="00467130" w:rsidRPr="00467130" w14:paraId="77A173A9" w14:textId="77777777" w:rsidTr="00920219">
        <w:trPr>
          <w:trHeight w:val="241"/>
        </w:trPr>
        <w:tc>
          <w:tcPr>
            <w:tcW w:w="2820" w:type="dxa"/>
            <w:tcBorders>
              <w:top w:val="nil"/>
              <w:left w:val="nil"/>
              <w:bottom w:val="nil"/>
              <w:right w:val="nil"/>
            </w:tcBorders>
            <w:shd w:val="clear" w:color="000000" w:fill="FFFFFF"/>
            <w:noWrap/>
            <w:vAlign w:val="bottom"/>
          </w:tcPr>
          <w:p w14:paraId="0F6D555D" w14:textId="07DF0B9D" w:rsidR="00044153" w:rsidRPr="00467130" w:rsidRDefault="00044153" w:rsidP="00044153">
            <w:pPr>
              <w:rPr>
                <w:rFonts w:ascii="Arial" w:hAnsi="Arial" w:cs="Arial"/>
                <w:sz w:val="22"/>
                <w:szCs w:val="22"/>
              </w:rPr>
            </w:pPr>
            <w:r w:rsidRPr="00467130">
              <w:rPr>
                <w:rFonts w:ascii="Arial" w:hAnsi="Arial" w:cs="Arial"/>
                <w:sz w:val="22"/>
                <w:szCs w:val="22"/>
              </w:rPr>
              <w:t>Purchases during the year</w:t>
            </w:r>
          </w:p>
        </w:tc>
        <w:tc>
          <w:tcPr>
            <w:tcW w:w="1292" w:type="dxa"/>
            <w:tcBorders>
              <w:top w:val="nil"/>
              <w:left w:val="nil"/>
              <w:bottom w:val="nil"/>
              <w:right w:val="nil"/>
            </w:tcBorders>
            <w:shd w:val="clear" w:color="000000" w:fill="FFFFFF"/>
            <w:noWrap/>
            <w:vAlign w:val="center"/>
          </w:tcPr>
          <w:p w14:paraId="70708CBA" w14:textId="1B9E56C9" w:rsidR="00044153" w:rsidRPr="00750CE2" w:rsidRDefault="00044153" w:rsidP="00044153">
            <w:pPr>
              <w:jc w:val="right"/>
              <w:rPr>
                <w:rFonts w:ascii="Arial" w:hAnsi="Arial" w:cs="Arial"/>
                <w:sz w:val="22"/>
                <w:szCs w:val="22"/>
              </w:rPr>
            </w:pPr>
            <w:r w:rsidRPr="00750CE2">
              <w:rPr>
                <w:rFonts w:ascii="Arial" w:hAnsi="Arial" w:cs="Arial"/>
                <w:sz w:val="22"/>
                <w:szCs w:val="22"/>
              </w:rPr>
              <w:t>26,678</w:t>
            </w:r>
          </w:p>
        </w:tc>
        <w:tc>
          <w:tcPr>
            <w:tcW w:w="1647" w:type="dxa"/>
            <w:tcBorders>
              <w:top w:val="nil"/>
              <w:left w:val="nil"/>
              <w:bottom w:val="nil"/>
              <w:right w:val="nil"/>
            </w:tcBorders>
            <w:shd w:val="clear" w:color="000000" w:fill="FFFFFF"/>
            <w:noWrap/>
            <w:vAlign w:val="center"/>
          </w:tcPr>
          <w:p w14:paraId="28D3A166" w14:textId="1721ED5A"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587" w:type="dxa"/>
            <w:tcBorders>
              <w:top w:val="nil"/>
              <w:left w:val="nil"/>
              <w:bottom w:val="nil"/>
              <w:right w:val="nil"/>
            </w:tcBorders>
            <w:shd w:val="clear" w:color="000000" w:fill="FFFFFF"/>
            <w:noWrap/>
            <w:vAlign w:val="center"/>
          </w:tcPr>
          <w:p w14:paraId="59E39A33" w14:textId="605712F3" w:rsidR="00044153" w:rsidRPr="00750CE2" w:rsidRDefault="00044153" w:rsidP="00044153">
            <w:pPr>
              <w:jc w:val="right"/>
              <w:rPr>
                <w:rFonts w:ascii="Arial" w:hAnsi="Arial" w:cs="Arial"/>
                <w:sz w:val="22"/>
                <w:szCs w:val="22"/>
              </w:rPr>
            </w:pPr>
            <w:r w:rsidRPr="00750CE2">
              <w:rPr>
                <w:rFonts w:ascii="Arial" w:hAnsi="Arial" w:cs="Arial"/>
                <w:sz w:val="22"/>
                <w:szCs w:val="22"/>
              </w:rPr>
              <w:t>3,359</w:t>
            </w:r>
          </w:p>
        </w:tc>
        <w:tc>
          <w:tcPr>
            <w:tcW w:w="1669" w:type="dxa"/>
            <w:tcBorders>
              <w:top w:val="nil"/>
              <w:left w:val="nil"/>
              <w:bottom w:val="nil"/>
              <w:right w:val="nil"/>
            </w:tcBorders>
            <w:shd w:val="clear" w:color="000000" w:fill="FFFFFF"/>
            <w:noWrap/>
            <w:vAlign w:val="center"/>
          </w:tcPr>
          <w:p w14:paraId="0B9F6FB2" w14:textId="2B1E63C6" w:rsidR="00044153" w:rsidRPr="00750CE2" w:rsidRDefault="00044153" w:rsidP="00044153">
            <w:pPr>
              <w:jc w:val="right"/>
              <w:rPr>
                <w:rFonts w:ascii="Arial" w:hAnsi="Arial" w:cs="Arial"/>
                <w:sz w:val="22"/>
                <w:szCs w:val="22"/>
              </w:rPr>
            </w:pPr>
            <w:r w:rsidRPr="00750CE2">
              <w:rPr>
                <w:rFonts w:ascii="Arial" w:hAnsi="Arial" w:cs="Arial"/>
                <w:sz w:val="22"/>
                <w:szCs w:val="22"/>
              </w:rPr>
              <w:t>3,844</w:t>
            </w:r>
          </w:p>
        </w:tc>
        <w:tc>
          <w:tcPr>
            <w:tcW w:w="1669" w:type="dxa"/>
            <w:tcBorders>
              <w:top w:val="nil"/>
              <w:left w:val="nil"/>
              <w:bottom w:val="nil"/>
              <w:right w:val="nil"/>
            </w:tcBorders>
            <w:shd w:val="clear" w:color="000000" w:fill="FFFFFF"/>
            <w:noWrap/>
            <w:vAlign w:val="center"/>
          </w:tcPr>
          <w:p w14:paraId="7E8CB8FB" w14:textId="6EC674D3"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33,882</w:t>
            </w:r>
          </w:p>
        </w:tc>
      </w:tr>
      <w:tr w:rsidR="00467130" w:rsidRPr="00467130" w14:paraId="7570F2DC" w14:textId="77777777" w:rsidTr="00920219">
        <w:trPr>
          <w:trHeight w:val="241"/>
        </w:trPr>
        <w:tc>
          <w:tcPr>
            <w:tcW w:w="2820" w:type="dxa"/>
            <w:tcBorders>
              <w:top w:val="nil"/>
              <w:left w:val="nil"/>
              <w:bottom w:val="nil"/>
              <w:right w:val="nil"/>
            </w:tcBorders>
            <w:shd w:val="clear" w:color="000000" w:fill="FFFFFF"/>
            <w:noWrap/>
            <w:vAlign w:val="bottom"/>
          </w:tcPr>
          <w:p w14:paraId="6A28A328" w14:textId="0921DC5C" w:rsidR="00044153" w:rsidRPr="00467130" w:rsidRDefault="00044153" w:rsidP="00044153">
            <w:pPr>
              <w:rPr>
                <w:rFonts w:ascii="Arial" w:hAnsi="Arial" w:cs="Arial"/>
                <w:sz w:val="22"/>
                <w:szCs w:val="22"/>
              </w:rPr>
            </w:pPr>
            <w:r w:rsidRPr="00467130">
              <w:rPr>
                <w:rFonts w:ascii="Arial" w:hAnsi="Arial" w:cs="Arial"/>
                <w:sz w:val="22"/>
                <w:szCs w:val="22"/>
              </w:rPr>
              <w:t>Sales during the year</w:t>
            </w:r>
          </w:p>
        </w:tc>
        <w:tc>
          <w:tcPr>
            <w:tcW w:w="1292" w:type="dxa"/>
            <w:tcBorders>
              <w:top w:val="nil"/>
              <w:left w:val="nil"/>
              <w:bottom w:val="nil"/>
              <w:right w:val="nil"/>
            </w:tcBorders>
            <w:shd w:val="clear" w:color="000000" w:fill="FFFFFF"/>
            <w:noWrap/>
            <w:vAlign w:val="center"/>
          </w:tcPr>
          <w:p w14:paraId="34083057" w14:textId="6E3E4CCC" w:rsidR="00044153" w:rsidRPr="00750CE2" w:rsidRDefault="00044153" w:rsidP="00044153">
            <w:pPr>
              <w:jc w:val="right"/>
              <w:rPr>
                <w:rFonts w:ascii="Arial" w:hAnsi="Arial" w:cs="Arial"/>
                <w:sz w:val="22"/>
                <w:szCs w:val="22"/>
              </w:rPr>
            </w:pPr>
            <w:r w:rsidRPr="00750CE2">
              <w:rPr>
                <w:rFonts w:ascii="Arial" w:hAnsi="Arial" w:cs="Arial"/>
                <w:sz w:val="22"/>
                <w:szCs w:val="22"/>
              </w:rPr>
              <w:t>(11,681)</w:t>
            </w:r>
          </w:p>
        </w:tc>
        <w:tc>
          <w:tcPr>
            <w:tcW w:w="1647" w:type="dxa"/>
            <w:tcBorders>
              <w:top w:val="nil"/>
              <w:left w:val="nil"/>
              <w:bottom w:val="nil"/>
              <w:right w:val="nil"/>
            </w:tcBorders>
            <w:shd w:val="clear" w:color="000000" w:fill="FFFFFF"/>
            <w:noWrap/>
            <w:vAlign w:val="center"/>
          </w:tcPr>
          <w:p w14:paraId="39334848" w14:textId="5491B038" w:rsidR="00044153" w:rsidRPr="00750CE2" w:rsidRDefault="00044153" w:rsidP="00044153">
            <w:pPr>
              <w:jc w:val="right"/>
              <w:rPr>
                <w:rFonts w:ascii="Arial" w:hAnsi="Arial" w:cs="Arial"/>
                <w:sz w:val="22"/>
                <w:szCs w:val="22"/>
              </w:rPr>
            </w:pPr>
            <w:r w:rsidRPr="00750CE2">
              <w:rPr>
                <w:rFonts w:ascii="Arial" w:hAnsi="Arial" w:cs="Arial"/>
                <w:sz w:val="22"/>
                <w:szCs w:val="22"/>
              </w:rPr>
              <w:t>(2,478)</w:t>
            </w:r>
          </w:p>
        </w:tc>
        <w:tc>
          <w:tcPr>
            <w:tcW w:w="1587" w:type="dxa"/>
            <w:tcBorders>
              <w:top w:val="nil"/>
              <w:left w:val="nil"/>
              <w:bottom w:val="nil"/>
              <w:right w:val="nil"/>
            </w:tcBorders>
            <w:shd w:val="clear" w:color="000000" w:fill="FFFFFF"/>
            <w:noWrap/>
            <w:vAlign w:val="center"/>
          </w:tcPr>
          <w:p w14:paraId="7F68C15A" w14:textId="40D1252B" w:rsidR="00044153" w:rsidRPr="00750CE2" w:rsidRDefault="00044153" w:rsidP="00044153">
            <w:pPr>
              <w:jc w:val="right"/>
              <w:rPr>
                <w:rFonts w:ascii="Arial" w:hAnsi="Arial" w:cs="Arial"/>
                <w:sz w:val="22"/>
                <w:szCs w:val="22"/>
              </w:rPr>
            </w:pPr>
            <w:r w:rsidRPr="00750CE2">
              <w:rPr>
                <w:rFonts w:ascii="Arial" w:hAnsi="Arial" w:cs="Arial"/>
                <w:sz w:val="22"/>
                <w:szCs w:val="22"/>
              </w:rPr>
              <w:t>(9,733)</w:t>
            </w:r>
          </w:p>
        </w:tc>
        <w:tc>
          <w:tcPr>
            <w:tcW w:w="1669" w:type="dxa"/>
            <w:tcBorders>
              <w:top w:val="nil"/>
              <w:left w:val="nil"/>
              <w:bottom w:val="nil"/>
              <w:right w:val="nil"/>
            </w:tcBorders>
            <w:shd w:val="clear" w:color="000000" w:fill="FFFFFF"/>
            <w:noWrap/>
            <w:vAlign w:val="bottom"/>
          </w:tcPr>
          <w:p w14:paraId="70CE99AC" w14:textId="5F18B037"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nil"/>
              <w:right w:val="nil"/>
            </w:tcBorders>
            <w:shd w:val="clear" w:color="000000" w:fill="FFFFFF"/>
            <w:noWrap/>
            <w:vAlign w:val="center"/>
          </w:tcPr>
          <w:p w14:paraId="40EA3E9D" w14:textId="00839C0D"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(23,893)</w:t>
            </w:r>
          </w:p>
        </w:tc>
      </w:tr>
      <w:tr w:rsidR="00467130" w:rsidRPr="00467130" w14:paraId="04923B07" w14:textId="77777777" w:rsidTr="00920219">
        <w:trPr>
          <w:trHeight w:val="241"/>
        </w:trPr>
        <w:tc>
          <w:tcPr>
            <w:tcW w:w="2820" w:type="dxa"/>
            <w:tcBorders>
              <w:top w:val="nil"/>
              <w:left w:val="nil"/>
              <w:bottom w:val="nil"/>
              <w:right w:val="nil"/>
            </w:tcBorders>
            <w:shd w:val="clear" w:color="000000" w:fill="FFFFFF"/>
            <w:noWrap/>
            <w:vAlign w:val="bottom"/>
          </w:tcPr>
          <w:p w14:paraId="41C2AA27" w14:textId="7BBAD63A" w:rsidR="00044153" w:rsidRPr="00467130" w:rsidRDefault="00044153" w:rsidP="00044153">
            <w:pPr>
              <w:rPr>
                <w:rFonts w:ascii="Arial" w:hAnsi="Arial" w:cs="Arial"/>
                <w:sz w:val="22"/>
                <w:szCs w:val="22"/>
              </w:rPr>
            </w:pPr>
            <w:r w:rsidRPr="00467130">
              <w:rPr>
                <w:rFonts w:ascii="Arial" w:hAnsi="Arial" w:cs="Arial"/>
                <w:sz w:val="22"/>
                <w:szCs w:val="22"/>
              </w:rPr>
              <w:t>Unrealised gains/</w:t>
            </w:r>
            <w:r w:rsidR="00D05495">
              <w:rPr>
                <w:rFonts w:ascii="Arial" w:hAnsi="Arial" w:cs="Arial"/>
                <w:sz w:val="22"/>
                <w:szCs w:val="22"/>
              </w:rPr>
              <w:t>(</w:t>
            </w:r>
            <w:r w:rsidRPr="00467130">
              <w:rPr>
                <w:rFonts w:ascii="Arial" w:hAnsi="Arial" w:cs="Arial"/>
                <w:sz w:val="22"/>
                <w:szCs w:val="22"/>
              </w:rPr>
              <w:t>losses</w:t>
            </w:r>
            <w:r w:rsidR="00D05495">
              <w:rPr>
                <w:rFonts w:ascii="Arial" w:hAnsi="Arial" w:cs="Arial"/>
                <w:sz w:val="22"/>
                <w:szCs w:val="22"/>
              </w:rPr>
              <w:t>)</w:t>
            </w:r>
          </w:p>
        </w:tc>
        <w:tc>
          <w:tcPr>
            <w:tcW w:w="1292" w:type="dxa"/>
            <w:tcBorders>
              <w:top w:val="nil"/>
              <w:left w:val="nil"/>
              <w:bottom w:val="nil"/>
              <w:right w:val="nil"/>
            </w:tcBorders>
            <w:shd w:val="clear" w:color="000000" w:fill="FFFFFF"/>
            <w:noWrap/>
            <w:vAlign w:val="center"/>
          </w:tcPr>
          <w:p w14:paraId="640683E4" w14:textId="4FC58776" w:rsidR="00044153" w:rsidRPr="00750CE2" w:rsidRDefault="00044153" w:rsidP="00044153">
            <w:pPr>
              <w:jc w:val="right"/>
              <w:rPr>
                <w:rFonts w:ascii="Arial" w:hAnsi="Arial" w:cs="Arial"/>
                <w:sz w:val="22"/>
                <w:szCs w:val="22"/>
              </w:rPr>
            </w:pPr>
            <w:r w:rsidRPr="00750CE2">
              <w:rPr>
                <w:rFonts w:ascii="Arial" w:hAnsi="Arial" w:cs="Arial"/>
                <w:sz w:val="22"/>
                <w:szCs w:val="22"/>
              </w:rPr>
              <w:t>(3,039)</w:t>
            </w:r>
          </w:p>
        </w:tc>
        <w:tc>
          <w:tcPr>
            <w:tcW w:w="1647" w:type="dxa"/>
            <w:tcBorders>
              <w:top w:val="nil"/>
              <w:left w:val="nil"/>
              <w:bottom w:val="nil"/>
              <w:right w:val="nil"/>
            </w:tcBorders>
            <w:shd w:val="clear" w:color="000000" w:fill="FFFFFF"/>
            <w:noWrap/>
            <w:vAlign w:val="center"/>
          </w:tcPr>
          <w:p w14:paraId="68FEA6FB" w14:textId="1F0CBBE5" w:rsidR="00044153" w:rsidRPr="00750CE2" w:rsidRDefault="00044153" w:rsidP="00044153">
            <w:pPr>
              <w:jc w:val="right"/>
              <w:rPr>
                <w:rFonts w:ascii="Arial" w:hAnsi="Arial" w:cs="Arial"/>
                <w:sz w:val="22"/>
                <w:szCs w:val="22"/>
              </w:rPr>
            </w:pPr>
            <w:r w:rsidRPr="00750CE2">
              <w:rPr>
                <w:rFonts w:ascii="Arial" w:hAnsi="Arial" w:cs="Arial"/>
                <w:sz w:val="22"/>
                <w:szCs w:val="22"/>
              </w:rPr>
              <w:t>(7,874)</w:t>
            </w:r>
          </w:p>
        </w:tc>
        <w:tc>
          <w:tcPr>
            <w:tcW w:w="1587" w:type="dxa"/>
            <w:tcBorders>
              <w:top w:val="nil"/>
              <w:left w:val="nil"/>
              <w:bottom w:val="nil"/>
              <w:right w:val="nil"/>
            </w:tcBorders>
            <w:shd w:val="clear" w:color="000000" w:fill="FFFFFF"/>
            <w:noWrap/>
            <w:vAlign w:val="center"/>
          </w:tcPr>
          <w:p w14:paraId="0C58CD45" w14:textId="1973765F" w:rsidR="00044153" w:rsidRPr="00750CE2" w:rsidRDefault="00044153" w:rsidP="00044153">
            <w:pPr>
              <w:jc w:val="right"/>
              <w:rPr>
                <w:rFonts w:ascii="Arial" w:hAnsi="Arial" w:cs="Arial"/>
                <w:sz w:val="22"/>
                <w:szCs w:val="22"/>
              </w:rPr>
            </w:pPr>
            <w:r w:rsidRPr="00750CE2">
              <w:rPr>
                <w:rFonts w:ascii="Arial" w:hAnsi="Arial" w:cs="Arial"/>
                <w:sz w:val="22"/>
                <w:szCs w:val="22"/>
              </w:rPr>
              <w:t>1,983</w:t>
            </w:r>
          </w:p>
        </w:tc>
        <w:tc>
          <w:tcPr>
            <w:tcW w:w="1669" w:type="dxa"/>
            <w:tcBorders>
              <w:top w:val="nil"/>
              <w:left w:val="nil"/>
              <w:bottom w:val="nil"/>
              <w:right w:val="nil"/>
            </w:tcBorders>
            <w:shd w:val="clear" w:color="000000" w:fill="FFFFFF"/>
            <w:noWrap/>
            <w:vAlign w:val="center"/>
          </w:tcPr>
          <w:p w14:paraId="45C77AA0" w14:textId="061B4452" w:rsidR="00044153" w:rsidRPr="00750CE2" w:rsidRDefault="00044153" w:rsidP="00044153">
            <w:pPr>
              <w:jc w:val="right"/>
              <w:rPr>
                <w:rFonts w:ascii="Arial" w:hAnsi="Arial" w:cs="Arial"/>
                <w:sz w:val="22"/>
                <w:szCs w:val="22"/>
              </w:rPr>
            </w:pPr>
            <w:r w:rsidRPr="00750CE2">
              <w:rPr>
                <w:rFonts w:ascii="Arial" w:hAnsi="Arial" w:cs="Arial"/>
                <w:sz w:val="22"/>
                <w:szCs w:val="22"/>
              </w:rPr>
              <w:t>(6,082)</w:t>
            </w:r>
          </w:p>
        </w:tc>
        <w:tc>
          <w:tcPr>
            <w:tcW w:w="1669" w:type="dxa"/>
            <w:tcBorders>
              <w:top w:val="nil"/>
              <w:left w:val="nil"/>
              <w:bottom w:val="nil"/>
              <w:right w:val="nil"/>
            </w:tcBorders>
            <w:shd w:val="clear" w:color="000000" w:fill="FFFFFF"/>
            <w:noWrap/>
            <w:vAlign w:val="center"/>
          </w:tcPr>
          <w:p w14:paraId="10B82C90" w14:textId="30CF4A87"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(15,012)</w:t>
            </w:r>
          </w:p>
        </w:tc>
      </w:tr>
      <w:tr w:rsidR="00467130" w:rsidRPr="00467130" w14:paraId="5CA2E880" w14:textId="77777777" w:rsidTr="00B53577">
        <w:trPr>
          <w:trHeight w:val="241"/>
        </w:trPr>
        <w:tc>
          <w:tcPr>
            <w:tcW w:w="2820" w:type="dxa"/>
            <w:tcBorders>
              <w:top w:val="nil"/>
              <w:left w:val="nil"/>
              <w:bottom w:val="nil"/>
              <w:right w:val="nil"/>
            </w:tcBorders>
            <w:shd w:val="clear" w:color="000000" w:fill="FFFFFF"/>
            <w:noWrap/>
            <w:vAlign w:val="bottom"/>
          </w:tcPr>
          <w:p w14:paraId="455DE884" w14:textId="688A3236" w:rsidR="00044153" w:rsidRPr="00467130" w:rsidRDefault="00044153" w:rsidP="00044153">
            <w:pPr>
              <w:rPr>
                <w:rFonts w:ascii="Arial" w:hAnsi="Arial" w:cs="Arial"/>
                <w:sz w:val="22"/>
                <w:szCs w:val="22"/>
              </w:rPr>
            </w:pPr>
            <w:r w:rsidRPr="00467130">
              <w:rPr>
                <w:rFonts w:ascii="Arial" w:hAnsi="Arial" w:cs="Arial"/>
                <w:sz w:val="22"/>
                <w:szCs w:val="22"/>
              </w:rPr>
              <w:t>Realised gains/</w:t>
            </w:r>
            <w:r w:rsidR="00D05495">
              <w:rPr>
                <w:rFonts w:ascii="Arial" w:hAnsi="Arial" w:cs="Arial"/>
                <w:sz w:val="22"/>
                <w:szCs w:val="22"/>
              </w:rPr>
              <w:t>(</w:t>
            </w:r>
            <w:r w:rsidRPr="00467130">
              <w:rPr>
                <w:rFonts w:ascii="Arial" w:hAnsi="Arial" w:cs="Arial"/>
                <w:sz w:val="22"/>
                <w:szCs w:val="22"/>
              </w:rPr>
              <w:t>losses</w:t>
            </w:r>
            <w:r w:rsidR="00D05495">
              <w:rPr>
                <w:rFonts w:ascii="Arial" w:hAnsi="Arial" w:cs="Arial"/>
                <w:sz w:val="22"/>
                <w:szCs w:val="22"/>
              </w:rPr>
              <w:t>)</w:t>
            </w:r>
          </w:p>
        </w:tc>
        <w:tc>
          <w:tcPr>
            <w:tcW w:w="1292" w:type="dxa"/>
            <w:tcBorders>
              <w:top w:val="nil"/>
              <w:left w:val="nil"/>
              <w:bottom w:val="single" w:sz="4" w:space="0" w:color="auto"/>
              <w:right w:val="nil"/>
            </w:tcBorders>
            <w:shd w:val="clear" w:color="000000" w:fill="FFFFFF"/>
            <w:noWrap/>
            <w:vAlign w:val="center"/>
          </w:tcPr>
          <w:p w14:paraId="3EADE958" w14:textId="12FD5805" w:rsidR="00044153" w:rsidRPr="00750CE2" w:rsidRDefault="00044153" w:rsidP="00044153">
            <w:pPr>
              <w:jc w:val="right"/>
              <w:rPr>
                <w:rFonts w:ascii="Arial" w:hAnsi="Arial" w:cs="Arial"/>
                <w:sz w:val="22"/>
                <w:szCs w:val="22"/>
              </w:rPr>
            </w:pPr>
            <w:r w:rsidRPr="00750CE2">
              <w:rPr>
                <w:rFonts w:ascii="Arial" w:hAnsi="Arial" w:cs="Arial"/>
                <w:sz w:val="22"/>
                <w:szCs w:val="22"/>
              </w:rPr>
              <w:t>5,708</w:t>
            </w:r>
          </w:p>
        </w:tc>
        <w:tc>
          <w:tcPr>
            <w:tcW w:w="1647" w:type="dxa"/>
            <w:tcBorders>
              <w:top w:val="nil"/>
              <w:left w:val="nil"/>
              <w:bottom w:val="single" w:sz="4" w:space="0" w:color="auto"/>
              <w:right w:val="nil"/>
            </w:tcBorders>
            <w:shd w:val="clear" w:color="000000" w:fill="FFFFFF"/>
            <w:noWrap/>
            <w:vAlign w:val="bottom"/>
          </w:tcPr>
          <w:p w14:paraId="30DDA332" w14:textId="10710334" w:rsidR="00044153" w:rsidRPr="00750CE2" w:rsidRDefault="004B354A" w:rsidP="00044153">
            <w:pPr>
              <w:jc w:val="right"/>
              <w:rPr>
                <w:rFonts w:ascii="Arial" w:hAnsi="Arial" w:cs="Arial"/>
                <w:sz w:val="22"/>
                <w:szCs w:val="22"/>
              </w:rPr>
            </w:pPr>
            <w:r w:rsidRPr="00750CE2">
              <w:rPr>
                <w:rFonts w:ascii="Arial" w:hAnsi="Arial" w:cs="Arial"/>
                <w:sz w:val="22"/>
                <w:szCs w:val="22"/>
              </w:rPr>
              <w:t>-</w:t>
            </w:r>
          </w:p>
        </w:tc>
        <w:tc>
          <w:tcPr>
            <w:tcW w:w="1587" w:type="dxa"/>
            <w:tcBorders>
              <w:top w:val="nil"/>
              <w:left w:val="nil"/>
              <w:bottom w:val="single" w:sz="4" w:space="0" w:color="auto"/>
              <w:right w:val="nil"/>
            </w:tcBorders>
            <w:shd w:val="clear" w:color="000000" w:fill="FFFFFF"/>
            <w:noWrap/>
            <w:vAlign w:val="center"/>
          </w:tcPr>
          <w:p w14:paraId="41CA80EB" w14:textId="6C468E8E" w:rsidR="00044153" w:rsidRPr="00750CE2" w:rsidRDefault="00044153" w:rsidP="00044153">
            <w:pPr>
              <w:jc w:val="right"/>
              <w:rPr>
                <w:rFonts w:ascii="Arial" w:hAnsi="Arial" w:cs="Arial"/>
                <w:sz w:val="22"/>
                <w:szCs w:val="22"/>
              </w:rPr>
            </w:pPr>
            <w:r w:rsidRPr="00750CE2">
              <w:rPr>
                <w:rFonts w:ascii="Arial" w:hAnsi="Arial" w:cs="Arial"/>
                <w:sz w:val="22"/>
                <w:szCs w:val="22"/>
              </w:rPr>
              <w:t>(141)</w:t>
            </w:r>
          </w:p>
        </w:tc>
        <w:tc>
          <w:tcPr>
            <w:tcW w:w="1669" w:type="dxa"/>
            <w:tcBorders>
              <w:top w:val="nil"/>
              <w:left w:val="nil"/>
              <w:bottom w:val="single" w:sz="4" w:space="0" w:color="auto"/>
              <w:right w:val="nil"/>
            </w:tcBorders>
            <w:shd w:val="clear" w:color="000000" w:fill="FFFFFF"/>
            <w:noWrap/>
            <w:vAlign w:val="bottom"/>
          </w:tcPr>
          <w:p w14:paraId="10C0835A" w14:textId="512D112F" w:rsidR="00044153" w:rsidRPr="00750CE2" w:rsidRDefault="00044153" w:rsidP="00044153">
            <w:pPr>
              <w:jc w:val="right"/>
              <w:rPr>
                <w:rFonts w:ascii="Arial" w:hAnsi="Arial" w:cs="Arial"/>
                <w:sz w:val="22"/>
                <w:szCs w:val="22"/>
              </w:rPr>
            </w:pPr>
            <w:r w:rsidRPr="00750CE2">
              <w:rPr>
                <w:rFonts w:ascii="Arial" w:hAnsi="Arial" w:cs="Arial"/>
                <w:sz w:val="22"/>
                <w:szCs w:val="22"/>
              </w:rPr>
              <w:t>-</w:t>
            </w:r>
          </w:p>
        </w:tc>
        <w:tc>
          <w:tcPr>
            <w:tcW w:w="1669" w:type="dxa"/>
            <w:tcBorders>
              <w:top w:val="nil"/>
              <w:left w:val="nil"/>
              <w:bottom w:val="single" w:sz="4" w:space="0" w:color="auto"/>
              <w:right w:val="nil"/>
            </w:tcBorders>
            <w:shd w:val="clear" w:color="000000" w:fill="FFFFFF"/>
            <w:noWrap/>
            <w:vAlign w:val="center"/>
          </w:tcPr>
          <w:p w14:paraId="447BCE37" w14:textId="7A60D56D"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5,567</w:t>
            </w:r>
          </w:p>
        </w:tc>
      </w:tr>
      <w:tr w:rsidR="00467130" w:rsidRPr="00467130" w14:paraId="40187832" w14:textId="77777777" w:rsidTr="00B53577">
        <w:trPr>
          <w:trHeight w:val="241"/>
        </w:trPr>
        <w:tc>
          <w:tcPr>
            <w:tcW w:w="2820" w:type="dxa"/>
            <w:tcBorders>
              <w:top w:val="nil"/>
              <w:left w:val="nil"/>
              <w:bottom w:val="nil"/>
              <w:right w:val="nil"/>
            </w:tcBorders>
            <w:shd w:val="clear" w:color="000000" w:fill="FFFFFF"/>
            <w:noWrap/>
            <w:vAlign w:val="bottom"/>
          </w:tcPr>
          <w:p w14:paraId="6B28522C" w14:textId="200E9DD2" w:rsidR="00044153" w:rsidRPr="00262A51" w:rsidRDefault="00044153" w:rsidP="00044153">
            <w:pPr>
              <w:rPr>
                <w:rFonts w:ascii="Arial" w:hAnsi="Arial" w:cs="Arial"/>
                <w:b/>
                <w:bCs/>
                <w:sz w:val="22"/>
                <w:szCs w:val="22"/>
              </w:rPr>
            </w:pPr>
            <w:r w:rsidRPr="00262A51">
              <w:rPr>
                <w:rFonts w:ascii="Arial" w:hAnsi="Arial" w:cs="Arial"/>
                <w:b/>
                <w:bCs/>
                <w:sz w:val="22"/>
                <w:szCs w:val="22"/>
              </w:rPr>
              <w:t>Market Value 31 March 2024</w:t>
            </w:r>
          </w:p>
        </w:tc>
        <w:tc>
          <w:tcPr>
            <w:tcW w:w="1292" w:type="dxa"/>
            <w:tcBorders>
              <w:top w:val="single" w:sz="4" w:space="0" w:color="auto"/>
              <w:left w:val="nil"/>
              <w:bottom w:val="double" w:sz="4" w:space="0" w:color="auto"/>
              <w:right w:val="nil"/>
            </w:tcBorders>
            <w:shd w:val="clear" w:color="000000" w:fill="FFFFFF"/>
            <w:noWrap/>
            <w:vAlign w:val="center"/>
          </w:tcPr>
          <w:p w14:paraId="04E55A66" w14:textId="4D2FAE6D"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107,474</w:t>
            </w:r>
          </w:p>
        </w:tc>
        <w:tc>
          <w:tcPr>
            <w:tcW w:w="1647" w:type="dxa"/>
            <w:tcBorders>
              <w:top w:val="single" w:sz="4" w:space="0" w:color="auto"/>
              <w:left w:val="nil"/>
              <w:bottom w:val="double" w:sz="4" w:space="0" w:color="auto"/>
              <w:right w:val="nil"/>
            </w:tcBorders>
            <w:shd w:val="clear" w:color="000000" w:fill="FFFFFF"/>
            <w:noWrap/>
            <w:vAlign w:val="center"/>
          </w:tcPr>
          <w:p w14:paraId="6DC9AAA2" w14:textId="6B7A35A1"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86,574</w:t>
            </w:r>
          </w:p>
        </w:tc>
        <w:tc>
          <w:tcPr>
            <w:tcW w:w="1587" w:type="dxa"/>
            <w:tcBorders>
              <w:top w:val="single" w:sz="4" w:space="0" w:color="auto"/>
              <w:left w:val="nil"/>
              <w:bottom w:val="double" w:sz="4" w:space="0" w:color="auto"/>
              <w:right w:val="nil"/>
            </w:tcBorders>
            <w:shd w:val="clear" w:color="000000" w:fill="FFFFFF"/>
            <w:noWrap/>
            <w:vAlign w:val="center"/>
          </w:tcPr>
          <w:p w14:paraId="6CA3EFCD" w14:textId="212258EE"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31,941</w:t>
            </w:r>
          </w:p>
        </w:tc>
        <w:tc>
          <w:tcPr>
            <w:tcW w:w="1669" w:type="dxa"/>
            <w:tcBorders>
              <w:top w:val="single" w:sz="4" w:space="0" w:color="auto"/>
              <w:left w:val="nil"/>
              <w:bottom w:val="double" w:sz="4" w:space="0" w:color="auto"/>
              <w:right w:val="nil"/>
            </w:tcBorders>
            <w:shd w:val="clear" w:color="000000" w:fill="FFFFFF"/>
            <w:noWrap/>
            <w:vAlign w:val="center"/>
          </w:tcPr>
          <w:p w14:paraId="68337B7D" w14:textId="32C16FDE"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47,850</w:t>
            </w:r>
          </w:p>
        </w:tc>
        <w:tc>
          <w:tcPr>
            <w:tcW w:w="1669" w:type="dxa"/>
            <w:tcBorders>
              <w:top w:val="single" w:sz="4" w:space="0" w:color="auto"/>
              <w:left w:val="nil"/>
              <w:bottom w:val="double" w:sz="4" w:space="0" w:color="auto"/>
              <w:right w:val="nil"/>
            </w:tcBorders>
            <w:shd w:val="clear" w:color="000000" w:fill="FFFFFF"/>
            <w:noWrap/>
            <w:vAlign w:val="center"/>
          </w:tcPr>
          <w:p w14:paraId="1A155988" w14:textId="49AF620B" w:rsidR="00044153" w:rsidRPr="00262A51" w:rsidRDefault="00044153" w:rsidP="00044153">
            <w:pPr>
              <w:jc w:val="right"/>
              <w:rPr>
                <w:rFonts w:ascii="Arial" w:hAnsi="Arial" w:cs="Arial"/>
                <w:b/>
                <w:bCs/>
                <w:sz w:val="22"/>
                <w:szCs w:val="22"/>
              </w:rPr>
            </w:pPr>
            <w:r w:rsidRPr="00262A51">
              <w:rPr>
                <w:rFonts w:ascii="Arial" w:hAnsi="Arial" w:cs="Arial"/>
                <w:b/>
                <w:bCs/>
                <w:sz w:val="22"/>
                <w:szCs w:val="22"/>
              </w:rPr>
              <w:t>273,839</w:t>
            </w:r>
          </w:p>
        </w:tc>
      </w:tr>
    </w:tbl>
    <w:p w14:paraId="3721C3AA" w14:textId="77777777" w:rsidR="008F368A" w:rsidRPr="0082134C" w:rsidRDefault="008F368A" w:rsidP="00345CE4">
      <w:pPr>
        <w:pStyle w:val="BodyTextIndent2"/>
        <w:spacing w:after="0" w:line="240" w:lineRule="auto"/>
        <w:ind w:left="0"/>
        <w:jc w:val="both"/>
        <w:rPr>
          <w:rFonts w:ascii="Arial" w:hAnsi="Arial" w:cs="Arial"/>
          <w:b/>
          <w:bCs/>
          <w:sz w:val="22"/>
          <w:szCs w:val="22"/>
        </w:rPr>
      </w:pPr>
    </w:p>
    <w:p w14:paraId="45F1093D" w14:textId="77777777" w:rsidR="00DA6BF1" w:rsidRDefault="00DA6BF1" w:rsidP="00DA6BF1">
      <w:pPr>
        <w:pStyle w:val="BodyTextIndent2"/>
        <w:spacing w:after="0" w:line="240" w:lineRule="auto"/>
        <w:ind w:left="502"/>
        <w:rPr>
          <w:rFonts w:ascii="Arial" w:hAnsi="Arial" w:cs="Arial"/>
          <w:b/>
          <w:sz w:val="22"/>
          <w:szCs w:val="22"/>
        </w:rPr>
      </w:pPr>
    </w:p>
    <w:p w14:paraId="538D7450" w14:textId="4DB57908" w:rsidR="003C45DA" w:rsidRDefault="003C45DA" w:rsidP="00FC1536">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Events after the Reporting Period</w:t>
      </w:r>
    </w:p>
    <w:p w14:paraId="19E84DD5" w14:textId="77777777" w:rsidR="004D3513" w:rsidRPr="008A0A4E" w:rsidRDefault="004D3513" w:rsidP="004D3513">
      <w:pPr>
        <w:pStyle w:val="BodyTextIndent2"/>
        <w:spacing w:after="0" w:line="240" w:lineRule="auto"/>
        <w:ind w:left="502"/>
        <w:rPr>
          <w:rFonts w:ascii="Arial" w:hAnsi="Arial" w:cs="Arial"/>
          <w:b/>
          <w:sz w:val="22"/>
          <w:szCs w:val="22"/>
        </w:rPr>
      </w:pPr>
    </w:p>
    <w:p w14:paraId="58192EA7" w14:textId="7236A899" w:rsidR="007034DB" w:rsidRDefault="00137713" w:rsidP="004D3513">
      <w:pPr>
        <w:pStyle w:val="BodyTextIndent2"/>
        <w:tabs>
          <w:tab w:val="left" w:pos="0"/>
        </w:tabs>
        <w:spacing w:after="0" w:line="240" w:lineRule="auto"/>
        <w:ind w:left="284"/>
        <w:jc w:val="both"/>
        <w:rPr>
          <w:rFonts w:ascii="Arial" w:hAnsi="Arial" w:cs="Arial"/>
          <w:sz w:val="22"/>
          <w:szCs w:val="22"/>
        </w:rPr>
      </w:pPr>
      <w:r>
        <w:rPr>
          <w:rFonts w:ascii="Arial" w:hAnsi="Arial" w:cs="Arial"/>
          <w:sz w:val="22"/>
          <w:szCs w:val="22"/>
        </w:rPr>
        <w:t xml:space="preserve">There were no events after the </w:t>
      </w:r>
      <w:r w:rsidR="00AD1454">
        <w:rPr>
          <w:rFonts w:ascii="Arial" w:hAnsi="Arial" w:cs="Arial"/>
          <w:sz w:val="22"/>
          <w:szCs w:val="22"/>
        </w:rPr>
        <w:t>reporting period.</w:t>
      </w:r>
      <w:r>
        <w:rPr>
          <w:rFonts w:ascii="Arial" w:hAnsi="Arial" w:cs="Arial"/>
          <w:sz w:val="22"/>
          <w:szCs w:val="22"/>
        </w:rPr>
        <w:t xml:space="preserve"> </w:t>
      </w:r>
    </w:p>
    <w:p w14:paraId="6493240C" w14:textId="77777777" w:rsidR="004D3513" w:rsidRDefault="004D3513" w:rsidP="004D3513">
      <w:pPr>
        <w:pStyle w:val="BodyTextIndent2"/>
        <w:tabs>
          <w:tab w:val="left" w:pos="0"/>
        </w:tabs>
        <w:spacing w:after="0" w:line="240" w:lineRule="auto"/>
        <w:ind w:left="284"/>
        <w:jc w:val="both"/>
        <w:rPr>
          <w:rFonts w:ascii="Arial" w:hAnsi="Arial" w:cs="Arial"/>
          <w:sz w:val="22"/>
          <w:szCs w:val="22"/>
        </w:rPr>
      </w:pPr>
    </w:p>
    <w:p w14:paraId="6AA04CC4" w14:textId="77777777" w:rsidR="003C45DA" w:rsidRPr="00C33110" w:rsidRDefault="003C45DA" w:rsidP="00FC1536">
      <w:pPr>
        <w:pStyle w:val="BodyTextIndent2"/>
        <w:numPr>
          <w:ilvl w:val="0"/>
          <w:numId w:val="24"/>
        </w:numPr>
        <w:tabs>
          <w:tab w:val="left" w:pos="0"/>
        </w:tabs>
        <w:spacing w:after="0" w:line="20" w:lineRule="atLeast"/>
        <w:ind w:left="502"/>
        <w:jc w:val="both"/>
        <w:rPr>
          <w:rFonts w:ascii="Arial" w:hAnsi="Arial" w:cs="Arial"/>
          <w:b/>
          <w:sz w:val="22"/>
          <w:szCs w:val="22"/>
        </w:rPr>
      </w:pPr>
      <w:r w:rsidRPr="00C33110">
        <w:rPr>
          <w:rFonts w:ascii="Arial" w:hAnsi="Arial" w:cs="Arial"/>
          <w:b/>
          <w:sz w:val="22"/>
          <w:szCs w:val="22"/>
        </w:rPr>
        <w:t>Related parties</w:t>
      </w:r>
    </w:p>
    <w:p w14:paraId="22ADE933" w14:textId="77777777" w:rsidR="003C45DA" w:rsidRPr="00C33110" w:rsidRDefault="003C45DA" w:rsidP="005B6827">
      <w:pPr>
        <w:pStyle w:val="BodyTextIndent2"/>
        <w:spacing w:after="0" w:line="20" w:lineRule="atLeast"/>
        <w:ind w:left="142"/>
        <w:jc w:val="both"/>
        <w:rPr>
          <w:rFonts w:ascii="Arial" w:hAnsi="Arial" w:cs="Arial"/>
          <w:b/>
          <w:sz w:val="22"/>
          <w:szCs w:val="22"/>
        </w:rPr>
      </w:pPr>
    </w:p>
    <w:p w14:paraId="0706FCD7" w14:textId="47752A6B" w:rsidR="00C56AD1" w:rsidRDefault="003C45DA" w:rsidP="00C56AD1">
      <w:pPr>
        <w:pStyle w:val="BodyTextIndent2"/>
        <w:spacing w:after="0" w:line="20" w:lineRule="atLeast"/>
        <w:ind w:left="284"/>
        <w:jc w:val="both"/>
        <w:rPr>
          <w:rFonts w:ascii="Arial" w:hAnsi="Arial" w:cs="Arial"/>
          <w:color w:val="000000"/>
          <w:sz w:val="22"/>
          <w:szCs w:val="22"/>
        </w:rPr>
      </w:pPr>
      <w:r w:rsidRPr="001F7010">
        <w:rPr>
          <w:rFonts w:ascii="Arial" w:hAnsi="Arial" w:cs="Arial"/>
          <w:sz w:val="22"/>
          <w:szCs w:val="22"/>
        </w:rPr>
        <w:t xml:space="preserve">The Fund is a related party of the Council as the following transactions are controlled by the Council. </w:t>
      </w:r>
      <w:r w:rsidRPr="001F7010">
        <w:rPr>
          <w:rFonts w:ascii="Arial" w:hAnsi="Arial" w:cs="Arial"/>
          <w:color w:val="000000"/>
          <w:sz w:val="22"/>
          <w:szCs w:val="22"/>
        </w:rPr>
        <w:t xml:space="preserve">Pension administration and investment management </w:t>
      </w:r>
      <w:r w:rsidRPr="00AA0D6E">
        <w:rPr>
          <w:rFonts w:ascii="Arial" w:hAnsi="Arial" w:cs="Arial"/>
          <w:color w:val="000000"/>
          <w:sz w:val="22"/>
          <w:szCs w:val="22"/>
        </w:rPr>
        <w:t xml:space="preserve">costs </w:t>
      </w:r>
      <w:r w:rsidRPr="00012487">
        <w:rPr>
          <w:rFonts w:ascii="Arial" w:hAnsi="Arial" w:cs="Arial"/>
          <w:color w:val="000000"/>
          <w:sz w:val="22"/>
          <w:szCs w:val="22"/>
        </w:rPr>
        <w:t xml:space="preserve">of </w:t>
      </w:r>
      <w:r w:rsidRPr="00B50BB6">
        <w:rPr>
          <w:rFonts w:ascii="Arial" w:hAnsi="Arial" w:cs="Arial"/>
          <w:b/>
          <w:color w:val="000000"/>
          <w:sz w:val="22"/>
          <w:szCs w:val="22"/>
        </w:rPr>
        <w:t>£</w:t>
      </w:r>
      <w:r w:rsidR="00B50BB6" w:rsidRPr="00B50BB6">
        <w:rPr>
          <w:rFonts w:ascii="Arial" w:hAnsi="Arial" w:cs="Arial"/>
          <w:b/>
          <w:color w:val="000000"/>
          <w:sz w:val="22"/>
          <w:szCs w:val="22"/>
        </w:rPr>
        <w:t>821.9</w:t>
      </w:r>
      <w:r w:rsidRPr="00B50BB6">
        <w:rPr>
          <w:rFonts w:ascii="Arial" w:hAnsi="Arial" w:cs="Arial"/>
          <w:b/>
          <w:color w:val="000000"/>
          <w:sz w:val="22"/>
          <w:szCs w:val="22"/>
        </w:rPr>
        <w:t>k</w:t>
      </w:r>
      <w:r w:rsidRPr="001F7010">
        <w:rPr>
          <w:rFonts w:ascii="Arial" w:hAnsi="Arial" w:cs="Arial"/>
          <w:color w:val="000000"/>
          <w:sz w:val="22"/>
          <w:szCs w:val="22"/>
        </w:rPr>
        <w:t xml:space="preserve"> (20</w:t>
      </w:r>
      <w:r w:rsidR="00A13D7D" w:rsidRPr="001F7010">
        <w:rPr>
          <w:rFonts w:ascii="Arial" w:hAnsi="Arial" w:cs="Arial"/>
          <w:color w:val="000000"/>
          <w:sz w:val="22"/>
          <w:szCs w:val="22"/>
        </w:rPr>
        <w:t>2</w:t>
      </w:r>
      <w:r w:rsidR="00D158BF">
        <w:rPr>
          <w:rFonts w:ascii="Arial" w:hAnsi="Arial" w:cs="Arial"/>
          <w:color w:val="000000"/>
          <w:sz w:val="22"/>
          <w:szCs w:val="22"/>
        </w:rPr>
        <w:t>3</w:t>
      </w:r>
      <w:r w:rsidR="00A13D7D" w:rsidRPr="001F7010">
        <w:rPr>
          <w:rFonts w:ascii="Arial" w:hAnsi="Arial" w:cs="Arial"/>
          <w:color w:val="000000"/>
          <w:sz w:val="22"/>
          <w:szCs w:val="22"/>
        </w:rPr>
        <w:t>/2</w:t>
      </w:r>
      <w:r w:rsidR="00D158BF">
        <w:rPr>
          <w:rFonts w:ascii="Arial" w:hAnsi="Arial" w:cs="Arial"/>
          <w:color w:val="000000"/>
          <w:sz w:val="22"/>
          <w:szCs w:val="22"/>
        </w:rPr>
        <w:t>4</w:t>
      </w:r>
      <w:r w:rsidRPr="001F7010">
        <w:rPr>
          <w:rFonts w:ascii="Arial" w:hAnsi="Arial" w:cs="Arial"/>
          <w:color w:val="000000"/>
          <w:sz w:val="22"/>
          <w:szCs w:val="22"/>
        </w:rPr>
        <w:t>: £</w:t>
      </w:r>
      <w:r w:rsidR="00B50BB6">
        <w:rPr>
          <w:rFonts w:ascii="Arial" w:hAnsi="Arial" w:cs="Arial"/>
          <w:color w:val="000000"/>
          <w:sz w:val="22"/>
          <w:szCs w:val="22"/>
        </w:rPr>
        <w:t>539.6</w:t>
      </w:r>
      <w:r w:rsidRPr="001F7010">
        <w:rPr>
          <w:rFonts w:ascii="Arial" w:hAnsi="Arial" w:cs="Arial"/>
          <w:color w:val="000000"/>
          <w:sz w:val="22"/>
          <w:szCs w:val="22"/>
        </w:rPr>
        <w:t>k) are charged by the Council.</w:t>
      </w:r>
      <w:r w:rsidR="00F60021">
        <w:rPr>
          <w:rFonts w:ascii="Arial" w:hAnsi="Arial" w:cs="Arial"/>
          <w:color w:val="000000"/>
          <w:sz w:val="22"/>
          <w:szCs w:val="22"/>
        </w:rPr>
        <w:t xml:space="preserve"> </w:t>
      </w:r>
    </w:p>
    <w:p w14:paraId="44F83093" w14:textId="77777777" w:rsidR="00DD0CA6" w:rsidRDefault="00DD0CA6" w:rsidP="00C56AD1">
      <w:pPr>
        <w:jc w:val="both"/>
        <w:rPr>
          <w:rFonts w:ascii="Arial" w:hAnsi="Arial" w:cs="Arial"/>
          <w:color w:val="000000"/>
          <w:sz w:val="22"/>
          <w:szCs w:val="22"/>
        </w:rPr>
      </w:pPr>
    </w:p>
    <w:p w14:paraId="321E7BA1" w14:textId="59D2C2EF" w:rsidR="00C56AD1" w:rsidRDefault="00C56AD1" w:rsidP="00DF0A56">
      <w:pPr>
        <w:ind w:left="284"/>
        <w:jc w:val="both"/>
        <w:rPr>
          <w:rFonts w:ascii="Arial" w:hAnsi="Arial" w:cs="Arial"/>
          <w:color w:val="000000"/>
          <w:sz w:val="22"/>
          <w:szCs w:val="22"/>
        </w:rPr>
      </w:pPr>
      <w:r w:rsidRPr="00676058">
        <w:rPr>
          <w:rFonts w:ascii="Arial" w:hAnsi="Arial" w:cs="Arial"/>
          <w:color w:val="000000"/>
          <w:sz w:val="22"/>
          <w:szCs w:val="22"/>
        </w:rPr>
        <w:t xml:space="preserve">The Council is also the single largest employer of members of the Fund and </w:t>
      </w:r>
      <w:r w:rsidRPr="003C1D37">
        <w:rPr>
          <w:rFonts w:ascii="Arial" w:hAnsi="Arial" w:cs="Arial"/>
          <w:color w:val="000000"/>
          <w:sz w:val="22"/>
          <w:szCs w:val="22"/>
        </w:rPr>
        <w:t xml:space="preserve">contributed </w:t>
      </w:r>
      <w:r w:rsidRPr="0001604B">
        <w:rPr>
          <w:rFonts w:ascii="Arial" w:hAnsi="Arial" w:cs="Arial"/>
          <w:b/>
          <w:color w:val="000000"/>
          <w:sz w:val="22"/>
          <w:szCs w:val="22"/>
        </w:rPr>
        <w:t>£3</w:t>
      </w:r>
      <w:r w:rsidR="0001604B" w:rsidRPr="0001604B">
        <w:rPr>
          <w:rFonts w:ascii="Arial" w:hAnsi="Arial" w:cs="Arial"/>
          <w:b/>
          <w:color w:val="000000"/>
          <w:sz w:val="22"/>
          <w:szCs w:val="22"/>
        </w:rPr>
        <w:t>2.8</w:t>
      </w:r>
      <w:r w:rsidRPr="0001604B">
        <w:rPr>
          <w:rFonts w:ascii="Arial" w:hAnsi="Arial" w:cs="Arial"/>
          <w:b/>
          <w:color w:val="000000"/>
          <w:sz w:val="22"/>
          <w:szCs w:val="22"/>
        </w:rPr>
        <w:t>m</w:t>
      </w:r>
      <w:r w:rsidRPr="003C1D37">
        <w:rPr>
          <w:rFonts w:ascii="Arial" w:hAnsi="Arial" w:cs="Arial"/>
          <w:color w:val="000000"/>
          <w:sz w:val="22"/>
          <w:szCs w:val="22"/>
        </w:rPr>
        <w:t xml:space="preserve"> to the</w:t>
      </w:r>
      <w:r w:rsidRPr="00676058">
        <w:rPr>
          <w:rFonts w:ascii="Arial" w:hAnsi="Arial" w:cs="Arial"/>
          <w:color w:val="000000"/>
          <w:sz w:val="22"/>
          <w:szCs w:val="22"/>
        </w:rPr>
        <w:t xml:space="preserve"> Fund in </w:t>
      </w:r>
      <w:r>
        <w:rPr>
          <w:rFonts w:ascii="Arial" w:hAnsi="Arial" w:cs="Arial"/>
          <w:color w:val="000000"/>
          <w:sz w:val="22"/>
          <w:szCs w:val="22"/>
        </w:rPr>
        <w:t>202</w:t>
      </w:r>
      <w:r w:rsidR="0001604B">
        <w:rPr>
          <w:rFonts w:ascii="Arial" w:hAnsi="Arial" w:cs="Arial"/>
          <w:color w:val="000000"/>
          <w:sz w:val="22"/>
          <w:szCs w:val="22"/>
        </w:rPr>
        <w:t>4</w:t>
      </w:r>
      <w:r>
        <w:rPr>
          <w:rFonts w:ascii="Arial" w:hAnsi="Arial" w:cs="Arial"/>
          <w:color w:val="000000"/>
          <w:sz w:val="22"/>
          <w:szCs w:val="22"/>
        </w:rPr>
        <w:t>/2</w:t>
      </w:r>
      <w:r w:rsidR="0001604B">
        <w:rPr>
          <w:rFonts w:ascii="Arial" w:hAnsi="Arial" w:cs="Arial"/>
          <w:color w:val="000000"/>
          <w:sz w:val="22"/>
          <w:szCs w:val="22"/>
        </w:rPr>
        <w:t>5</w:t>
      </w:r>
      <w:r>
        <w:rPr>
          <w:rFonts w:ascii="Arial" w:hAnsi="Arial" w:cs="Arial"/>
          <w:color w:val="000000"/>
          <w:sz w:val="22"/>
          <w:szCs w:val="22"/>
        </w:rPr>
        <w:t xml:space="preserve"> </w:t>
      </w:r>
      <w:r w:rsidRPr="00676058">
        <w:rPr>
          <w:rFonts w:ascii="Arial" w:hAnsi="Arial" w:cs="Arial"/>
          <w:color w:val="000000"/>
          <w:sz w:val="22"/>
          <w:szCs w:val="22"/>
        </w:rPr>
        <w:t>(20</w:t>
      </w:r>
      <w:r>
        <w:rPr>
          <w:rFonts w:ascii="Arial" w:hAnsi="Arial" w:cs="Arial"/>
          <w:color w:val="000000"/>
          <w:sz w:val="22"/>
          <w:szCs w:val="22"/>
        </w:rPr>
        <w:t>2</w:t>
      </w:r>
      <w:r w:rsidR="002C3B5A">
        <w:rPr>
          <w:rFonts w:ascii="Arial" w:hAnsi="Arial" w:cs="Arial"/>
          <w:color w:val="000000"/>
          <w:sz w:val="22"/>
          <w:szCs w:val="22"/>
        </w:rPr>
        <w:t>3</w:t>
      </w:r>
      <w:r>
        <w:rPr>
          <w:rFonts w:ascii="Arial" w:hAnsi="Arial" w:cs="Arial"/>
          <w:color w:val="000000"/>
          <w:sz w:val="22"/>
          <w:szCs w:val="22"/>
        </w:rPr>
        <w:t>/2</w:t>
      </w:r>
      <w:r w:rsidR="002C3B5A">
        <w:rPr>
          <w:rFonts w:ascii="Arial" w:hAnsi="Arial" w:cs="Arial"/>
          <w:color w:val="000000"/>
          <w:sz w:val="22"/>
          <w:szCs w:val="22"/>
        </w:rPr>
        <w:t>4</w:t>
      </w:r>
      <w:r w:rsidRPr="00676058">
        <w:rPr>
          <w:rFonts w:ascii="Arial" w:hAnsi="Arial" w:cs="Arial"/>
          <w:color w:val="000000"/>
          <w:sz w:val="22"/>
          <w:szCs w:val="22"/>
        </w:rPr>
        <w:t xml:space="preserve"> £</w:t>
      </w:r>
      <w:r>
        <w:rPr>
          <w:rFonts w:ascii="Arial" w:hAnsi="Arial" w:cs="Arial"/>
          <w:color w:val="000000"/>
          <w:sz w:val="22"/>
          <w:szCs w:val="22"/>
        </w:rPr>
        <w:t>3</w:t>
      </w:r>
      <w:r w:rsidR="002C3B5A">
        <w:rPr>
          <w:rFonts w:ascii="Arial" w:hAnsi="Arial" w:cs="Arial"/>
          <w:color w:val="000000"/>
          <w:sz w:val="22"/>
          <w:szCs w:val="22"/>
        </w:rPr>
        <w:t>1.5</w:t>
      </w:r>
      <w:r w:rsidRPr="00676058">
        <w:rPr>
          <w:rFonts w:ascii="Arial" w:hAnsi="Arial" w:cs="Arial"/>
          <w:color w:val="000000"/>
          <w:sz w:val="22"/>
          <w:szCs w:val="22"/>
        </w:rPr>
        <w:t>m). All monies owing to and due from the Fund were paid in year.</w:t>
      </w:r>
    </w:p>
    <w:p w14:paraId="6BC57F27" w14:textId="77777777" w:rsidR="0018299A" w:rsidRDefault="0018299A" w:rsidP="00DF0A56">
      <w:pPr>
        <w:ind w:left="284"/>
        <w:jc w:val="both"/>
        <w:rPr>
          <w:rFonts w:ascii="Arial" w:hAnsi="Arial" w:cs="Arial"/>
          <w:color w:val="000000"/>
          <w:sz w:val="22"/>
          <w:szCs w:val="22"/>
        </w:rPr>
      </w:pPr>
    </w:p>
    <w:p w14:paraId="04672C37" w14:textId="564F221F" w:rsidR="0018299A" w:rsidRPr="0018299A" w:rsidRDefault="0018299A" w:rsidP="00DF0A56">
      <w:pPr>
        <w:ind w:left="284"/>
        <w:jc w:val="both"/>
        <w:rPr>
          <w:rFonts w:ascii="Arial" w:hAnsi="Arial" w:cs="Arial"/>
          <w:color w:val="000000"/>
          <w:sz w:val="22"/>
          <w:szCs w:val="22"/>
        </w:rPr>
      </w:pPr>
      <w:r w:rsidRPr="0018299A">
        <w:rPr>
          <w:rFonts w:ascii="Arial" w:hAnsi="Arial" w:cs="Arial"/>
          <w:color w:val="000000"/>
          <w:sz w:val="22"/>
          <w:szCs w:val="22"/>
        </w:rPr>
        <w:t>The Members of the Committee do not receive fees in relation to their specific responsibilities as Members of the Committee</w:t>
      </w:r>
      <w:r>
        <w:rPr>
          <w:rFonts w:ascii="Arial" w:hAnsi="Arial" w:cs="Arial"/>
          <w:color w:val="000000"/>
          <w:sz w:val="22"/>
          <w:szCs w:val="22"/>
        </w:rPr>
        <w:t xml:space="preserve">. </w:t>
      </w:r>
      <w:r w:rsidR="0068568B" w:rsidRPr="0068568B">
        <w:rPr>
          <w:rFonts w:ascii="Arial" w:hAnsi="Arial" w:cs="Arial"/>
          <w:color w:val="000000"/>
          <w:sz w:val="22"/>
          <w:szCs w:val="22"/>
        </w:rPr>
        <w:t>Of the Committee members there are no active members of the LGPS and one deferred member</w:t>
      </w:r>
      <w:r w:rsidR="0068568B">
        <w:rPr>
          <w:rFonts w:ascii="Arial" w:hAnsi="Arial" w:cs="Arial"/>
          <w:color w:val="000000"/>
          <w:sz w:val="22"/>
          <w:szCs w:val="22"/>
        </w:rPr>
        <w:t xml:space="preserve">. </w:t>
      </w:r>
    </w:p>
    <w:p w14:paraId="70CC3619" w14:textId="77777777" w:rsidR="003C45DA" w:rsidRPr="008A0A4E" w:rsidRDefault="003C45DA" w:rsidP="000B4FE3">
      <w:pPr>
        <w:pStyle w:val="BodyTextIndent2"/>
        <w:spacing w:after="0" w:line="20" w:lineRule="atLeast"/>
        <w:ind w:left="0"/>
        <w:jc w:val="both"/>
        <w:rPr>
          <w:rFonts w:ascii="Arial" w:hAnsi="Arial" w:cs="Arial"/>
          <w:b/>
          <w:sz w:val="22"/>
          <w:szCs w:val="22"/>
        </w:rPr>
      </w:pPr>
    </w:p>
    <w:p w14:paraId="6544435B" w14:textId="715AE756" w:rsidR="003C45DA" w:rsidRPr="008A0A4E" w:rsidRDefault="003C45DA" w:rsidP="00FC1536">
      <w:pPr>
        <w:pStyle w:val="BodyTextIndent2"/>
        <w:numPr>
          <w:ilvl w:val="0"/>
          <w:numId w:val="24"/>
        </w:numPr>
        <w:spacing w:after="0" w:line="20" w:lineRule="atLeast"/>
        <w:ind w:left="502"/>
        <w:rPr>
          <w:rFonts w:ascii="Arial" w:hAnsi="Arial" w:cs="Arial"/>
          <w:b/>
          <w:sz w:val="22"/>
          <w:szCs w:val="22"/>
        </w:rPr>
      </w:pPr>
      <w:r w:rsidRPr="008A0A4E">
        <w:rPr>
          <w:rFonts w:ascii="Arial" w:hAnsi="Arial" w:cs="Arial"/>
          <w:b/>
          <w:sz w:val="22"/>
          <w:szCs w:val="22"/>
        </w:rPr>
        <w:t>Contingent Asset and liabilities</w:t>
      </w:r>
    </w:p>
    <w:p w14:paraId="06D8F804" w14:textId="77777777" w:rsidR="003C45DA" w:rsidRPr="008A0A4E" w:rsidRDefault="003C45DA" w:rsidP="003C45DA">
      <w:pPr>
        <w:pStyle w:val="BodyTextIndent2"/>
        <w:spacing w:after="0" w:line="20" w:lineRule="atLeast"/>
        <w:ind w:left="0"/>
        <w:rPr>
          <w:rFonts w:ascii="Arial" w:hAnsi="Arial" w:cs="Arial"/>
          <w:sz w:val="22"/>
          <w:szCs w:val="22"/>
        </w:rPr>
      </w:pPr>
    </w:p>
    <w:p w14:paraId="4CAF71E4" w14:textId="5B393C3F" w:rsidR="003C45DA" w:rsidRDefault="003C45DA" w:rsidP="004D3513">
      <w:pPr>
        <w:spacing w:line="20" w:lineRule="atLeast"/>
        <w:ind w:left="284"/>
        <w:jc w:val="both"/>
        <w:rPr>
          <w:rFonts w:ascii="Arial" w:hAnsi="Arial" w:cs="Arial"/>
          <w:sz w:val="22"/>
          <w:szCs w:val="22"/>
        </w:rPr>
      </w:pPr>
      <w:r w:rsidRPr="008A0A4E">
        <w:rPr>
          <w:rFonts w:ascii="Arial" w:hAnsi="Arial" w:cs="Arial"/>
          <w:sz w:val="22"/>
          <w:szCs w:val="22"/>
        </w:rPr>
        <w:t xml:space="preserve">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042EB9" w:rsidRPr="008A0A4E">
        <w:rPr>
          <w:rFonts w:ascii="Arial" w:hAnsi="Arial" w:cs="Arial"/>
          <w:sz w:val="22"/>
          <w:szCs w:val="22"/>
        </w:rPr>
        <w:t>2</w:t>
      </w:r>
      <w:r w:rsidR="00417DE4">
        <w:rPr>
          <w:rFonts w:ascii="Arial" w:hAnsi="Arial" w:cs="Arial"/>
          <w:sz w:val="22"/>
          <w:szCs w:val="22"/>
        </w:rPr>
        <w:t>5</w:t>
      </w:r>
      <w:r w:rsidRPr="008A0A4E">
        <w:rPr>
          <w:rFonts w:ascii="Arial" w:hAnsi="Arial" w:cs="Arial"/>
          <w:sz w:val="22"/>
          <w:szCs w:val="22"/>
        </w:rPr>
        <w:t xml:space="preserve"> there were no contingent assets </w:t>
      </w:r>
      <w:r w:rsidR="00EB09A3">
        <w:rPr>
          <w:rFonts w:ascii="Arial" w:hAnsi="Arial" w:cs="Arial"/>
          <w:sz w:val="22"/>
          <w:szCs w:val="22"/>
        </w:rPr>
        <w:t xml:space="preserve">but there is one potential </w:t>
      </w:r>
      <w:r w:rsidR="00D933E6">
        <w:rPr>
          <w:rFonts w:ascii="Arial" w:hAnsi="Arial" w:cs="Arial"/>
          <w:sz w:val="22"/>
          <w:szCs w:val="22"/>
        </w:rPr>
        <w:t xml:space="preserve">contingent liability detailed below. </w:t>
      </w:r>
    </w:p>
    <w:p w14:paraId="0FDB9F0B" w14:textId="77777777" w:rsidR="00026158" w:rsidRDefault="00026158" w:rsidP="004D3513">
      <w:pPr>
        <w:spacing w:line="20" w:lineRule="atLeast"/>
        <w:ind w:left="284"/>
        <w:jc w:val="both"/>
        <w:rPr>
          <w:rFonts w:ascii="Arial" w:hAnsi="Arial" w:cs="Arial"/>
          <w:sz w:val="22"/>
          <w:szCs w:val="22"/>
        </w:rPr>
      </w:pPr>
    </w:p>
    <w:p w14:paraId="65782E75" w14:textId="77777777" w:rsidR="00742CE0" w:rsidRDefault="00742CE0" w:rsidP="004D3513">
      <w:pPr>
        <w:spacing w:line="20" w:lineRule="atLeast"/>
        <w:ind w:left="284"/>
        <w:jc w:val="both"/>
        <w:rPr>
          <w:rFonts w:ascii="Arial" w:hAnsi="Arial" w:cs="Arial"/>
          <w:sz w:val="22"/>
          <w:szCs w:val="22"/>
        </w:rPr>
      </w:pPr>
    </w:p>
    <w:p w14:paraId="23626320" w14:textId="77777777" w:rsidR="00742CE0" w:rsidRPr="00083098" w:rsidRDefault="00742CE0" w:rsidP="00D933E6">
      <w:pPr>
        <w:pStyle w:val="Default"/>
        <w:ind w:firstLine="284"/>
        <w:jc w:val="both"/>
        <w:rPr>
          <w:b/>
          <w:bCs/>
          <w:sz w:val="22"/>
          <w:szCs w:val="22"/>
        </w:rPr>
      </w:pPr>
      <w:r w:rsidRPr="00083098">
        <w:rPr>
          <w:b/>
          <w:bCs/>
          <w:sz w:val="22"/>
          <w:szCs w:val="22"/>
        </w:rPr>
        <w:t>The Virgin Media Case</w:t>
      </w:r>
    </w:p>
    <w:p w14:paraId="10819A98" w14:textId="77777777" w:rsidR="00742CE0" w:rsidRPr="00083098" w:rsidRDefault="00742CE0" w:rsidP="00742CE0">
      <w:pPr>
        <w:pStyle w:val="Default"/>
        <w:ind w:left="426" w:hanging="426"/>
        <w:jc w:val="both"/>
        <w:rPr>
          <w:sz w:val="22"/>
          <w:szCs w:val="22"/>
        </w:rPr>
      </w:pPr>
    </w:p>
    <w:p w14:paraId="2F4C7648" w14:textId="775B6B17" w:rsidR="00742CE0" w:rsidRDefault="00742CE0" w:rsidP="00511A87">
      <w:pPr>
        <w:pStyle w:val="Default"/>
        <w:ind w:left="284"/>
        <w:jc w:val="both"/>
        <w:rPr>
          <w:sz w:val="22"/>
          <w:szCs w:val="22"/>
        </w:rPr>
      </w:pPr>
      <w:r w:rsidRPr="00083098">
        <w:rPr>
          <w:sz w:val="22"/>
          <w:szCs w:val="22"/>
        </w:rPr>
        <w:t>The Court of Appeal has upheld the High Court's decision in Virgin Media Ltd v NTL Pension Trustees II Ltd and Others ("the Virgin Media case"), so the Virgin Media issues remain for defined benefit ("DB") pension schemes. The Government Actuary’s Department and HM Treasury are currently investigating the consequences of the legal case on the LGPS.  At this point in time there remains insufficient information to assess the potential impact on Pension Funds.</w:t>
      </w:r>
      <w:r>
        <w:rPr>
          <w:sz w:val="22"/>
          <w:szCs w:val="22"/>
        </w:rPr>
        <w:t xml:space="preserve"> </w:t>
      </w:r>
    </w:p>
    <w:p w14:paraId="0F0EE8D2" w14:textId="77777777" w:rsidR="008A5809" w:rsidRPr="008A0A4E" w:rsidRDefault="008A5809" w:rsidP="003C45DA">
      <w:pPr>
        <w:spacing w:line="20" w:lineRule="atLeast"/>
        <w:ind w:left="426" w:hanging="426"/>
        <w:jc w:val="both"/>
        <w:rPr>
          <w:rFonts w:ascii="Arial" w:hAnsi="Arial" w:cs="Arial"/>
          <w:sz w:val="22"/>
          <w:szCs w:val="22"/>
        </w:rPr>
      </w:pPr>
    </w:p>
    <w:p w14:paraId="023610D4" w14:textId="77777777" w:rsidR="003C45DA" w:rsidRPr="008A0A4E" w:rsidRDefault="003C45DA" w:rsidP="00FC1536">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Compensation of key management personnel</w:t>
      </w:r>
    </w:p>
    <w:p w14:paraId="6F305754" w14:textId="77777777" w:rsidR="003C45DA" w:rsidRPr="008A0A4E" w:rsidRDefault="003C45DA" w:rsidP="003C45DA">
      <w:pPr>
        <w:pStyle w:val="BodyTextIndent2"/>
        <w:spacing w:after="0" w:line="240" w:lineRule="auto"/>
        <w:rPr>
          <w:rFonts w:ascii="Arial" w:hAnsi="Arial" w:cs="Arial"/>
          <w:b/>
          <w:sz w:val="22"/>
          <w:szCs w:val="22"/>
        </w:rPr>
      </w:pPr>
    </w:p>
    <w:p w14:paraId="2C9318D7" w14:textId="558C7785" w:rsidR="003C45DA" w:rsidRDefault="003C45DA" w:rsidP="005B6827">
      <w:pPr>
        <w:pStyle w:val="BodyTextIndent2"/>
        <w:spacing w:after="0" w:line="240" w:lineRule="auto"/>
        <w:ind w:left="284"/>
        <w:jc w:val="both"/>
        <w:rPr>
          <w:rFonts w:ascii="Arial" w:hAnsi="Arial" w:cs="Arial"/>
          <w:sz w:val="22"/>
          <w:szCs w:val="22"/>
        </w:rPr>
      </w:pPr>
      <w:r w:rsidRPr="008A0A4E">
        <w:rPr>
          <w:rFonts w:ascii="Arial" w:hAnsi="Arial" w:cs="Arial"/>
          <w:sz w:val="22"/>
          <w:szCs w:val="22"/>
        </w:rPr>
        <w:t xml:space="preserve">Compensation of key management personnel, including the </w:t>
      </w:r>
      <w:r w:rsidR="00CF087D">
        <w:rPr>
          <w:rFonts w:ascii="Arial" w:hAnsi="Arial" w:cs="Arial"/>
          <w:sz w:val="22"/>
          <w:szCs w:val="22"/>
        </w:rPr>
        <w:t>Head of</w:t>
      </w:r>
      <w:r w:rsidR="003238E8" w:rsidRPr="003238E8">
        <w:rPr>
          <w:rFonts w:ascii="Arial" w:hAnsi="Arial" w:cs="Arial"/>
          <w:sz w:val="22"/>
          <w:szCs w:val="22"/>
        </w:rPr>
        <w:t xml:space="preserve"> Investment</w:t>
      </w:r>
      <w:r w:rsidR="004C3DA9">
        <w:rPr>
          <w:rFonts w:ascii="Arial" w:hAnsi="Arial" w:cs="Arial"/>
          <w:sz w:val="22"/>
          <w:szCs w:val="22"/>
        </w:rPr>
        <w:t xml:space="preserve">s, </w:t>
      </w:r>
      <w:r w:rsidRPr="008A0A4E">
        <w:rPr>
          <w:rFonts w:ascii="Arial" w:hAnsi="Arial" w:cs="Arial"/>
          <w:sz w:val="22"/>
          <w:szCs w:val="22"/>
        </w:rPr>
        <w:t>Pension Fund Accountant and Senior Treasury Accountant, charged to the Fund are provided below:</w:t>
      </w:r>
    </w:p>
    <w:p w14:paraId="4ED73682" w14:textId="77777777" w:rsidR="004A7AF6" w:rsidRDefault="004A7AF6" w:rsidP="005B6827">
      <w:pPr>
        <w:pStyle w:val="BodyTextIndent2"/>
        <w:spacing w:after="0" w:line="240" w:lineRule="auto"/>
        <w:ind w:left="284"/>
        <w:jc w:val="both"/>
        <w:rPr>
          <w:rFonts w:ascii="Arial" w:hAnsi="Arial" w:cs="Arial"/>
          <w:sz w:val="22"/>
          <w:szCs w:val="22"/>
        </w:rPr>
      </w:pPr>
    </w:p>
    <w:p w14:paraId="55AB4BB3" w14:textId="77777777" w:rsidR="004A7AF6" w:rsidRDefault="004A7AF6" w:rsidP="005B6827">
      <w:pPr>
        <w:pStyle w:val="BodyTextIndent2"/>
        <w:spacing w:after="0" w:line="240" w:lineRule="auto"/>
        <w:ind w:left="284"/>
        <w:jc w:val="both"/>
        <w:rPr>
          <w:rFonts w:ascii="Arial" w:hAnsi="Arial" w:cs="Arial"/>
          <w:sz w:val="22"/>
          <w:szCs w:val="22"/>
        </w:rPr>
      </w:pPr>
    </w:p>
    <w:p w14:paraId="053D6C2D" w14:textId="77777777" w:rsidR="000046A2" w:rsidRDefault="000046A2" w:rsidP="005B6827">
      <w:pPr>
        <w:pStyle w:val="BodyTextIndent2"/>
        <w:spacing w:after="0" w:line="240" w:lineRule="auto"/>
        <w:ind w:left="284"/>
        <w:jc w:val="both"/>
        <w:rPr>
          <w:rFonts w:ascii="Arial" w:hAnsi="Arial" w:cs="Arial"/>
          <w:sz w:val="22"/>
          <w:szCs w:val="22"/>
        </w:rPr>
      </w:pPr>
    </w:p>
    <w:p w14:paraId="24E0A1CC" w14:textId="77777777" w:rsidR="00EC0705" w:rsidRDefault="00EC0705" w:rsidP="005B6827">
      <w:pPr>
        <w:pStyle w:val="BodyTextIndent2"/>
        <w:spacing w:after="0" w:line="240" w:lineRule="auto"/>
        <w:ind w:left="284"/>
        <w:jc w:val="both"/>
        <w:rPr>
          <w:rFonts w:ascii="Arial" w:hAnsi="Arial" w:cs="Arial"/>
          <w:sz w:val="22"/>
          <w:szCs w:val="22"/>
        </w:rPr>
      </w:pPr>
    </w:p>
    <w:tbl>
      <w:tblPr>
        <w:tblW w:w="6062" w:type="dxa"/>
        <w:tblInd w:w="392" w:type="dxa"/>
        <w:tblLook w:val="04A0" w:firstRow="1" w:lastRow="0" w:firstColumn="1" w:lastColumn="0" w:noHBand="0" w:noVBand="1"/>
      </w:tblPr>
      <w:tblGrid>
        <w:gridCol w:w="3634"/>
        <w:gridCol w:w="1322"/>
        <w:gridCol w:w="1106"/>
      </w:tblGrid>
      <w:tr w:rsidR="00911CD9" w:rsidRPr="00B64150" w14:paraId="7971A25D" w14:textId="77777777" w:rsidTr="009A0BD7">
        <w:trPr>
          <w:trHeight w:val="250"/>
        </w:trPr>
        <w:tc>
          <w:tcPr>
            <w:tcW w:w="3634" w:type="dxa"/>
            <w:tcBorders>
              <w:top w:val="nil"/>
              <w:left w:val="nil"/>
              <w:bottom w:val="nil"/>
              <w:right w:val="nil"/>
            </w:tcBorders>
            <w:shd w:val="clear" w:color="000000" w:fill="FFFFFF"/>
            <w:hideMark/>
          </w:tcPr>
          <w:p w14:paraId="273009EC" w14:textId="77777777" w:rsidR="00911CD9" w:rsidRPr="008A0A4E" w:rsidRDefault="00911CD9" w:rsidP="00911CD9">
            <w:pPr>
              <w:ind w:firstLineChars="100" w:firstLine="220"/>
              <w:jc w:val="right"/>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vAlign w:val="center"/>
          </w:tcPr>
          <w:p w14:paraId="78F961E5" w14:textId="76A511ED" w:rsidR="00911CD9" w:rsidRPr="004A3AC2" w:rsidRDefault="00911CD9" w:rsidP="00911CD9">
            <w:pPr>
              <w:jc w:val="center"/>
              <w:rPr>
                <w:rFonts w:ascii="Arial" w:hAnsi="Arial" w:cs="Arial"/>
                <w:b/>
                <w:color w:val="000000"/>
                <w:sz w:val="22"/>
                <w:szCs w:val="22"/>
              </w:rPr>
            </w:pPr>
            <w:r w:rsidRPr="004A3AC2">
              <w:rPr>
                <w:rFonts w:ascii="Arial" w:hAnsi="Arial" w:cs="Arial"/>
                <w:b/>
                <w:color w:val="000000"/>
                <w:sz w:val="22"/>
                <w:szCs w:val="22"/>
              </w:rPr>
              <w:t>202</w:t>
            </w:r>
            <w:r w:rsidR="009758D6" w:rsidRPr="004A3AC2">
              <w:rPr>
                <w:rFonts w:ascii="Arial" w:hAnsi="Arial" w:cs="Arial"/>
                <w:b/>
                <w:color w:val="000000"/>
                <w:sz w:val="22"/>
                <w:szCs w:val="22"/>
              </w:rPr>
              <w:t>3/24</w:t>
            </w:r>
          </w:p>
        </w:tc>
        <w:tc>
          <w:tcPr>
            <w:tcW w:w="1106" w:type="dxa"/>
            <w:tcBorders>
              <w:top w:val="nil"/>
              <w:left w:val="nil"/>
              <w:bottom w:val="nil"/>
              <w:right w:val="nil"/>
            </w:tcBorders>
            <w:shd w:val="clear" w:color="000000" w:fill="FFFFFF"/>
            <w:vAlign w:val="center"/>
            <w:hideMark/>
          </w:tcPr>
          <w:p w14:paraId="122D931E" w14:textId="2BB5F12C" w:rsidR="00911CD9" w:rsidRPr="009758D6" w:rsidRDefault="00911CD9" w:rsidP="00911CD9">
            <w:pPr>
              <w:jc w:val="center"/>
              <w:rPr>
                <w:rFonts w:ascii="Arial" w:hAnsi="Arial" w:cs="Arial"/>
                <w:b/>
                <w:bCs/>
                <w:color w:val="000000"/>
                <w:sz w:val="22"/>
                <w:szCs w:val="22"/>
              </w:rPr>
            </w:pPr>
            <w:r w:rsidRPr="009758D6">
              <w:rPr>
                <w:rFonts w:ascii="Arial" w:hAnsi="Arial" w:cs="Arial"/>
                <w:b/>
                <w:bCs/>
                <w:color w:val="000000"/>
                <w:sz w:val="22"/>
                <w:szCs w:val="22"/>
              </w:rPr>
              <w:t>202</w:t>
            </w:r>
            <w:r w:rsidR="009758D6" w:rsidRPr="009758D6">
              <w:rPr>
                <w:rFonts w:ascii="Arial" w:hAnsi="Arial" w:cs="Arial"/>
                <w:b/>
                <w:bCs/>
                <w:color w:val="000000"/>
                <w:sz w:val="22"/>
                <w:szCs w:val="22"/>
              </w:rPr>
              <w:t>4</w:t>
            </w:r>
            <w:r w:rsidR="00DD76B1" w:rsidRPr="009758D6">
              <w:rPr>
                <w:rFonts w:ascii="Arial" w:hAnsi="Arial" w:cs="Arial"/>
                <w:b/>
                <w:bCs/>
                <w:color w:val="000000"/>
                <w:sz w:val="22"/>
                <w:szCs w:val="22"/>
              </w:rPr>
              <w:t>/2</w:t>
            </w:r>
            <w:r w:rsidR="009758D6" w:rsidRPr="009758D6">
              <w:rPr>
                <w:rFonts w:ascii="Arial" w:hAnsi="Arial" w:cs="Arial"/>
                <w:b/>
                <w:bCs/>
                <w:color w:val="000000"/>
                <w:sz w:val="22"/>
                <w:szCs w:val="22"/>
              </w:rPr>
              <w:t>5</w:t>
            </w:r>
          </w:p>
        </w:tc>
      </w:tr>
      <w:tr w:rsidR="003C45DA" w:rsidRPr="00B64150" w14:paraId="4EB9EE22" w14:textId="77777777" w:rsidTr="00DF3ECC">
        <w:trPr>
          <w:trHeight w:val="250"/>
        </w:trPr>
        <w:tc>
          <w:tcPr>
            <w:tcW w:w="3634" w:type="dxa"/>
            <w:tcBorders>
              <w:top w:val="nil"/>
              <w:left w:val="nil"/>
              <w:bottom w:val="nil"/>
              <w:right w:val="nil"/>
            </w:tcBorders>
            <w:shd w:val="clear" w:color="000000" w:fill="FFFFFF"/>
            <w:hideMark/>
          </w:tcPr>
          <w:p w14:paraId="176EBA08"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tcPr>
          <w:p w14:paraId="0DE37C48"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£000</w:t>
            </w:r>
          </w:p>
        </w:tc>
        <w:tc>
          <w:tcPr>
            <w:tcW w:w="1106" w:type="dxa"/>
            <w:tcBorders>
              <w:top w:val="nil"/>
              <w:left w:val="nil"/>
              <w:bottom w:val="nil"/>
              <w:right w:val="nil"/>
            </w:tcBorders>
            <w:shd w:val="clear" w:color="000000" w:fill="FFFFFF"/>
            <w:hideMark/>
          </w:tcPr>
          <w:p w14:paraId="6B23928C" w14:textId="77777777" w:rsidR="003C45DA" w:rsidRPr="009758D6" w:rsidRDefault="003C45DA" w:rsidP="00DF3ECC">
            <w:pPr>
              <w:jc w:val="center"/>
              <w:rPr>
                <w:rFonts w:ascii="Arial" w:hAnsi="Arial" w:cs="Arial"/>
                <w:b/>
                <w:bCs/>
                <w:color w:val="000000"/>
                <w:sz w:val="22"/>
                <w:szCs w:val="22"/>
              </w:rPr>
            </w:pPr>
            <w:r w:rsidRPr="009758D6">
              <w:rPr>
                <w:rFonts w:ascii="Arial" w:hAnsi="Arial" w:cs="Arial"/>
                <w:b/>
                <w:bCs/>
                <w:color w:val="000000"/>
                <w:sz w:val="22"/>
                <w:szCs w:val="22"/>
              </w:rPr>
              <w:t>£000</w:t>
            </w:r>
          </w:p>
        </w:tc>
      </w:tr>
      <w:tr w:rsidR="00DD76B1" w:rsidRPr="00B64150" w14:paraId="7F46C20C" w14:textId="77777777" w:rsidTr="00911CD9">
        <w:trPr>
          <w:trHeight w:val="138"/>
        </w:trPr>
        <w:tc>
          <w:tcPr>
            <w:tcW w:w="3634" w:type="dxa"/>
            <w:tcBorders>
              <w:top w:val="nil"/>
              <w:left w:val="nil"/>
              <w:bottom w:val="nil"/>
              <w:right w:val="nil"/>
            </w:tcBorders>
            <w:shd w:val="clear" w:color="000000" w:fill="FFFFFF"/>
            <w:hideMark/>
          </w:tcPr>
          <w:p w14:paraId="4DF17022" w14:textId="77777777" w:rsidR="00DD76B1" w:rsidRPr="008A0A4E" w:rsidRDefault="00DD76B1" w:rsidP="00DD76B1">
            <w:pPr>
              <w:rPr>
                <w:rFonts w:ascii="Arial" w:hAnsi="Arial" w:cs="Arial"/>
                <w:color w:val="000000"/>
                <w:sz w:val="22"/>
                <w:szCs w:val="22"/>
              </w:rPr>
            </w:pPr>
            <w:r w:rsidRPr="008A0A4E">
              <w:rPr>
                <w:rFonts w:ascii="Arial" w:hAnsi="Arial" w:cs="Arial"/>
                <w:color w:val="000000"/>
                <w:sz w:val="22"/>
                <w:szCs w:val="22"/>
              </w:rPr>
              <w:t>Short Term employee benefits</w:t>
            </w:r>
          </w:p>
        </w:tc>
        <w:tc>
          <w:tcPr>
            <w:tcW w:w="1322" w:type="dxa"/>
            <w:tcBorders>
              <w:top w:val="nil"/>
              <w:left w:val="nil"/>
              <w:bottom w:val="nil"/>
              <w:right w:val="nil"/>
            </w:tcBorders>
            <w:shd w:val="clear" w:color="000000" w:fill="FFFFFF"/>
          </w:tcPr>
          <w:p w14:paraId="4267A3C4" w14:textId="6D339C9D" w:rsidR="00DD76B1" w:rsidRPr="009758D6" w:rsidRDefault="00DD76B1" w:rsidP="00DD76B1">
            <w:pPr>
              <w:ind w:right="181"/>
              <w:jc w:val="right"/>
              <w:rPr>
                <w:rFonts w:ascii="Arial" w:hAnsi="Arial" w:cs="Arial"/>
                <w:bCs/>
                <w:color w:val="000000"/>
                <w:sz w:val="22"/>
                <w:szCs w:val="22"/>
              </w:rPr>
            </w:pPr>
            <w:r w:rsidRPr="009758D6">
              <w:rPr>
                <w:rFonts w:ascii="Arial" w:hAnsi="Arial" w:cs="Arial"/>
                <w:bCs/>
                <w:sz w:val="22"/>
                <w:szCs w:val="22"/>
              </w:rPr>
              <w:t>1</w:t>
            </w:r>
            <w:r w:rsidR="009758D6" w:rsidRPr="009758D6">
              <w:rPr>
                <w:rFonts w:ascii="Arial" w:hAnsi="Arial" w:cs="Arial"/>
                <w:bCs/>
                <w:sz w:val="22"/>
                <w:szCs w:val="22"/>
              </w:rPr>
              <w:t>25.1</w:t>
            </w:r>
          </w:p>
        </w:tc>
        <w:tc>
          <w:tcPr>
            <w:tcW w:w="1106" w:type="dxa"/>
            <w:tcBorders>
              <w:top w:val="nil"/>
              <w:left w:val="nil"/>
              <w:bottom w:val="nil"/>
              <w:right w:val="nil"/>
            </w:tcBorders>
            <w:shd w:val="clear" w:color="000000" w:fill="FFFFFF"/>
          </w:tcPr>
          <w:p w14:paraId="1D0260C2" w14:textId="381E0B05" w:rsidR="00DD76B1" w:rsidRPr="009758D6" w:rsidRDefault="00BF613F" w:rsidP="00DD76B1">
            <w:pPr>
              <w:jc w:val="right"/>
              <w:rPr>
                <w:rFonts w:ascii="Arial" w:hAnsi="Arial" w:cs="Arial"/>
                <w:b/>
                <w:sz w:val="22"/>
                <w:szCs w:val="22"/>
              </w:rPr>
            </w:pPr>
            <w:r>
              <w:rPr>
                <w:rFonts w:ascii="Arial" w:hAnsi="Arial" w:cs="Arial"/>
                <w:b/>
                <w:sz w:val="22"/>
                <w:szCs w:val="22"/>
              </w:rPr>
              <w:t>146.8</w:t>
            </w:r>
          </w:p>
        </w:tc>
      </w:tr>
      <w:tr w:rsidR="00DD76B1" w:rsidRPr="00B64150" w14:paraId="3228DC2B" w14:textId="77777777" w:rsidTr="003A59C7">
        <w:trPr>
          <w:trHeight w:val="250"/>
        </w:trPr>
        <w:tc>
          <w:tcPr>
            <w:tcW w:w="3634" w:type="dxa"/>
            <w:tcBorders>
              <w:top w:val="nil"/>
              <w:left w:val="nil"/>
              <w:bottom w:val="nil"/>
              <w:right w:val="nil"/>
            </w:tcBorders>
            <w:shd w:val="clear" w:color="000000" w:fill="FFFFFF"/>
            <w:hideMark/>
          </w:tcPr>
          <w:p w14:paraId="588F42D0" w14:textId="77777777" w:rsidR="00DD76B1" w:rsidRPr="008A0A4E" w:rsidRDefault="00DD76B1" w:rsidP="00DD76B1">
            <w:pPr>
              <w:rPr>
                <w:rFonts w:ascii="Arial" w:hAnsi="Arial" w:cs="Arial"/>
                <w:b/>
                <w:bCs/>
                <w:color w:val="000000"/>
                <w:sz w:val="22"/>
                <w:szCs w:val="22"/>
              </w:rPr>
            </w:pPr>
            <w:r w:rsidRPr="008A0A4E">
              <w:rPr>
                <w:rFonts w:ascii="Arial" w:hAnsi="Arial" w:cs="Arial"/>
                <w:b/>
                <w:bCs/>
                <w:color w:val="000000"/>
                <w:sz w:val="22"/>
                <w:szCs w:val="22"/>
              </w:rPr>
              <w:t>Total</w:t>
            </w:r>
          </w:p>
        </w:tc>
        <w:tc>
          <w:tcPr>
            <w:tcW w:w="1322" w:type="dxa"/>
            <w:tcBorders>
              <w:top w:val="single" w:sz="4" w:space="0" w:color="auto"/>
              <w:left w:val="nil"/>
              <w:bottom w:val="double" w:sz="6" w:space="0" w:color="auto"/>
              <w:right w:val="nil"/>
            </w:tcBorders>
            <w:shd w:val="clear" w:color="000000" w:fill="FFFFFF"/>
          </w:tcPr>
          <w:p w14:paraId="0B031A87" w14:textId="4CD4963B" w:rsidR="00DD76B1" w:rsidRPr="009758D6" w:rsidRDefault="00DD76B1" w:rsidP="00DD76B1">
            <w:pPr>
              <w:ind w:right="181"/>
              <w:jc w:val="right"/>
              <w:rPr>
                <w:rFonts w:ascii="Arial" w:hAnsi="Arial" w:cs="Arial"/>
                <w:bCs/>
                <w:color w:val="000000"/>
                <w:sz w:val="22"/>
                <w:szCs w:val="22"/>
              </w:rPr>
            </w:pPr>
            <w:r w:rsidRPr="009758D6">
              <w:rPr>
                <w:rFonts w:ascii="Arial" w:hAnsi="Arial" w:cs="Arial"/>
                <w:bCs/>
                <w:sz w:val="22"/>
                <w:szCs w:val="22"/>
              </w:rPr>
              <w:t>1</w:t>
            </w:r>
            <w:r w:rsidR="009758D6" w:rsidRPr="009758D6">
              <w:rPr>
                <w:rFonts w:ascii="Arial" w:hAnsi="Arial" w:cs="Arial"/>
                <w:bCs/>
                <w:sz w:val="22"/>
                <w:szCs w:val="22"/>
              </w:rPr>
              <w:t>25.1</w:t>
            </w:r>
          </w:p>
        </w:tc>
        <w:tc>
          <w:tcPr>
            <w:tcW w:w="1106" w:type="dxa"/>
            <w:tcBorders>
              <w:top w:val="single" w:sz="4" w:space="0" w:color="auto"/>
              <w:left w:val="nil"/>
              <w:bottom w:val="double" w:sz="6" w:space="0" w:color="auto"/>
              <w:right w:val="nil"/>
            </w:tcBorders>
            <w:shd w:val="clear" w:color="000000" w:fill="FFFFFF"/>
          </w:tcPr>
          <w:p w14:paraId="111D7547" w14:textId="380E9FD0" w:rsidR="00DD76B1" w:rsidRPr="009758D6" w:rsidRDefault="00BF613F" w:rsidP="00DD76B1">
            <w:pPr>
              <w:jc w:val="right"/>
              <w:rPr>
                <w:rFonts w:ascii="Arial" w:hAnsi="Arial" w:cs="Arial"/>
                <w:b/>
                <w:sz w:val="22"/>
                <w:szCs w:val="22"/>
              </w:rPr>
            </w:pPr>
            <w:r>
              <w:rPr>
                <w:rFonts w:ascii="Arial" w:hAnsi="Arial" w:cs="Arial"/>
                <w:b/>
                <w:sz w:val="22"/>
                <w:szCs w:val="22"/>
              </w:rPr>
              <w:t>146.8</w:t>
            </w:r>
          </w:p>
        </w:tc>
      </w:tr>
    </w:tbl>
    <w:p w14:paraId="74E0BFE1" w14:textId="77777777" w:rsidR="00EB4F5F" w:rsidRDefault="00EB4F5F" w:rsidP="00745BFC">
      <w:pPr>
        <w:rPr>
          <w:rFonts w:ascii="Arial" w:hAnsi="Arial" w:cs="Arial"/>
          <w:b/>
        </w:rPr>
      </w:pPr>
    </w:p>
    <w:p w14:paraId="0EA6FB39" w14:textId="77777777" w:rsidR="00002991" w:rsidRPr="00745BFC" w:rsidRDefault="00002991" w:rsidP="00745BFC">
      <w:pPr>
        <w:rPr>
          <w:rFonts w:ascii="Arial" w:hAnsi="Arial" w:cs="Arial"/>
          <w:b/>
        </w:rPr>
      </w:pPr>
    </w:p>
    <w:p w14:paraId="7E7C6137" w14:textId="09221D80" w:rsidR="003C45DA" w:rsidRPr="008A0A4E" w:rsidRDefault="003C45DA" w:rsidP="00FC1536">
      <w:pPr>
        <w:pStyle w:val="ListParagraph"/>
        <w:numPr>
          <w:ilvl w:val="0"/>
          <w:numId w:val="24"/>
        </w:numPr>
        <w:ind w:left="502"/>
        <w:rPr>
          <w:rFonts w:ascii="Arial" w:hAnsi="Arial" w:cs="Arial"/>
          <w:b/>
        </w:rPr>
      </w:pPr>
      <w:r w:rsidRPr="008A0A4E">
        <w:rPr>
          <w:rFonts w:ascii="Arial" w:hAnsi="Arial" w:cs="Arial"/>
          <w:b/>
        </w:rPr>
        <w:t xml:space="preserve">Financial Instruments </w:t>
      </w:r>
    </w:p>
    <w:p w14:paraId="04AA7006" w14:textId="77777777" w:rsidR="003C45DA" w:rsidRPr="008A0A4E" w:rsidRDefault="003C45DA" w:rsidP="003C45DA">
      <w:pPr>
        <w:pStyle w:val="ListParagraph"/>
        <w:spacing w:after="0" w:line="240" w:lineRule="auto"/>
        <w:ind w:left="426"/>
        <w:rPr>
          <w:rFonts w:ascii="Arial" w:hAnsi="Arial" w:cs="Arial"/>
          <w:b/>
        </w:rPr>
      </w:pPr>
    </w:p>
    <w:p w14:paraId="09448EC8" w14:textId="207D529D" w:rsidR="008130F5" w:rsidRPr="008A0A4E" w:rsidRDefault="003C45DA" w:rsidP="00BB2851">
      <w:pPr>
        <w:ind w:left="360"/>
        <w:jc w:val="both"/>
        <w:rPr>
          <w:rFonts w:ascii="Arial" w:hAnsi="Arial" w:cs="Arial"/>
          <w:sz w:val="22"/>
          <w:szCs w:val="22"/>
        </w:rPr>
      </w:pPr>
      <w:r w:rsidRPr="008A0A4E">
        <w:rPr>
          <w:rFonts w:ascii="Arial" w:hAnsi="Arial" w:cs="Arial"/>
          <w:sz w:val="22"/>
          <w:szCs w:val="22"/>
        </w:rPr>
        <w:t xml:space="preserve">Accounting policies describe how different asset classes of financial instruments are measured, and how income and expenses, including fair value gains and losses, are recognised.  The following table analyses the carrying amounts of financial assets and liabilities (excluding cash) by category and net assets statement heading.  No financial assets were reclassified during the accounting period. The authority has not </w:t>
      </w:r>
      <w:proofErr w:type="gramStart"/>
      <w:r w:rsidRPr="008A0A4E">
        <w:rPr>
          <w:rFonts w:ascii="Arial" w:hAnsi="Arial" w:cs="Arial"/>
          <w:sz w:val="22"/>
          <w:szCs w:val="22"/>
        </w:rPr>
        <w:t>entered into</w:t>
      </w:r>
      <w:proofErr w:type="gramEnd"/>
      <w:r w:rsidRPr="008A0A4E">
        <w:rPr>
          <w:rFonts w:ascii="Arial" w:hAnsi="Arial" w:cs="Arial"/>
          <w:sz w:val="22"/>
          <w:szCs w:val="22"/>
        </w:rPr>
        <w:t xml:space="preserve"> any financial guarantees that are required to be accounted for as financial instruments.</w:t>
      </w:r>
    </w:p>
    <w:tbl>
      <w:tblPr>
        <w:tblW w:w="10206" w:type="dxa"/>
        <w:jc w:val="center"/>
        <w:tblLayout w:type="fixed"/>
        <w:tblLook w:val="04A0" w:firstRow="1" w:lastRow="0" w:firstColumn="1" w:lastColumn="0" w:noHBand="0" w:noVBand="1"/>
      </w:tblPr>
      <w:tblGrid>
        <w:gridCol w:w="2127"/>
        <w:gridCol w:w="1559"/>
        <w:gridCol w:w="1276"/>
        <w:gridCol w:w="1134"/>
        <w:gridCol w:w="283"/>
        <w:gridCol w:w="1269"/>
        <w:gridCol w:w="1141"/>
        <w:gridCol w:w="1417"/>
      </w:tblGrid>
      <w:tr w:rsidR="00DC5B6E" w:rsidRPr="00DC5B6E" w14:paraId="63B6FAE2" w14:textId="77777777" w:rsidTr="004A3AC2">
        <w:trPr>
          <w:trHeight w:val="1518"/>
          <w:jc w:val="center"/>
        </w:trPr>
        <w:tc>
          <w:tcPr>
            <w:tcW w:w="2127" w:type="dxa"/>
            <w:tcBorders>
              <w:top w:val="nil"/>
              <w:left w:val="nil"/>
              <w:bottom w:val="nil"/>
              <w:right w:val="nil"/>
            </w:tcBorders>
            <w:shd w:val="clear" w:color="auto" w:fill="auto"/>
            <w:vAlign w:val="bottom"/>
            <w:hideMark/>
          </w:tcPr>
          <w:p w14:paraId="4A9D8116" w14:textId="77777777" w:rsidR="00867645" w:rsidRPr="00DC5B6E" w:rsidRDefault="00867645" w:rsidP="005B6827">
            <w:pPr>
              <w:ind w:firstLine="42"/>
              <w:rPr>
                <w:rFonts w:ascii="Arial" w:hAnsi="Arial" w:cs="Arial"/>
                <w:b/>
                <w:bCs/>
                <w:sz w:val="20"/>
                <w:szCs w:val="20"/>
              </w:rPr>
            </w:pPr>
            <w:r w:rsidRPr="00DC5B6E">
              <w:rPr>
                <w:rFonts w:ascii="Arial" w:hAnsi="Arial" w:cs="Arial"/>
                <w:b/>
                <w:bCs/>
                <w:sz w:val="20"/>
                <w:szCs w:val="20"/>
              </w:rPr>
              <w:t xml:space="preserve">Financial assets </w:t>
            </w:r>
          </w:p>
        </w:tc>
        <w:tc>
          <w:tcPr>
            <w:tcW w:w="1559" w:type="dxa"/>
            <w:tcBorders>
              <w:top w:val="nil"/>
              <w:left w:val="nil"/>
              <w:bottom w:val="nil"/>
              <w:right w:val="nil"/>
            </w:tcBorders>
            <w:shd w:val="clear" w:color="auto" w:fill="auto"/>
            <w:vAlign w:val="bottom"/>
            <w:hideMark/>
          </w:tcPr>
          <w:p w14:paraId="176E0F80" w14:textId="2DEE7A1A" w:rsidR="00867645" w:rsidRPr="00DC5B6E" w:rsidRDefault="00CA4CE1" w:rsidP="00DF3ECC">
            <w:pPr>
              <w:jc w:val="center"/>
              <w:rPr>
                <w:rFonts w:ascii="Arial" w:hAnsi="Arial" w:cs="Arial"/>
                <w:bCs/>
                <w:sz w:val="20"/>
                <w:szCs w:val="20"/>
              </w:rPr>
            </w:pPr>
            <w:r w:rsidRPr="00DC5B6E">
              <w:rPr>
                <w:rFonts w:ascii="Arial" w:hAnsi="Arial" w:cs="Arial"/>
                <w:bCs/>
                <w:sz w:val="20"/>
                <w:szCs w:val="20"/>
              </w:rPr>
              <w:t>Fair</w:t>
            </w:r>
            <w:r w:rsidR="001D44C5" w:rsidRPr="00DC5B6E">
              <w:rPr>
                <w:rFonts w:ascii="Arial" w:hAnsi="Arial" w:cs="Arial"/>
                <w:bCs/>
                <w:sz w:val="20"/>
                <w:szCs w:val="20"/>
              </w:rPr>
              <w:t xml:space="preserve"> </w:t>
            </w:r>
            <w:r w:rsidR="00867645" w:rsidRPr="00DC5B6E">
              <w:rPr>
                <w:rFonts w:ascii="Arial" w:hAnsi="Arial" w:cs="Arial"/>
                <w:bCs/>
                <w:sz w:val="20"/>
                <w:szCs w:val="20"/>
              </w:rPr>
              <w:t>value through profit and loss</w:t>
            </w:r>
          </w:p>
        </w:tc>
        <w:tc>
          <w:tcPr>
            <w:tcW w:w="1276" w:type="dxa"/>
            <w:tcBorders>
              <w:top w:val="nil"/>
              <w:left w:val="nil"/>
              <w:bottom w:val="nil"/>
              <w:right w:val="nil"/>
            </w:tcBorders>
            <w:shd w:val="clear" w:color="auto" w:fill="auto"/>
            <w:vAlign w:val="bottom"/>
            <w:hideMark/>
          </w:tcPr>
          <w:p w14:paraId="74554CA8" w14:textId="30A7B6F9" w:rsidR="00867645" w:rsidRPr="00DC5B6E" w:rsidRDefault="003D7561" w:rsidP="00DF3ECC">
            <w:pPr>
              <w:jc w:val="center"/>
              <w:rPr>
                <w:rFonts w:ascii="Arial" w:hAnsi="Arial" w:cs="Arial"/>
                <w:bCs/>
                <w:sz w:val="20"/>
                <w:szCs w:val="20"/>
              </w:rPr>
            </w:pPr>
            <w:r w:rsidRPr="00DC5B6E">
              <w:rPr>
                <w:rFonts w:ascii="Arial" w:hAnsi="Arial" w:cs="Arial"/>
                <w:sz w:val="20"/>
                <w:szCs w:val="20"/>
              </w:rPr>
              <w:t xml:space="preserve">Financial </w:t>
            </w:r>
            <w:r w:rsidR="00065C35" w:rsidRPr="00DC5B6E">
              <w:rPr>
                <w:rFonts w:ascii="Arial" w:hAnsi="Arial" w:cs="Arial"/>
                <w:sz w:val="20"/>
                <w:szCs w:val="20"/>
              </w:rPr>
              <w:t>assets as at amortised cost</w:t>
            </w:r>
          </w:p>
        </w:tc>
        <w:tc>
          <w:tcPr>
            <w:tcW w:w="1134" w:type="dxa"/>
            <w:tcBorders>
              <w:top w:val="nil"/>
              <w:left w:val="nil"/>
              <w:bottom w:val="nil"/>
              <w:right w:val="nil"/>
            </w:tcBorders>
            <w:shd w:val="clear" w:color="auto" w:fill="auto"/>
            <w:vAlign w:val="bottom"/>
            <w:hideMark/>
          </w:tcPr>
          <w:p w14:paraId="076ABADA" w14:textId="77777777" w:rsidR="00867645" w:rsidRPr="00DC5B6E" w:rsidRDefault="00867645" w:rsidP="00DF3ECC">
            <w:pPr>
              <w:jc w:val="center"/>
              <w:rPr>
                <w:rFonts w:ascii="Arial" w:hAnsi="Arial" w:cs="Arial"/>
                <w:bCs/>
                <w:sz w:val="20"/>
                <w:szCs w:val="20"/>
              </w:rPr>
            </w:pPr>
            <w:r w:rsidRPr="00DC5B6E">
              <w:rPr>
                <w:rFonts w:ascii="Arial" w:hAnsi="Arial" w:cs="Arial"/>
                <w:bCs/>
                <w:sz w:val="20"/>
                <w:szCs w:val="20"/>
              </w:rPr>
              <w:t>Financial liabilities at amortised cost</w:t>
            </w:r>
          </w:p>
        </w:tc>
        <w:tc>
          <w:tcPr>
            <w:tcW w:w="283" w:type="dxa"/>
            <w:vMerge w:val="restart"/>
            <w:tcBorders>
              <w:top w:val="nil"/>
              <w:left w:val="nil"/>
              <w:bottom w:val="nil"/>
              <w:right w:val="nil"/>
            </w:tcBorders>
            <w:shd w:val="clear" w:color="auto" w:fill="auto"/>
            <w:vAlign w:val="bottom"/>
            <w:hideMark/>
          </w:tcPr>
          <w:p w14:paraId="248EED60" w14:textId="77777777" w:rsidR="00867645" w:rsidRPr="00DC5B6E" w:rsidRDefault="00867645" w:rsidP="00DF3ECC">
            <w:pPr>
              <w:jc w:val="center"/>
              <w:rPr>
                <w:rFonts w:ascii="Arial" w:hAnsi="Arial" w:cs="Arial"/>
                <w:b/>
                <w:bCs/>
                <w:sz w:val="20"/>
                <w:szCs w:val="20"/>
              </w:rPr>
            </w:pPr>
          </w:p>
        </w:tc>
        <w:tc>
          <w:tcPr>
            <w:tcW w:w="1269" w:type="dxa"/>
            <w:tcBorders>
              <w:top w:val="nil"/>
              <w:left w:val="nil"/>
              <w:bottom w:val="nil"/>
              <w:right w:val="nil"/>
            </w:tcBorders>
            <w:shd w:val="clear" w:color="auto" w:fill="auto"/>
            <w:vAlign w:val="bottom"/>
            <w:hideMark/>
          </w:tcPr>
          <w:p w14:paraId="1A354DD9" w14:textId="0A17BE46" w:rsidR="00867645" w:rsidRPr="00DC5B6E" w:rsidRDefault="001D44C5" w:rsidP="00DF3ECC">
            <w:pPr>
              <w:jc w:val="center"/>
              <w:rPr>
                <w:rFonts w:ascii="Arial" w:hAnsi="Arial" w:cs="Arial"/>
                <w:b/>
                <w:bCs/>
                <w:sz w:val="20"/>
                <w:szCs w:val="20"/>
              </w:rPr>
            </w:pPr>
            <w:r w:rsidRPr="00DC5B6E">
              <w:rPr>
                <w:rFonts w:ascii="Arial" w:hAnsi="Arial" w:cs="Arial"/>
                <w:b/>
                <w:bCs/>
                <w:sz w:val="20"/>
                <w:szCs w:val="20"/>
              </w:rPr>
              <w:t>F</w:t>
            </w:r>
            <w:r w:rsidR="00867645" w:rsidRPr="00DC5B6E">
              <w:rPr>
                <w:rFonts w:ascii="Arial" w:hAnsi="Arial" w:cs="Arial"/>
                <w:b/>
                <w:bCs/>
                <w:sz w:val="20"/>
                <w:szCs w:val="20"/>
              </w:rPr>
              <w:t>air value through profit and loss</w:t>
            </w:r>
          </w:p>
        </w:tc>
        <w:tc>
          <w:tcPr>
            <w:tcW w:w="1141" w:type="dxa"/>
            <w:tcBorders>
              <w:top w:val="nil"/>
              <w:left w:val="nil"/>
              <w:bottom w:val="nil"/>
              <w:right w:val="nil"/>
            </w:tcBorders>
            <w:shd w:val="clear" w:color="auto" w:fill="auto"/>
            <w:vAlign w:val="bottom"/>
            <w:hideMark/>
          </w:tcPr>
          <w:p w14:paraId="09F84CBC" w14:textId="08ED5D80" w:rsidR="00867645" w:rsidRPr="00DC5B6E" w:rsidRDefault="004E5CD5" w:rsidP="00DF3ECC">
            <w:pPr>
              <w:jc w:val="center"/>
              <w:rPr>
                <w:rFonts w:ascii="Arial" w:hAnsi="Arial" w:cs="Arial"/>
                <w:b/>
                <w:bCs/>
                <w:sz w:val="20"/>
                <w:szCs w:val="20"/>
              </w:rPr>
            </w:pPr>
            <w:r w:rsidRPr="00DC5B6E">
              <w:rPr>
                <w:rFonts w:ascii="Arial" w:hAnsi="Arial" w:cs="Arial"/>
                <w:b/>
                <w:bCs/>
                <w:sz w:val="20"/>
                <w:szCs w:val="20"/>
              </w:rPr>
              <w:t>Financial assets as at amortised cost</w:t>
            </w:r>
          </w:p>
        </w:tc>
        <w:tc>
          <w:tcPr>
            <w:tcW w:w="1417" w:type="dxa"/>
            <w:tcBorders>
              <w:top w:val="nil"/>
              <w:left w:val="nil"/>
              <w:bottom w:val="nil"/>
              <w:right w:val="nil"/>
            </w:tcBorders>
            <w:shd w:val="clear" w:color="auto" w:fill="auto"/>
            <w:vAlign w:val="bottom"/>
            <w:hideMark/>
          </w:tcPr>
          <w:p w14:paraId="15A4860A" w14:textId="0B6D32A4" w:rsidR="00867645" w:rsidRPr="00DC5B6E" w:rsidRDefault="00867645" w:rsidP="00DF3ECC">
            <w:pPr>
              <w:jc w:val="center"/>
              <w:rPr>
                <w:rFonts w:ascii="Arial" w:hAnsi="Arial" w:cs="Arial"/>
                <w:b/>
                <w:bCs/>
                <w:sz w:val="20"/>
                <w:szCs w:val="20"/>
              </w:rPr>
            </w:pPr>
            <w:r w:rsidRPr="00DC5B6E">
              <w:rPr>
                <w:rFonts w:ascii="Arial" w:hAnsi="Arial" w:cs="Arial"/>
                <w:b/>
                <w:bCs/>
                <w:sz w:val="20"/>
                <w:szCs w:val="20"/>
              </w:rPr>
              <w:t xml:space="preserve">Financial </w:t>
            </w:r>
            <w:r w:rsidR="00EF2ECF" w:rsidRPr="00DC5B6E">
              <w:rPr>
                <w:rFonts w:ascii="Arial" w:hAnsi="Arial" w:cs="Arial"/>
                <w:b/>
                <w:bCs/>
                <w:sz w:val="20"/>
                <w:szCs w:val="20"/>
              </w:rPr>
              <w:t>liabilities</w:t>
            </w:r>
            <w:r w:rsidRPr="00DC5B6E">
              <w:rPr>
                <w:rFonts w:ascii="Arial" w:hAnsi="Arial" w:cs="Arial"/>
                <w:b/>
                <w:bCs/>
                <w:sz w:val="20"/>
                <w:szCs w:val="20"/>
              </w:rPr>
              <w:t xml:space="preserve"> at amortised cost</w:t>
            </w:r>
          </w:p>
        </w:tc>
      </w:tr>
      <w:tr w:rsidR="00DC5B6E" w:rsidRPr="00DC5B6E" w14:paraId="4AB561A4" w14:textId="77777777" w:rsidTr="00DC5CA9">
        <w:trPr>
          <w:trHeight w:val="60"/>
          <w:jc w:val="center"/>
        </w:trPr>
        <w:tc>
          <w:tcPr>
            <w:tcW w:w="2127" w:type="dxa"/>
            <w:tcBorders>
              <w:top w:val="nil"/>
              <w:left w:val="nil"/>
              <w:bottom w:val="nil"/>
              <w:right w:val="nil"/>
            </w:tcBorders>
            <w:shd w:val="clear" w:color="auto" w:fill="auto"/>
            <w:vAlign w:val="bottom"/>
            <w:hideMark/>
          </w:tcPr>
          <w:p w14:paraId="7F027A5A" w14:textId="77777777" w:rsidR="00911CD9" w:rsidRPr="00DC5B6E" w:rsidRDefault="00911CD9" w:rsidP="00911CD9">
            <w:pPr>
              <w:rPr>
                <w:rFonts w:ascii="Arial" w:hAnsi="Arial" w:cs="Arial"/>
                <w:b/>
                <w:bCs/>
                <w:sz w:val="20"/>
                <w:szCs w:val="20"/>
              </w:rPr>
            </w:pPr>
          </w:p>
        </w:tc>
        <w:tc>
          <w:tcPr>
            <w:tcW w:w="3969" w:type="dxa"/>
            <w:gridSpan w:val="3"/>
            <w:tcBorders>
              <w:top w:val="nil"/>
              <w:left w:val="nil"/>
              <w:bottom w:val="nil"/>
              <w:right w:val="nil"/>
            </w:tcBorders>
            <w:shd w:val="clear" w:color="auto" w:fill="auto"/>
            <w:vAlign w:val="center"/>
            <w:hideMark/>
          </w:tcPr>
          <w:p w14:paraId="1D1CDB57" w14:textId="529731B8" w:rsidR="00911CD9" w:rsidRPr="00DC5B6E" w:rsidRDefault="00050020" w:rsidP="00911CD9">
            <w:pPr>
              <w:jc w:val="center"/>
              <w:rPr>
                <w:rFonts w:ascii="Arial" w:hAnsi="Arial" w:cs="Arial"/>
                <w:bCs/>
                <w:sz w:val="20"/>
                <w:szCs w:val="20"/>
              </w:rPr>
            </w:pPr>
            <w:r w:rsidRPr="00DC5B6E">
              <w:rPr>
                <w:rFonts w:ascii="Arial" w:hAnsi="Arial" w:cs="Arial"/>
                <w:bCs/>
                <w:sz w:val="20"/>
                <w:szCs w:val="20"/>
              </w:rPr>
              <w:t>31 March 2024</w:t>
            </w:r>
          </w:p>
        </w:tc>
        <w:tc>
          <w:tcPr>
            <w:tcW w:w="283" w:type="dxa"/>
            <w:vMerge/>
            <w:tcBorders>
              <w:left w:val="nil"/>
              <w:right w:val="nil"/>
            </w:tcBorders>
            <w:shd w:val="clear" w:color="auto" w:fill="auto"/>
            <w:vAlign w:val="center"/>
            <w:hideMark/>
          </w:tcPr>
          <w:p w14:paraId="771749D5" w14:textId="77777777" w:rsidR="00911CD9" w:rsidRPr="00DC5B6E" w:rsidRDefault="00911CD9" w:rsidP="00911CD9">
            <w:pPr>
              <w:jc w:val="center"/>
              <w:rPr>
                <w:rFonts w:ascii="Arial" w:hAnsi="Arial" w:cs="Arial"/>
                <w:b/>
                <w:bCs/>
                <w:sz w:val="20"/>
                <w:szCs w:val="20"/>
              </w:rPr>
            </w:pPr>
          </w:p>
        </w:tc>
        <w:tc>
          <w:tcPr>
            <w:tcW w:w="3827" w:type="dxa"/>
            <w:gridSpan w:val="3"/>
            <w:tcBorders>
              <w:top w:val="nil"/>
              <w:left w:val="nil"/>
              <w:bottom w:val="nil"/>
              <w:right w:val="nil"/>
            </w:tcBorders>
            <w:shd w:val="clear" w:color="auto" w:fill="auto"/>
            <w:vAlign w:val="bottom"/>
            <w:hideMark/>
          </w:tcPr>
          <w:p w14:paraId="5378572E" w14:textId="711F9C6D" w:rsidR="00911CD9" w:rsidRPr="00DC5B6E" w:rsidRDefault="00050020" w:rsidP="00911CD9">
            <w:pPr>
              <w:jc w:val="center"/>
              <w:rPr>
                <w:rFonts w:ascii="Arial" w:hAnsi="Arial" w:cs="Arial"/>
                <w:b/>
                <w:bCs/>
                <w:sz w:val="20"/>
                <w:szCs w:val="20"/>
              </w:rPr>
            </w:pPr>
            <w:r w:rsidRPr="00DC5B6E">
              <w:rPr>
                <w:rFonts w:ascii="Arial" w:hAnsi="Arial" w:cs="Arial"/>
                <w:b/>
                <w:bCs/>
                <w:sz w:val="20"/>
                <w:szCs w:val="20"/>
              </w:rPr>
              <w:t>31 March 2025</w:t>
            </w:r>
          </w:p>
        </w:tc>
      </w:tr>
      <w:tr w:rsidR="00DC5B6E" w:rsidRPr="00DC5B6E" w14:paraId="4CA673C2" w14:textId="77777777" w:rsidTr="004A3AC2">
        <w:trPr>
          <w:trHeight w:val="60"/>
          <w:jc w:val="center"/>
        </w:trPr>
        <w:tc>
          <w:tcPr>
            <w:tcW w:w="2127" w:type="dxa"/>
            <w:tcBorders>
              <w:top w:val="nil"/>
              <w:left w:val="nil"/>
              <w:bottom w:val="nil"/>
              <w:right w:val="nil"/>
            </w:tcBorders>
            <w:shd w:val="clear" w:color="000000" w:fill="FFFFFF"/>
            <w:vAlign w:val="bottom"/>
            <w:hideMark/>
          </w:tcPr>
          <w:p w14:paraId="2B6FB9EE" w14:textId="77777777" w:rsidR="00867645" w:rsidRPr="00DC5B6E" w:rsidRDefault="00867645" w:rsidP="00DF3ECC">
            <w:pPr>
              <w:jc w:val="center"/>
              <w:rPr>
                <w:rFonts w:ascii="Arial" w:hAnsi="Arial" w:cs="Arial"/>
                <w:b/>
                <w:bCs/>
                <w:sz w:val="20"/>
                <w:szCs w:val="20"/>
              </w:rPr>
            </w:pPr>
            <w:r w:rsidRPr="00DC5B6E">
              <w:rPr>
                <w:rFonts w:ascii="Arial" w:hAnsi="Arial" w:cs="Arial"/>
                <w:b/>
                <w:bCs/>
                <w:sz w:val="20"/>
                <w:szCs w:val="20"/>
              </w:rPr>
              <w:t> </w:t>
            </w:r>
          </w:p>
        </w:tc>
        <w:tc>
          <w:tcPr>
            <w:tcW w:w="1559" w:type="dxa"/>
            <w:tcBorders>
              <w:top w:val="nil"/>
              <w:left w:val="nil"/>
              <w:bottom w:val="nil"/>
              <w:right w:val="nil"/>
            </w:tcBorders>
            <w:shd w:val="clear" w:color="000000" w:fill="FFFFFF"/>
            <w:vAlign w:val="bottom"/>
            <w:hideMark/>
          </w:tcPr>
          <w:p w14:paraId="783CA1C5" w14:textId="77777777" w:rsidR="00867645" w:rsidRPr="00DC5B6E" w:rsidRDefault="00867645" w:rsidP="00DF3ECC">
            <w:pPr>
              <w:jc w:val="center"/>
              <w:rPr>
                <w:rFonts w:ascii="Arial" w:hAnsi="Arial" w:cs="Arial"/>
                <w:bCs/>
                <w:sz w:val="20"/>
                <w:szCs w:val="20"/>
              </w:rPr>
            </w:pPr>
            <w:r w:rsidRPr="00DC5B6E">
              <w:rPr>
                <w:rFonts w:ascii="Arial" w:hAnsi="Arial" w:cs="Arial"/>
                <w:bCs/>
                <w:sz w:val="20"/>
                <w:szCs w:val="20"/>
              </w:rPr>
              <w:t>£000</w:t>
            </w:r>
          </w:p>
        </w:tc>
        <w:tc>
          <w:tcPr>
            <w:tcW w:w="1276" w:type="dxa"/>
            <w:tcBorders>
              <w:top w:val="nil"/>
              <w:left w:val="nil"/>
              <w:bottom w:val="nil"/>
              <w:right w:val="nil"/>
            </w:tcBorders>
            <w:shd w:val="clear" w:color="000000" w:fill="FFFFFF"/>
            <w:vAlign w:val="bottom"/>
            <w:hideMark/>
          </w:tcPr>
          <w:p w14:paraId="4916F941" w14:textId="77777777" w:rsidR="00867645" w:rsidRPr="00DC5B6E" w:rsidRDefault="00867645" w:rsidP="00DF3ECC">
            <w:pPr>
              <w:jc w:val="center"/>
              <w:rPr>
                <w:rFonts w:ascii="Arial" w:hAnsi="Arial" w:cs="Arial"/>
                <w:bCs/>
                <w:sz w:val="20"/>
                <w:szCs w:val="20"/>
              </w:rPr>
            </w:pPr>
            <w:r w:rsidRPr="00DC5B6E">
              <w:rPr>
                <w:rFonts w:ascii="Arial" w:hAnsi="Arial" w:cs="Arial"/>
                <w:bCs/>
                <w:sz w:val="20"/>
                <w:szCs w:val="20"/>
              </w:rPr>
              <w:t>£000</w:t>
            </w:r>
          </w:p>
        </w:tc>
        <w:tc>
          <w:tcPr>
            <w:tcW w:w="1134" w:type="dxa"/>
            <w:tcBorders>
              <w:top w:val="nil"/>
              <w:left w:val="nil"/>
              <w:bottom w:val="nil"/>
              <w:right w:val="nil"/>
            </w:tcBorders>
            <w:shd w:val="clear" w:color="000000" w:fill="FFFFFF"/>
            <w:vAlign w:val="bottom"/>
            <w:hideMark/>
          </w:tcPr>
          <w:p w14:paraId="116501AA" w14:textId="77777777" w:rsidR="00867645" w:rsidRPr="00DC5B6E" w:rsidRDefault="00867645" w:rsidP="00DF3ECC">
            <w:pPr>
              <w:jc w:val="center"/>
              <w:rPr>
                <w:rFonts w:ascii="Arial" w:hAnsi="Arial" w:cs="Arial"/>
                <w:bCs/>
                <w:sz w:val="20"/>
                <w:szCs w:val="20"/>
              </w:rPr>
            </w:pPr>
            <w:r w:rsidRPr="00DC5B6E">
              <w:rPr>
                <w:rFonts w:ascii="Arial" w:hAnsi="Arial" w:cs="Arial"/>
                <w:bCs/>
                <w:sz w:val="20"/>
                <w:szCs w:val="20"/>
              </w:rPr>
              <w:t>£000</w:t>
            </w:r>
          </w:p>
        </w:tc>
        <w:tc>
          <w:tcPr>
            <w:tcW w:w="283" w:type="dxa"/>
            <w:vMerge/>
            <w:tcBorders>
              <w:left w:val="nil"/>
              <w:right w:val="nil"/>
            </w:tcBorders>
            <w:shd w:val="clear" w:color="000000" w:fill="FFFFFF"/>
            <w:vAlign w:val="bottom"/>
            <w:hideMark/>
          </w:tcPr>
          <w:p w14:paraId="6AFDA26F" w14:textId="77777777" w:rsidR="00867645" w:rsidRPr="00DC5B6E" w:rsidRDefault="00867645" w:rsidP="00DF3ECC">
            <w:pPr>
              <w:jc w:val="center"/>
              <w:rPr>
                <w:rFonts w:ascii="Arial" w:hAnsi="Arial" w:cs="Arial"/>
                <w:b/>
                <w:bCs/>
                <w:sz w:val="20"/>
                <w:szCs w:val="20"/>
              </w:rPr>
            </w:pPr>
          </w:p>
        </w:tc>
        <w:tc>
          <w:tcPr>
            <w:tcW w:w="1269" w:type="dxa"/>
            <w:tcBorders>
              <w:top w:val="nil"/>
              <w:left w:val="nil"/>
              <w:bottom w:val="nil"/>
              <w:right w:val="nil"/>
            </w:tcBorders>
            <w:shd w:val="clear" w:color="000000" w:fill="FFFFFF"/>
            <w:vAlign w:val="bottom"/>
            <w:hideMark/>
          </w:tcPr>
          <w:p w14:paraId="1F4D67B3" w14:textId="77777777" w:rsidR="00867645" w:rsidRPr="00DC5B6E" w:rsidRDefault="00867645" w:rsidP="00DF3ECC">
            <w:pPr>
              <w:jc w:val="center"/>
              <w:rPr>
                <w:rFonts w:ascii="Arial" w:hAnsi="Arial" w:cs="Arial"/>
                <w:b/>
                <w:bCs/>
                <w:sz w:val="20"/>
                <w:szCs w:val="20"/>
              </w:rPr>
            </w:pPr>
            <w:r w:rsidRPr="00DC5B6E">
              <w:rPr>
                <w:rFonts w:ascii="Arial" w:hAnsi="Arial" w:cs="Arial"/>
                <w:b/>
                <w:bCs/>
                <w:sz w:val="20"/>
                <w:szCs w:val="20"/>
              </w:rPr>
              <w:t>£000</w:t>
            </w:r>
          </w:p>
        </w:tc>
        <w:tc>
          <w:tcPr>
            <w:tcW w:w="1141" w:type="dxa"/>
            <w:tcBorders>
              <w:top w:val="nil"/>
              <w:left w:val="nil"/>
              <w:bottom w:val="nil"/>
              <w:right w:val="nil"/>
            </w:tcBorders>
            <w:shd w:val="clear" w:color="000000" w:fill="FFFFFF"/>
            <w:vAlign w:val="bottom"/>
            <w:hideMark/>
          </w:tcPr>
          <w:p w14:paraId="778FFCBD" w14:textId="77777777" w:rsidR="00867645" w:rsidRPr="00DC5B6E" w:rsidRDefault="00867645" w:rsidP="00DF3ECC">
            <w:pPr>
              <w:jc w:val="center"/>
              <w:rPr>
                <w:rFonts w:ascii="Arial" w:hAnsi="Arial" w:cs="Arial"/>
                <w:b/>
                <w:bCs/>
                <w:sz w:val="20"/>
                <w:szCs w:val="20"/>
              </w:rPr>
            </w:pPr>
            <w:r w:rsidRPr="00DC5B6E">
              <w:rPr>
                <w:rFonts w:ascii="Arial" w:hAnsi="Arial" w:cs="Arial"/>
                <w:b/>
                <w:bCs/>
                <w:sz w:val="20"/>
                <w:szCs w:val="20"/>
              </w:rPr>
              <w:t>£000</w:t>
            </w:r>
          </w:p>
        </w:tc>
        <w:tc>
          <w:tcPr>
            <w:tcW w:w="1417" w:type="dxa"/>
            <w:tcBorders>
              <w:top w:val="nil"/>
              <w:left w:val="nil"/>
              <w:bottom w:val="nil"/>
              <w:right w:val="nil"/>
            </w:tcBorders>
            <w:shd w:val="clear" w:color="000000" w:fill="FFFFFF"/>
            <w:vAlign w:val="bottom"/>
            <w:hideMark/>
          </w:tcPr>
          <w:p w14:paraId="69DFE022" w14:textId="77777777" w:rsidR="00867645" w:rsidRPr="00DC5B6E" w:rsidRDefault="00867645" w:rsidP="00DF3ECC">
            <w:pPr>
              <w:jc w:val="center"/>
              <w:rPr>
                <w:rFonts w:ascii="Arial" w:hAnsi="Arial" w:cs="Arial"/>
                <w:b/>
                <w:bCs/>
                <w:sz w:val="20"/>
                <w:szCs w:val="20"/>
              </w:rPr>
            </w:pPr>
            <w:r w:rsidRPr="00DC5B6E">
              <w:rPr>
                <w:rFonts w:ascii="Arial" w:hAnsi="Arial" w:cs="Arial"/>
                <w:b/>
                <w:bCs/>
                <w:sz w:val="20"/>
                <w:szCs w:val="20"/>
              </w:rPr>
              <w:t>£000</w:t>
            </w:r>
          </w:p>
        </w:tc>
      </w:tr>
      <w:tr w:rsidR="00DC5B6E" w:rsidRPr="00DC5B6E" w14:paraId="20EBAD59" w14:textId="77777777" w:rsidTr="004A3AC2">
        <w:trPr>
          <w:trHeight w:val="57"/>
          <w:jc w:val="center"/>
        </w:trPr>
        <w:tc>
          <w:tcPr>
            <w:tcW w:w="2127" w:type="dxa"/>
            <w:tcBorders>
              <w:top w:val="nil"/>
              <w:left w:val="nil"/>
              <w:bottom w:val="nil"/>
              <w:right w:val="nil"/>
            </w:tcBorders>
            <w:shd w:val="clear" w:color="auto" w:fill="auto"/>
            <w:vAlign w:val="bottom"/>
            <w:hideMark/>
          </w:tcPr>
          <w:p w14:paraId="28B3B989" w14:textId="037C37B5" w:rsidR="000D245A" w:rsidRPr="00DC5B6E" w:rsidRDefault="000D245A" w:rsidP="000D245A">
            <w:pPr>
              <w:rPr>
                <w:rFonts w:ascii="Arial" w:hAnsi="Arial" w:cs="Arial"/>
                <w:sz w:val="20"/>
                <w:szCs w:val="20"/>
              </w:rPr>
            </w:pPr>
            <w:r w:rsidRPr="00DC5B6E">
              <w:rPr>
                <w:rFonts w:ascii="Arial" w:hAnsi="Arial" w:cs="Arial"/>
                <w:sz w:val="20"/>
                <w:szCs w:val="20"/>
              </w:rPr>
              <w:t xml:space="preserve">Bonds   </w:t>
            </w:r>
          </w:p>
        </w:tc>
        <w:tc>
          <w:tcPr>
            <w:tcW w:w="1559" w:type="dxa"/>
            <w:tcBorders>
              <w:top w:val="nil"/>
              <w:left w:val="nil"/>
              <w:bottom w:val="nil"/>
              <w:right w:val="nil"/>
            </w:tcBorders>
            <w:shd w:val="clear" w:color="000000" w:fill="FFFFFF"/>
            <w:vAlign w:val="center"/>
          </w:tcPr>
          <w:p w14:paraId="11E1915E" w14:textId="43A664CE" w:rsidR="000D245A" w:rsidRPr="00DC5B6E" w:rsidRDefault="000D245A" w:rsidP="000D245A">
            <w:pPr>
              <w:jc w:val="right"/>
              <w:rPr>
                <w:rFonts w:ascii="Arial" w:hAnsi="Arial" w:cs="Arial"/>
                <w:bCs/>
                <w:sz w:val="20"/>
                <w:szCs w:val="20"/>
              </w:rPr>
            </w:pPr>
            <w:r w:rsidRPr="00DC5B6E">
              <w:rPr>
                <w:rFonts w:ascii="Arial" w:hAnsi="Arial" w:cs="Arial"/>
                <w:bCs/>
                <w:sz w:val="20"/>
                <w:szCs w:val="20"/>
              </w:rPr>
              <w:t>119,346</w:t>
            </w:r>
          </w:p>
        </w:tc>
        <w:tc>
          <w:tcPr>
            <w:tcW w:w="1276" w:type="dxa"/>
            <w:tcBorders>
              <w:top w:val="nil"/>
              <w:left w:val="nil"/>
              <w:bottom w:val="nil"/>
              <w:right w:val="nil"/>
            </w:tcBorders>
            <w:shd w:val="clear" w:color="auto" w:fill="auto"/>
          </w:tcPr>
          <w:p w14:paraId="15927966" w14:textId="468DCE2B"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2F480503" w14:textId="59DCD08B"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78F51E73"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000000" w:fill="FFFFFF"/>
            <w:vAlign w:val="center"/>
          </w:tcPr>
          <w:p w14:paraId="6E9E243A" w14:textId="5F5529CE" w:rsidR="000D245A" w:rsidRPr="00DC5B6E" w:rsidRDefault="000D245A" w:rsidP="000D245A">
            <w:pPr>
              <w:jc w:val="right"/>
              <w:rPr>
                <w:rFonts w:ascii="Arial" w:hAnsi="Arial" w:cs="Arial"/>
                <w:b/>
                <w:sz w:val="20"/>
                <w:szCs w:val="20"/>
              </w:rPr>
            </w:pPr>
            <w:r w:rsidRPr="00DC5B6E">
              <w:rPr>
                <w:rFonts w:ascii="Arial" w:hAnsi="Arial" w:cs="Arial"/>
                <w:b/>
                <w:bCs/>
                <w:sz w:val="20"/>
                <w:szCs w:val="20"/>
              </w:rPr>
              <w:t>124,645</w:t>
            </w:r>
          </w:p>
        </w:tc>
        <w:tc>
          <w:tcPr>
            <w:tcW w:w="1141" w:type="dxa"/>
            <w:tcBorders>
              <w:top w:val="nil"/>
              <w:left w:val="nil"/>
              <w:bottom w:val="nil"/>
              <w:right w:val="nil"/>
            </w:tcBorders>
            <w:shd w:val="clear" w:color="auto" w:fill="auto"/>
            <w:vAlign w:val="center"/>
          </w:tcPr>
          <w:p w14:paraId="43E0A80D" w14:textId="392554DA"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1C9BD29E" w14:textId="42AB9D27"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30E786F2" w14:textId="77777777" w:rsidTr="004A3AC2">
        <w:trPr>
          <w:trHeight w:val="57"/>
          <w:jc w:val="center"/>
        </w:trPr>
        <w:tc>
          <w:tcPr>
            <w:tcW w:w="2127" w:type="dxa"/>
            <w:tcBorders>
              <w:top w:val="nil"/>
              <w:left w:val="nil"/>
              <w:bottom w:val="nil"/>
              <w:right w:val="nil"/>
            </w:tcBorders>
            <w:shd w:val="clear" w:color="auto" w:fill="auto"/>
            <w:vAlign w:val="bottom"/>
            <w:hideMark/>
          </w:tcPr>
          <w:p w14:paraId="0C6600C8" w14:textId="77777777" w:rsidR="000D245A" w:rsidRPr="00DC5B6E" w:rsidRDefault="000D245A" w:rsidP="000D245A">
            <w:pPr>
              <w:rPr>
                <w:rFonts w:ascii="Arial" w:hAnsi="Arial" w:cs="Arial"/>
                <w:sz w:val="20"/>
                <w:szCs w:val="20"/>
              </w:rPr>
            </w:pPr>
            <w:r w:rsidRPr="00DC5B6E">
              <w:rPr>
                <w:rFonts w:ascii="Arial" w:hAnsi="Arial" w:cs="Arial"/>
                <w:sz w:val="20"/>
                <w:szCs w:val="20"/>
              </w:rPr>
              <w:t>Equities</w:t>
            </w:r>
          </w:p>
        </w:tc>
        <w:tc>
          <w:tcPr>
            <w:tcW w:w="1559" w:type="dxa"/>
            <w:tcBorders>
              <w:top w:val="nil"/>
              <w:left w:val="nil"/>
              <w:bottom w:val="nil"/>
              <w:right w:val="nil"/>
            </w:tcBorders>
            <w:shd w:val="clear" w:color="000000" w:fill="FFFFFF"/>
            <w:vAlign w:val="center"/>
          </w:tcPr>
          <w:p w14:paraId="4038BD24" w14:textId="0B3B1EB8" w:rsidR="000D245A" w:rsidRPr="00DC5B6E" w:rsidRDefault="000D245A" w:rsidP="000D245A">
            <w:pPr>
              <w:jc w:val="right"/>
              <w:rPr>
                <w:rFonts w:ascii="Arial" w:hAnsi="Arial" w:cs="Arial"/>
                <w:bCs/>
                <w:sz w:val="20"/>
                <w:szCs w:val="20"/>
              </w:rPr>
            </w:pPr>
            <w:r w:rsidRPr="00DC5B6E">
              <w:rPr>
                <w:rFonts w:ascii="Arial" w:hAnsi="Arial" w:cs="Arial"/>
                <w:bCs/>
                <w:sz w:val="20"/>
                <w:szCs w:val="20"/>
              </w:rPr>
              <w:t>552,057</w:t>
            </w:r>
          </w:p>
        </w:tc>
        <w:tc>
          <w:tcPr>
            <w:tcW w:w="1276" w:type="dxa"/>
            <w:tcBorders>
              <w:top w:val="nil"/>
              <w:left w:val="nil"/>
              <w:bottom w:val="nil"/>
              <w:right w:val="nil"/>
            </w:tcBorders>
            <w:shd w:val="clear" w:color="auto" w:fill="auto"/>
          </w:tcPr>
          <w:p w14:paraId="5BBCE8AA" w14:textId="492B1A31"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7936B2BF" w14:textId="07394D40"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4274464B"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000000" w:fill="FFFFFF"/>
            <w:vAlign w:val="center"/>
          </w:tcPr>
          <w:p w14:paraId="01B97D4C" w14:textId="6131B98C" w:rsidR="000D245A" w:rsidRPr="00DC5B6E" w:rsidRDefault="000D245A" w:rsidP="000D245A">
            <w:pPr>
              <w:jc w:val="right"/>
              <w:rPr>
                <w:rFonts w:ascii="Arial" w:hAnsi="Arial" w:cs="Arial"/>
                <w:b/>
                <w:sz w:val="20"/>
                <w:szCs w:val="20"/>
              </w:rPr>
            </w:pPr>
            <w:r w:rsidRPr="00DC5B6E">
              <w:rPr>
                <w:rFonts w:ascii="Arial" w:hAnsi="Arial" w:cs="Arial"/>
                <w:b/>
                <w:bCs/>
                <w:sz w:val="20"/>
                <w:szCs w:val="20"/>
              </w:rPr>
              <w:t>583,738</w:t>
            </w:r>
          </w:p>
        </w:tc>
        <w:tc>
          <w:tcPr>
            <w:tcW w:w="1141" w:type="dxa"/>
            <w:tcBorders>
              <w:top w:val="nil"/>
              <w:left w:val="nil"/>
              <w:bottom w:val="nil"/>
              <w:right w:val="nil"/>
            </w:tcBorders>
            <w:shd w:val="clear" w:color="auto" w:fill="auto"/>
            <w:vAlign w:val="center"/>
          </w:tcPr>
          <w:p w14:paraId="44087C1D" w14:textId="683511E0"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148E4486" w14:textId="3FD4562B"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0838B8AC" w14:textId="77777777" w:rsidTr="004A3AC2">
        <w:trPr>
          <w:trHeight w:val="110"/>
          <w:jc w:val="center"/>
        </w:trPr>
        <w:tc>
          <w:tcPr>
            <w:tcW w:w="2127" w:type="dxa"/>
            <w:tcBorders>
              <w:top w:val="nil"/>
              <w:left w:val="nil"/>
              <w:bottom w:val="nil"/>
              <w:right w:val="nil"/>
            </w:tcBorders>
            <w:shd w:val="clear" w:color="auto" w:fill="auto"/>
            <w:vAlign w:val="bottom"/>
          </w:tcPr>
          <w:p w14:paraId="3D30C995" w14:textId="61FBFD6F" w:rsidR="000D245A" w:rsidRPr="00DC5B6E" w:rsidRDefault="000D245A" w:rsidP="000D245A">
            <w:pPr>
              <w:rPr>
                <w:rFonts w:ascii="Arial" w:hAnsi="Arial" w:cs="Arial"/>
                <w:sz w:val="20"/>
                <w:szCs w:val="20"/>
              </w:rPr>
            </w:pPr>
            <w:r w:rsidRPr="00DC5B6E">
              <w:rPr>
                <w:rFonts w:ascii="Arial" w:hAnsi="Arial" w:cs="Arial"/>
                <w:sz w:val="20"/>
                <w:szCs w:val="20"/>
              </w:rPr>
              <w:t xml:space="preserve">Property Unit Trusts </w:t>
            </w:r>
          </w:p>
        </w:tc>
        <w:tc>
          <w:tcPr>
            <w:tcW w:w="1559" w:type="dxa"/>
            <w:tcBorders>
              <w:top w:val="nil"/>
              <w:left w:val="nil"/>
              <w:bottom w:val="nil"/>
              <w:right w:val="nil"/>
            </w:tcBorders>
            <w:shd w:val="clear" w:color="000000" w:fill="FFFFFF"/>
            <w:vAlign w:val="center"/>
          </w:tcPr>
          <w:p w14:paraId="13B2208A" w14:textId="4B10FE93" w:rsidR="000D245A" w:rsidRPr="00DC5B6E" w:rsidRDefault="000D245A" w:rsidP="000D245A">
            <w:pPr>
              <w:jc w:val="right"/>
              <w:rPr>
                <w:rFonts w:ascii="Arial" w:hAnsi="Arial" w:cs="Arial"/>
                <w:bCs/>
                <w:sz w:val="20"/>
                <w:szCs w:val="20"/>
              </w:rPr>
            </w:pPr>
            <w:r w:rsidRPr="00DC5B6E">
              <w:rPr>
                <w:rFonts w:ascii="Arial" w:hAnsi="Arial" w:cs="Arial"/>
                <w:bCs/>
                <w:sz w:val="20"/>
                <w:szCs w:val="20"/>
              </w:rPr>
              <w:t>47,850</w:t>
            </w:r>
          </w:p>
        </w:tc>
        <w:tc>
          <w:tcPr>
            <w:tcW w:w="1276" w:type="dxa"/>
            <w:tcBorders>
              <w:top w:val="nil"/>
              <w:left w:val="nil"/>
              <w:bottom w:val="nil"/>
              <w:right w:val="nil"/>
            </w:tcBorders>
            <w:shd w:val="clear" w:color="auto" w:fill="auto"/>
          </w:tcPr>
          <w:p w14:paraId="33970595" w14:textId="1598AA16"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43BDE87D" w14:textId="3C55412E"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678CE890"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000000" w:fill="FFFFFF"/>
            <w:vAlign w:val="center"/>
          </w:tcPr>
          <w:p w14:paraId="23C2BE65" w14:textId="4BA81769" w:rsidR="000D245A" w:rsidRPr="00DC5B6E" w:rsidRDefault="000D245A" w:rsidP="000D245A">
            <w:pPr>
              <w:jc w:val="right"/>
              <w:rPr>
                <w:rFonts w:ascii="Arial" w:hAnsi="Arial" w:cs="Arial"/>
                <w:b/>
                <w:sz w:val="20"/>
                <w:szCs w:val="20"/>
              </w:rPr>
            </w:pPr>
            <w:r w:rsidRPr="00DC5B6E">
              <w:rPr>
                <w:rFonts w:ascii="Arial" w:hAnsi="Arial" w:cs="Arial"/>
                <w:b/>
                <w:bCs/>
                <w:sz w:val="20"/>
                <w:szCs w:val="20"/>
              </w:rPr>
              <w:t>96,880</w:t>
            </w:r>
          </w:p>
        </w:tc>
        <w:tc>
          <w:tcPr>
            <w:tcW w:w="1141" w:type="dxa"/>
            <w:tcBorders>
              <w:top w:val="nil"/>
              <w:left w:val="nil"/>
              <w:bottom w:val="nil"/>
              <w:right w:val="nil"/>
            </w:tcBorders>
            <w:shd w:val="clear" w:color="auto" w:fill="auto"/>
            <w:vAlign w:val="center"/>
          </w:tcPr>
          <w:p w14:paraId="010EF99E" w14:textId="56FBA0AE"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368ADC78" w14:textId="4FFA9141"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0AFB50CE" w14:textId="77777777" w:rsidTr="004A3AC2">
        <w:trPr>
          <w:trHeight w:val="110"/>
          <w:jc w:val="center"/>
        </w:trPr>
        <w:tc>
          <w:tcPr>
            <w:tcW w:w="2127" w:type="dxa"/>
            <w:tcBorders>
              <w:top w:val="nil"/>
              <w:left w:val="nil"/>
              <w:bottom w:val="nil"/>
              <w:right w:val="nil"/>
            </w:tcBorders>
            <w:shd w:val="clear" w:color="auto" w:fill="auto"/>
            <w:vAlign w:val="bottom"/>
          </w:tcPr>
          <w:p w14:paraId="76F9ACBC" w14:textId="33993FF3" w:rsidR="000D245A" w:rsidRPr="00DC5B6E" w:rsidRDefault="000D245A" w:rsidP="000D245A">
            <w:pPr>
              <w:rPr>
                <w:rFonts w:ascii="Arial" w:hAnsi="Arial" w:cs="Arial"/>
                <w:sz w:val="20"/>
                <w:szCs w:val="20"/>
              </w:rPr>
            </w:pPr>
            <w:r w:rsidRPr="00DC5B6E">
              <w:rPr>
                <w:rFonts w:ascii="Arial" w:hAnsi="Arial" w:cs="Arial"/>
                <w:sz w:val="20"/>
                <w:szCs w:val="20"/>
              </w:rPr>
              <w:t>Pooled Investments</w:t>
            </w:r>
          </w:p>
        </w:tc>
        <w:tc>
          <w:tcPr>
            <w:tcW w:w="1559" w:type="dxa"/>
            <w:tcBorders>
              <w:top w:val="nil"/>
              <w:left w:val="nil"/>
              <w:bottom w:val="nil"/>
              <w:right w:val="nil"/>
            </w:tcBorders>
            <w:shd w:val="clear" w:color="000000" w:fill="FFFFFF"/>
            <w:vAlign w:val="center"/>
          </w:tcPr>
          <w:p w14:paraId="6364ACC5" w14:textId="216FCDEC" w:rsidR="000D245A" w:rsidRPr="00DC5B6E" w:rsidRDefault="000D245A" w:rsidP="000D245A">
            <w:pPr>
              <w:jc w:val="right"/>
              <w:rPr>
                <w:rFonts w:ascii="Arial" w:hAnsi="Arial" w:cs="Arial"/>
                <w:bCs/>
                <w:sz w:val="20"/>
                <w:szCs w:val="20"/>
              </w:rPr>
            </w:pPr>
            <w:r w:rsidRPr="00DC5B6E">
              <w:rPr>
                <w:rFonts w:ascii="Arial" w:hAnsi="Arial" w:cs="Arial"/>
                <w:bCs/>
                <w:sz w:val="20"/>
                <w:szCs w:val="20"/>
              </w:rPr>
              <w:t>489,430</w:t>
            </w:r>
          </w:p>
        </w:tc>
        <w:tc>
          <w:tcPr>
            <w:tcW w:w="1276" w:type="dxa"/>
            <w:tcBorders>
              <w:top w:val="nil"/>
              <w:left w:val="nil"/>
              <w:bottom w:val="nil"/>
              <w:right w:val="nil"/>
            </w:tcBorders>
            <w:shd w:val="clear" w:color="auto" w:fill="auto"/>
          </w:tcPr>
          <w:p w14:paraId="2844E0CD" w14:textId="1CC1D121"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7570ED24" w14:textId="2DB24CA4"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tcPr>
          <w:p w14:paraId="084661A9"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000000" w:fill="FFFFFF"/>
            <w:vAlign w:val="center"/>
          </w:tcPr>
          <w:p w14:paraId="0F1D534F" w14:textId="0A96F209" w:rsidR="000D245A" w:rsidRPr="00DC5B6E" w:rsidRDefault="000D245A" w:rsidP="000D245A">
            <w:pPr>
              <w:jc w:val="right"/>
              <w:rPr>
                <w:rFonts w:ascii="Arial" w:hAnsi="Arial" w:cs="Arial"/>
                <w:b/>
                <w:sz w:val="20"/>
                <w:szCs w:val="20"/>
              </w:rPr>
            </w:pPr>
            <w:r w:rsidRPr="00DC5B6E">
              <w:rPr>
                <w:rFonts w:ascii="Arial" w:hAnsi="Arial" w:cs="Arial"/>
                <w:b/>
                <w:bCs/>
                <w:sz w:val="20"/>
                <w:szCs w:val="20"/>
              </w:rPr>
              <w:t>451,719</w:t>
            </w:r>
          </w:p>
        </w:tc>
        <w:tc>
          <w:tcPr>
            <w:tcW w:w="1141" w:type="dxa"/>
            <w:tcBorders>
              <w:top w:val="nil"/>
              <w:left w:val="nil"/>
              <w:bottom w:val="nil"/>
              <w:right w:val="nil"/>
            </w:tcBorders>
            <w:shd w:val="clear" w:color="auto" w:fill="auto"/>
            <w:vAlign w:val="center"/>
          </w:tcPr>
          <w:p w14:paraId="7311B90A" w14:textId="0E50190B"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09F4AF72" w14:textId="5AA33816"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1A2A4F55" w14:textId="77777777" w:rsidTr="004A3AC2">
        <w:trPr>
          <w:trHeight w:val="110"/>
          <w:jc w:val="center"/>
        </w:trPr>
        <w:tc>
          <w:tcPr>
            <w:tcW w:w="2127" w:type="dxa"/>
            <w:tcBorders>
              <w:top w:val="nil"/>
              <w:left w:val="nil"/>
              <w:bottom w:val="nil"/>
              <w:right w:val="nil"/>
            </w:tcBorders>
            <w:shd w:val="clear" w:color="auto" w:fill="auto"/>
            <w:vAlign w:val="bottom"/>
          </w:tcPr>
          <w:p w14:paraId="484CEF6B" w14:textId="56BC32BB" w:rsidR="000D245A" w:rsidRPr="00DC5B6E" w:rsidRDefault="000D245A" w:rsidP="000D245A">
            <w:pPr>
              <w:rPr>
                <w:rFonts w:ascii="Arial" w:hAnsi="Arial" w:cs="Arial"/>
                <w:sz w:val="20"/>
                <w:szCs w:val="20"/>
              </w:rPr>
            </w:pPr>
            <w:r w:rsidRPr="00DC5B6E">
              <w:rPr>
                <w:rFonts w:ascii="Arial" w:hAnsi="Arial" w:cs="Arial"/>
                <w:sz w:val="20"/>
                <w:szCs w:val="20"/>
              </w:rPr>
              <w:t>Private Equity</w:t>
            </w:r>
          </w:p>
        </w:tc>
        <w:tc>
          <w:tcPr>
            <w:tcW w:w="1559" w:type="dxa"/>
            <w:tcBorders>
              <w:top w:val="nil"/>
              <w:left w:val="nil"/>
              <w:bottom w:val="nil"/>
              <w:right w:val="nil"/>
            </w:tcBorders>
            <w:shd w:val="clear" w:color="000000" w:fill="FFFFFF"/>
            <w:vAlign w:val="center"/>
          </w:tcPr>
          <w:p w14:paraId="4A89A813" w14:textId="5F7F2544" w:rsidR="000D245A" w:rsidRPr="00DC5B6E" w:rsidRDefault="000D245A" w:rsidP="000D245A">
            <w:pPr>
              <w:jc w:val="right"/>
              <w:rPr>
                <w:rFonts w:ascii="Arial" w:hAnsi="Arial" w:cs="Arial"/>
                <w:bCs/>
                <w:sz w:val="20"/>
                <w:szCs w:val="20"/>
              </w:rPr>
            </w:pPr>
            <w:r w:rsidRPr="00DC5B6E">
              <w:rPr>
                <w:rFonts w:ascii="Arial" w:hAnsi="Arial" w:cs="Arial"/>
                <w:bCs/>
                <w:sz w:val="20"/>
                <w:szCs w:val="20"/>
              </w:rPr>
              <w:t>107,474</w:t>
            </w:r>
          </w:p>
        </w:tc>
        <w:tc>
          <w:tcPr>
            <w:tcW w:w="1276" w:type="dxa"/>
            <w:tcBorders>
              <w:top w:val="nil"/>
              <w:left w:val="nil"/>
              <w:bottom w:val="nil"/>
              <w:right w:val="nil"/>
            </w:tcBorders>
            <w:shd w:val="clear" w:color="auto" w:fill="auto"/>
          </w:tcPr>
          <w:p w14:paraId="1E01B054" w14:textId="5280AF3C"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41D64EAC" w14:textId="2C32FBA2"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tcPr>
          <w:p w14:paraId="5594F340"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000000" w:fill="FFFFFF"/>
            <w:vAlign w:val="center"/>
          </w:tcPr>
          <w:p w14:paraId="4E44C520" w14:textId="5BD00368" w:rsidR="000D245A" w:rsidRPr="00DC5B6E" w:rsidRDefault="000D245A" w:rsidP="000D245A">
            <w:pPr>
              <w:jc w:val="right"/>
              <w:rPr>
                <w:rFonts w:ascii="Arial" w:hAnsi="Arial" w:cs="Arial"/>
                <w:b/>
                <w:sz w:val="20"/>
                <w:szCs w:val="20"/>
              </w:rPr>
            </w:pPr>
            <w:r w:rsidRPr="00DC5B6E">
              <w:rPr>
                <w:rFonts w:ascii="Arial" w:hAnsi="Arial" w:cs="Arial"/>
                <w:b/>
                <w:bCs/>
                <w:sz w:val="20"/>
                <w:szCs w:val="20"/>
              </w:rPr>
              <w:t>127,590</w:t>
            </w:r>
          </w:p>
        </w:tc>
        <w:tc>
          <w:tcPr>
            <w:tcW w:w="1141" w:type="dxa"/>
            <w:tcBorders>
              <w:top w:val="nil"/>
              <w:left w:val="nil"/>
              <w:bottom w:val="nil"/>
              <w:right w:val="nil"/>
            </w:tcBorders>
            <w:shd w:val="clear" w:color="auto" w:fill="auto"/>
            <w:vAlign w:val="center"/>
          </w:tcPr>
          <w:p w14:paraId="3F4B4586" w14:textId="31DD68B4"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45B70AE8" w14:textId="4CB8AFFE"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00B31FCE" w14:textId="77777777" w:rsidTr="004A3AC2">
        <w:trPr>
          <w:trHeight w:val="57"/>
          <w:jc w:val="center"/>
        </w:trPr>
        <w:tc>
          <w:tcPr>
            <w:tcW w:w="2127" w:type="dxa"/>
            <w:tcBorders>
              <w:top w:val="nil"/>
              <w:left w:val="nil"/>
              <w:bottom w:val="nil"/>
              <w:right w:val="nil"/>
            </w:tcBorders>
            <w:shd w:val="clear" w:color="auto" w:fill="auto"/>
            <w:vAlign w:val="bottom"/>
            <w:hideMark/>
          </w:tcPr>
          <w:p w14:paraId="03114B98" w14:textId="1A9C5265" w:rsidR="000D245A" w:rsidRPr="00DC5B6E" w:rsidRDefault="00EC0705" w:rsidP="000D245A">
            <w:pPr>
              <w:rPr>
                <w:rFonts w:ascii="Arial" w:hAnsi="Arial" w:cs="Arial"/>
                <w:sz w:val="20"/>
                <w:szCs w:val="20"/>
              </w:rPr>
            </w:pPr>
            <w:r>
              <w:rPr>
                <w:rFonts w:ascii="Arial" w:hAnsi="Arial" w:cs="Arial"/>
                <w:sz w:val="20"/>
                <w:szCs w:val="20"/>
              </w:rPr>
              <w:t>Cash deposits held with Custodian</w:t>
            </w:r>
          </w:p>
        </w:tc>
        <w:tc>
          <w:tcPr>
            <w:tcW w:w="1559" w:type="dxa"/>
            <w:tcBorders>
              <w:top w:val="nil"/>
              <w:left w:val="nil"/>
              <w:bottom w:val="nil"/>
              <w:right w:val="nil"/>
            </w:tcBorders>
            <w:shd w:val="clear" w:color="auto" w:fill="auto"/>
            <w:vAlign w:val="center"/>
          </w:tcPr>
          <w:p w14:paraId="5907B6A2" w14:textId="77777777" w:rsidR="00E643DF" w:rsidRPr="00DC5B6E" w:rsidRDefault="00E643DF" w:rsidP="000D245A">
            <w:pPr>
              <w:jc w:val="right"/>
              <w:rPr>
                <w:rFonts w:ascii="Arial" w:hAnsi="Arial" w:cs="Arial"/>
                <w:bCs/>
                <w:sz w:val="20"/>
                <w:szCs w:val="20"/>
              </w:rPr>
            </w:pPr>
          </w:p>
          <w:p w14:paraId="498DC708" w14:textId="0CC41289"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276" w:type="dxa"/>
            <w:tcBorders>
              <w:top w:val="nil"/>
              <w:left w:val="nil"/>
              <w:bottom w:val="nil"/>
              <w:right w:val="nil"/>
            </w:tcBorders>
            <w:shd w:val="clear" w:color="auto" w:fill="auto"/>
          </w:tcPr>
          <w:p w14:paraId="1521A398" w14:textId="77777777" w:rsidR="00FC4BE3" w:rsidRPr="00DC5B6E" w:rsidRDefault="00FC4BE3" w:rsidP="000D245A">
            <w:pPr>
              <w:jc w:val="right"/>
              <w:rPr>
                <w:rFonts w:ascii="Arial" w:hAnsi="Arial" w:cs="Arial"/>
                <w:bCs/>
                <w:sz w:val="20"/>
                <w:szCs w:val="20"/>
              </w:rPr>
            </w:pPr>
          </w:p>
          <w:p w14:paraId="5F195C51" w14:textId="04ED0D3E" w:rsidR="000D245A" w:rsidRPr="00DC5B6E" w:rsidRDefault="000D245A" w:rsidP="000D245A">
            <w:pPr>
              <w:jc w:val="right"/>
              <w:rPr>
                <w:rFonts w:ascii="Arial" w:hAnsi="Arial" w:cs="Arial"/>
                <w:bCs/>
                <w:sz w:val="20"/>
                <w:szCs w:val="20"/>
              </w:rPr>
            </w:pPr>
            <w:r w:rsidRPr="00DC5B6E">
              <w:rPr>
                <w:rFonts w:ascii="Arial" w:hAnsi="Arial" w:cs="Arial"/>
                <w:bCs/>
                <w:sz w:val="20"/>
                <w:szCs w:val="20"/>
              </w:rPr>
              <w:t>7,426</w:t>
            </w:r>
          </w:p>
        </w:tc>
        <w:tc>
          <w:tcPr>
            <w:tcW w:w="1134" w:type="dxa"/>
            <w:tcBorders>
              <w:top w:val="nil"/>
              <w:left w:val="nil"/>
              <w:bottom w:val="nil"/>
              <w:right w:val="nil"/>
            </w:tcBorders>
            <w:shd w:val="clear" w:color="auto" w:fill="auto"/>
          </w:tcPr>
          <w:p w14:paraId="66C41E1C" w14:textId="77777777" w:rsidR="00E643DF" w:rsidRPr="00DC5B6E" w:rsidRDefault="00E643DF" w:rsidP="000D245A">
            <w:pPr>
              <w:jc w:val="right"/>
              <w:rPr>
                <w:rFonts w:ascii="Arial" w:hAnsi="Arial" w:cs="Arial"/>
                <w:bCs/>
                <w:sz w:val="20"/>
                <w:szCs w:val="20"/>
              </w:rPr>
            </w:pPr>
          </w:p>
          <w:p w14:paraId="6AF77B2C" w14:textId="7EC500FE"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333D2878"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auto" w:fill="auto"/>
            <w:vAlign w:val="center"/>
          </w:tcPr>
          <w:p w14:paraId="5EEC45A8" w14:textId="77777777" w:rsidR="00E643DF" w:rsidRPr="00DC5B6E" w:rsidRDefault="00E643DF" w:rsidP="000D245A">
            <w:pPr>
              <w:jc w:val="right"/>
              <w:rPr>
                <w:rFonts w:ascii="Arial" w:hAnsi="Arial" w:cs="Arial"/>
                <w:b/>
                <w:sz w:val="20"/>
                <w:szCs w:val="20"/>
              </w:rPr>
            </w:pPr>
          </w:p>
          <w:p w14:paraId="4C464335" w14:textId="17F64CC8"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141" w:type="dxa"/>
            <w:tcBorders>
              <w:top w:val="nil"/>
              <w:left w:val="nil"/>
              <w:bottom w:val="nil"/>
              <w:right w:val="nil"/>
            </w:tcBorders>
            <w:shd w:val="clear" w:color="auto" w:fill="auto"/>
            <w:vAlign w:val="center"/>
          </w:tcPr>
          <w:p w14:paraId="12E4A32E" w14:textId="77777777" w:rsidR="00E643DF" w:rsidRPr="00DC5B6E" w:rsidRDefault="00E643DF" w:rsidP="000D245A">
            <w:pPr>
              <w:jc w:val="right"/>
              <w:rPr>
                <w:rFonts w:ascii="Arial" w:hAnsi="Arial" w:cs="Arial"/>
                <w:b/>
                <w:bCs/>
                <w:sz w:val="20"/>
                <w:szCs w:val="20"/>
              </w:rPr>
            </w:pPr>
          </w:p>
          <w:p w14:paraId="3E8D2A43" w14:textId="2939364B" w:rsidR="000D245A" w:rsidRPr="00DC5B6E" w:rsidRDefault="000D245A" w:rsidP="000D245A">
            <w:pPr>
              <w:jc w:val="right"/>
              <w:rPr>
                <w:rFonts w:ascii="Arial" w:hAnsi="Arial" w:cs="Arial"/>
                <w:b/>
                <w:sz w:val="20"/>
                <w:szCs w:val="20"/>
              </w:rPr>
            </w:pPr>
            <w:r w:rsidRPr="00DC5B6E">
              <w:rPr>
                <w:rFonts w:ascii="Arial" w:hAnsi="Arial" w:cs="Arial"/>
                <w:b/>
                <w:bCs/>
                <w:sz w:val="20"/>
                <w:szCs w:val="20"/>
              </w:rPr>
              <w:t>37,058</w:t>
            </w:r>
          </w:p>
        </w:tc>
        <w:tc>
          <w:tcPr>
            <w:tcW w:w="1417" w:type="dxa"/>
            <w:tcBorders>
              <w:top w:val="nil"/>
              <w:left w:val="nil"/>
              <w:bottom w:val="nil"/>
              <w:right w:val="nil"/>
            </w:tcBorders>
            <w:shd w:val="clear" w:color="auto" w:fill="auto"/>
            <w:vAlign w:val="center"/>
          </w:tcPr>
          <w:p w14:paraId="1AC51D48" w14:textId="77777777" w:rsidR="00E643DF" w:rsidRPr="00DC5B6E" w:rsidRDefault="00E643DF" w:rsidP="000D245A">
            <w:pPr>
              <w:jc w:val="right"/>
              <w:rPr>
                <w:rFonts w:ascii="Arial" w:hAnsi="Arial" w:cs="Arial"/>
                <w:b/>
                <w:sz w:val="20"/>
                <w:szCs w:val="20"/>
              </w:rPr>
            </w:pPr>
          </w:p>
          <w:p w14:paraId="489B164B" w14:textId="6854DD92"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6AB45E9A" w14:textId="77777777" w:rsidTr="004A3AC2">
        <w:trPr>
          <w:trHeight w:val="57"/>
          <w:jc w:val="center"/>
        </w:trPr>
        <w:tc>
          <w:tcPr>
            <w:tcW w:w="2127" w:type="dxa"/>
            <w:tcBorders>
              <w:top w:val="nil"/>
              <w:left w:val="nil"/>
              <w:bottom w:val="nil"/>
              <w:right w:val="nil"/>
            </w:tcBorders>
            <w:shd w:val="clear" w:color="auto" w:fill="auto"/>
            <w:vAlign w:val="bottom"/>
          </w:tcPr>
          <w:p w14:paraId="2A039D22" w14:textId="20CE79D0" w:rsidR="000D245A" w:rsidRPr="00DC5B6E" w:rsidRDefault="000D245A" w:rsidP="000D245A">
            <w:pPr>
              <w:rPr>
                <w:rFonts w:ascii="Arial" w:hAnsi="Arial" w:cs="Arial"/>
                <w:sz w:val="20"/>
                <w:szCs w:val="20"/>
              </w:rPr>
            </w:pPr>
            <w:r w:rsidRPr="00DC5B6E">
              <w:rPr>
                <w:rFonts w:ascii="Arial" w:hAnsi="Arial" w:cs="Arial"/>
                <w:sz w:val="20"/>
                <w:szCs w:val="20"/>
              </w:rPr>
              <w:t>Alternatives</w:t>
            </w:r>
          </w:p>
        </w:tc>
        <w:tc>
          <w:tcPr>
            <w:tcW w:w="1559" w:type="dxa"/>
            <w:tcBorders>
              <w:top w:val="nil"/>
              <w:left w:val="nil"/>
              <w:bottom w:val="nil"/>
              <w:right w:val="nil"/>
            </w:tcBorders>
            <w:shd w:val="clear" w:color="auto" w:fill="auto"/>
            <w:vAlign w:val="center"/>
          </w:tcPr>
          <w:p w14:paraId="67AFE696" w14:textId="7F1F677D" w:rsidR="000D245A" w:rsidRPr="00DC5B6E" w:rsidRDefault="000D245A" w:rsidP="000D245A">
            <w:pPr>
              <w:jc w:val="right"/>
              <w:rPr>
                <w:rFonts w:ascii="Arial" w:hAnsi="Arial" w:cs="Arial"/>
                <w:bCs/>
                <w:sz w:val="20"/>
                <w:szCs w:val="20"/>
              </w:rPr>
            </w:pPr>
            <w:r w:rsidRPr="00DC5B6E">
              <w:rPr>
                <w:rFonts w:ascii="Arial" w:hAnsi="Arial" w:cs="Arial"/>
                <w:bCs/>
                <w:sz w:val="20"/>
                <w:szCs w:val="20"/>
              </w:rPr>
              <w:t>34,653</w:t>
            </w:r>
          </w:p>
        </w:tc>
        <w:tc>
          <w:tcPr>
            <w:tcW w:w="1276" w:type="dxa"/>
            <w:tcBorders>
              <w:top w:val="nil"/>
              <w:left w:val="nil"/>
              <w:bottom w:val="nil"/>
              <w:right w:val="nil"/>
            </w:tcBorders>
            <w:shd w:val="clear" w:color="auto" w:fill="auto"/>
          </w:tcPr>
          <w:p w14:paraId="622DE789" w14:textId="2DCF7F3E"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16186F9A" w14:textId="1313D502"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tcPr>
          <w:p w14:paraId="427E31F3"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auto" w:fill="auto"/>
            <w:vAlign w:val="center"/>
          </w:tcPr>
          <w:p w14:paraId="7E4F0A4B" w14:textId="561F9934" w:rsidR="000D245A" w:rsidRPr="00DC5B6E" w:rsidRDefault="000D245A" w:rsidP="000D245A">
            <w:pPr>
              <w:jc w:val="right"/>
              <w:rPr>
                <w:rFonts w:ascii="Arial" w:hAnsi="Arial" w:cs="Arial"/>
                <w:b/>
                <w:sz w:val="20"/>
                <w:szCs w:val="20"/>
              </w:rPr>
            </w:pPr>
            <w:r w:rsidRPr="00DC5B6E">
              <w:rPr>
                <w:rFonts w:ascii="Arial" w:hAnsi="Arial" w:cs="Arial"/>
                <w:b/>
                <w:bCs/>
                <w:sz w:val="20"/>
                <w:szCs w:val="20"/>
              </w:rPr>
              <w:t>13,270</w:t>
            </w:r>
          </w:p>
        </w:tc>
        <w:tc>
          <w:tcPr>
            <w:tcW w:w="1141" w:type="dxa"/>
            <w:tcBorders>
              <w:top w:val="nil"/>
              <w:left w:val="nil"/>
              <w:bottom w:val="nil"/>
              <w:right w:val="nil"/>
            </w:tcBorders>
            <w:shd w:val="clear" w:color="auto" w:fill="auto"/>
            <w:vAlign w:val="center"/>
          </w:tcPr>
          <w:p w14:paraId="394AE957" w14:textId="16069397"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09E67F75" w14:textId="32FF0D85"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28487E88" w14:textId="77777777" w:rsidTr="004A3AC2">
        <w:trPr>
          <w:trHeight w:val="57"/>
          <w:jc w:val="center"/>
        </w:trPr>
        <w:tc>
          <w:tcPr>
            <w:tcW w:w="2127" w:type="dxa"/>
            <w:tcBorders>
              <w:top w:val="nil"/>
              <w:left w:val="nil"/>
              <w:bottom w:val="nil"/>
              <w:right w:val="nil"/>
            </w:tcBorders>
            <w:shd w:val="clear" w:color="auto" w:fill="auto"/>
            <w:vAlign w:val="bottom"/>
          </w:tcPr>
          <w:p w14:paraId="6153BF01" w14:textId="4D97A81A" w:rsidR="000D245A" w:rsidRPr="00DC5B6E" w:rsidRDefault="000D245A" w:rsidP="000D245A">
            <w:pPr>
              <w:rPr>
                <w:rFonts w:ascii="Arial" w:hAnsi="Arial" w:cs="Arial"/>
                <w:sz w:val="20"/>
                <w:szCs w:val="20"/>
              </w:rPr>
            </w:pPr>
            <w:r w:rsidRPr="00DC5B6E">
              <w:rPr>
                <w:rFonts w:ascii="Arial" w:hAnsi="Arial" w:cs="Arial"/>
                <w:sz w:val="20"/>
                <w:szCs w:val="20"/>
              </w:rPr>
              <w:t>Infrastructure</w:t>
            </w:r>
          </w:p>
        </w:tc>
        <w:tc>
          <w:tcPr>
            <w:tcW w:w="1559" w:type="dxa"/>
            <w:tcBorders>
              <w:top w:val="nil"/>
              <w:left w:val="nil"/>
              <w:bottom w:val="nil"/>
              <w:right w:val="nil"/>
            </w:tcBorders>
            <w:shd w:val="clear" w:color="auto" w:fill="auto"/>
            <w:vAlign w:val="center"/>
          </w:tcPr>
          <w:p w14:paraId="64D3837F" w14:textId="0079C54F" w:rsidR="000D245A" w:rsidRPr="00DC5B6E" w:rsidRDefault="000D245A" w:rsidP="000D245A">
            <w:pPr>
              <w:jc w:val="right"/>
              <w:rPr>
                <w:rFonts w:ascii="Arial" w:hAnsi="Arial" w:cs="Arial"/>
                <w:bCs/>
                <w:sz w:val="20"/>
                <w:szCs w:val="20"/>
              </w:rPr>
            </w:pPr>
            <w:r w:rsidRPr="00DC5B6E">
              <w:rPr>
                <w:rFonts w:ascii="Arial" w:hAnsi="Arial" w:cs="Arial"/>
                <w:bCs/>
                <w:sz w:val="20"/>
                <w:szCs w:val="20"/>
              </w:rPr>
              <w:t>86,574</w:t>
            </w:r>
          </w:p>
        </w:tc>
        <w:tc>
          <w:tcPr>
            <w:tcW w:w="1276" w:type="dxa"/>
            <w:tcBorders>
              <w:top w:val="nil"/>
              <w:left w:val="nil"/>
              <w:bottom w:val="nil"/>
              <w:right w:val="nil"/>
            </w:tcBorders>
            <w:shd w:val="clear" w:color="auto" w:fill="auto"/>
          </w:tcPr>
          <w:p w14:paraId="21687BD3" w14:textId="0C513D53"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40631B94" w14:textId="7ADF5D61"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tcPr>
          <w:p w14:paraId="3525D302"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auto" w:fill="auto"/>
            <w:vAlign w:val="center"/>
          </w:tcPr>
          <w:p w14:paraId="071CD031" w14:textId="1545335D" w:rsidR="000D245A" w:rsidRPr="00DC5B6E" w:rsidRDefault="000D245A" w:rsidP="000D245A">
            <w:pPr>
              <w:jc w:val="right"/>
              <w:rPr>
                <w:rFonts w:ascii="Arial" w:hAnsi="Arial" w:cs="Arial"/>
                <w:b/>
                <w:sz w:val="20"/>
                <w:szCs w:val="20"/>
              </w:rPr>
            </w:pPr>
            <w:r w:rsidRPr="00DC5B6E">
              <w:rPr>
                <w:rFonts w:ascii="Arial" w:hAnsi="Arial" w:cs="Arial"/>
                <w:b/>
                <w:bCs/>
                <w:sz w:val="20"/>
                <w:szCs w:val="20"/>
              </w:rPr>
              <w:t>76,043</w:t>
            </w:r>
          </w:p>
        </w:tc>
        <w:tc>
          <w:tcPr>
            <w:tcW w:w="1141" w:type="dxa"/>
            <w:tcBorders>
              <w:top w:val="nil"/>
              <w:left w:val="nil"/>
              <w:bottom w:val="nil"/>
              <w:right w:val="nil"/>
            </w:tcBorders>
            <w:shd w:val="clear" w:color="auto" w:fill="auto"/>
            <w:vAlign w:val="center"/>
          </w:tcPr>
          <w:p w14:paraId="776BA0D1" w14:textId="1558C54D"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77057AE4" w14:textId="7DB664D4"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7F4DAE6F" w14:textId="77777777" w:rsidTr="004A3AC2">
        <w:trPr>
          <w:trHeight w:val="57"/>
          <w:jc w:val="center"/>
        </w:trPr>
        <w:tc>
          <w:tcPr>
            <w:tcW w:w="2127" w:type="dxa"/>
            <w:tcBorders>
              <w:top w:val="nil"/>
              <w:left w:val="nil"/>
              <w:bottom w:val="nil"/>
              <w:right w:val="nil"/>
            </w:tcBorders>
            <w:shd w:val="clear" w:color="auto" w:fill="auto"/>
            <w:vAlign w:val="bottom"/>
            <w:hideMark/>
          </w:tcPr>
          <w:p w14:paraId="72D7CC2B" w14:textId="77777777" w:rsidR="000D245A" w:rsidRPr="00DC5B6E" w:rsidRDefault="000D245A" w:rsidP="000D245A">
            <w:pPr>
              <w:rPr>
                <w:rFonts w:ascii="Arial" w:hAnsi="Arial" w:cs="Arial"/>
                <w:sz w:val="20"/>
                <w:szCs w:val="20"/>
              </w:rPr>
            </w:pPr>
            <w:r w:rsidRPr="00DC5B6E">
              <w:rPr>
                <w:rFonts w:ascii="Arial" w:hAnsi="Arial" w:cs="Arial"/>
                <w:sz w:val="20"/>
                <w:szCs w:val="20"/>
              </w:rPr>
              <w:t xml:space="preserve">Other investments </w:t>
            </w:r>
          </w:p>
        </w:tc>
        <w:tc>
          <w:tcPr>
            <w:tcW w:w="1559" w:type="dxa"/>
            <w:tcBorders>
              <w:top w:val="nil"/>
              <w:left w:val="nil"/>
              <w:bottom w:val="nil"/>
              <w:right w:val="nil"/>
            </w:tcBorders>
            <w:shd w:val="clear" w:color="auto" w:fill="auto"/>
            <w:vAlign w:val="center"/>
          </w:tcPr>
          <w:p w14:paraId="5BC07F83" w14:textId="55C8FE93" w:rsidR="000D245A" w:rsidRPr="00DC5B6E" w:rsidRDefault="000D245A" w:rsidP="000D245A">
            <w:pPr>
              <w:jc w:val="right"/>
              <w:rPr>
                <w:rFonts w:ascii="Arial" w:hAnsi="Arial" w:cs="Arial"/>
                <w:bCs/>
                <w:sz w:val="20"/>
                <w:szCs w:val="20"/>
              </w:rPr>
            </w:pPr>
            <w:r w:rsidRPr="00DC5B6E">
              <w:rPr>
                <w:rFonts w:ascii="Arial" w:hAnsi="Arial" w:cs="Arial"/>
                <w:bCs/>
                <w:sz w:val="20"/>
                <w:szCs w:val="20"/>
              </w:rPr>
              <w:t>150</w:t>
            </w:r>
          </w:p>
        </w:tc>
        <w:tc>
          <w:tcPr>
            <w:tcW w:w="1276" w:type="dxa"/>
            <w:tcBorders>
              <w:top w:val="nil"/>
              <w:left w:val="nil"/>
              <w:bottom w:val="nil"/>
              <w:right w:val="nil"/>
            </w:tcBorders>
            <w:shd w:val="clear" w:color="auto" w:fill="auto"/>
          </w:tcPr>
          <w:p w14:paraId="02E8AD92" w14:textId="23AA5DCA"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auto" w:fill="auto"/>
          </w:tcPr>
          <w:p w14:paraId="33575983" w14:textId="660E4028"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3911B528"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auto" w:fill="auto"/>
            <w:vAlign w:val="center"/>
          </w:tcPr>
          <w:p w14:paraId="775FA3B5" w14:textId="1AD0379A" w:rsidR="000D245A" w:rsidRPr="00DC5B6E" w:rsidRDefault="000D245A" w:rsidP="000D245A">
            <w:pPr>
              <w:jc w:val="right"/>
              <w:rPr>
                <w:rFonts w:ascii="Arial" w:hAnsi="Arial" w:cs="Arial"/>
                <w:b/>
                <w:sz w:val="20"/>
                <w:szCs w:val="20"/>
              </w:rPr>
            </w:pPr>
            <w:r w:rsidRPr="00DC5B6E">
              <w:rPr>
                <w:rFonts w:ascii="Arial" w:hAnsi="Arial" w:cs="Arial"/>
                <w:b/>
                <w:bCs/>
                <w:sz w:val="20"/>
                <w:szCs w:val="20"/>
              </w:rPr>
              <w:t>150</w:t>
            </w:r>
          </w:p>
        </w:tc>
        <w:tc>
          <w:tcPr>
            <w:tcW w:w="1141" w:type="dxa"/>
            <w:tcBorders>
              <w:top w:val="nil"/>
              <w:left w:val="nil"/>
              <w:bottom w:val="nil"/>
              <w:right w:val="nil"/>
            </w:tcBorders>
            <w:shd w:val="clear" w:color="auto" w:fill="auto"/>
            <w:vAlign w:val="center"/>
          </w:tcPr>
          <w:p w14:paraId="2B185157" w14:textId="0995CC5B"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auto" w:fill="auto"/>
            <w:vAlign w:val="center"/>
          </w:tcPr>
          <w:p w14:paraId="5EF53060" w14:textId="59471E16"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5199AC11" w14:textId="77777777" w:rsidTr="004A3AC2">
        <w:trPr>
          <w:trHeight w:val="57"/>
          <w:jc w:val="center"/>
        </w:trPr>
        <w:tc>
          <w:tcPr>
            <w:tcW w:w="2127" w:type="dxa"/>
            <w:tcBorders>
              <w:top w:val="nil"/>
              <w:left w:val="nil"/>
              <w:bottom w:val="nil"/>
              <w:right w:val="nil"/>
            </w:tcBorders>
            <w:shd w:val="clear" w:color="auto" w:fill="auto"/>
            <w:vAlign w:val="bottom"/>
          </w:tcPr>
          <w:p w14:paraId="3FF30B46" w14:textId="14579387" w:rsidR="000D245A" w:rsidRPr="00DC5B6E" w:rsidRDefault="000D245A" w:rsidP="000D245A">
            <w:pPr>
              <w:rPr>
                <w:rFonts w:ascii="Arial" w:hAnsi="Arial" w:cs="Arial"/>
                <w:sz w:val="20"/>
                <w:szCs w:val="20"/>
              </w:rPr>
            </w:pPr>
            <w:r w:rsidRPr="00DC5B6E">
              <w:rPr>
                <w:rFonts w:ascii="Arial" w:hAnsi="Arial" w:cs="Arial"/>
                <w:sz w:val="20"/>
                <w:szCs w:val="20"/>
              </w:rPr>
              <w:t>Pending Trade Sales</w:t>
            </w:r>
          </w:p>
        </w:tc>
        <w:tc>
          <w:tcPr>
            <w:tcW w:w="1559" w:type="dxa"/>
            <w:tcBorders>
              <w:top w:val="nil"/>
              <w:left w:val="nil"/>
              <w:bottom w:val="nil"/>
              <w:right w:val="nil"/>
            </w:tcBorders>
            <w:shd w:val="clear" w:color="auto" w:fill="auto"/>
            <w:vAlign w:val="center"/>
          </w:tcPr>
          <w:p w14:paraId="6A045A2A" w14:textId="5ABA15EF"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1276" w:type="dxa"/>
            <w:tcBorders>
              <w:top w:val="nil"/>
              <w:left w:val="nil"/>
              <w:bottom w:val="nil"/>
              <w:right w:val="nil"/>
            </w:tcBorders>
            <w:shd w:val="clear" w:color="auto" w:fill="auto"/>
          </w:tcPr>
          <w:p w14:paraId="4403E003" w14:textId="675A4637" w:rsidR="000D245A" w:rsidRPr="00DC5B6E" w:rsidRDefault="000D245A" w:rsidP="000D245A">
            <w:pPr>
              <w:jc w:val="right"/>
              <w:rPr>
                <w:rFonts w:ascii="Arial" w:hAnsi="Arial" w:cs="Arial"/>
                <w:bCs/>
                <w:sz w:val="20"/>
                <w:szCs w:val="20"/>
              </w:rPr>
            </w:pPr>
            <w:r w:rsidRPr="00DC5B6E">
              <w:rPr>
                <w:rFonts w:ascii="Arial" w:hAnsi="Arial" w:cs="Arial"/>
                <w:bCs/>
                <w:sz w:val="20"/>
                <w:szCs w:val="20"/>
              </w:rPr>
              <w:t>2,148</w:t>
            </w:r>
          </w:p>
        </w:tc>
        <w:tc>
          <w:tcPr>
            <w:tcW w:w="1134" w:type="dxa"/>
            <w:tcBorders>
              <w:top w:val="nil"/>
              <w:left w:val="nil"/>
              <w:bottom w:val="nil"/>
              <w:right w:val="nil"/>
            </w:tcBorders>
            <w:shd w:val="clear" w:color="auto" w:fill="auto"/>
          </w:tcPr>
          <w:p w14:paraId="63B5BC5D" w14:textId="4BC02A5A" w:rsidR="000D245A" w:rsidRPr="00DC5B6E" w:rsidRDefault="00FC4BE3"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tcPr>
          <w:p w14:paraId="4E081D7E" w14:textId="77777777" w:rsidR="000D245A" w:rsidRPr="00DC5B6E" w:rsidRDefault="000D245A" w:rsidP="000D245A">
            <w:pPr>
              <w:jc w:val="right"/>
              <w:rPr>
                <w:rFonts w:ascii="Arial" w:hAnsi="Arial" w:cs="Arial"/>
                <w:sz w:val="20"/>
                <w:szCs w:val="20"/>
              </w:rPr>
            </w:pPr>
          </w:p>
        </w:tc>
        <w:tc>
          <w:tcPr>
            <w:tcW w:w="1269" w:type="dxa"/>
            <w:tcBorders>
              <w:top w:val="nil"/>
              <w:left w:val="nil"/>
              <w:bottom w:val="nil"/>
              <w:right w:val="nil"/>
            </w:tcBorders>
            <w:shd w:val="clear" w:color="auto" w:fill="auto"/>
            <w:vAlign w:val="center"/>
          </w:tcPr>
          <w:p w14:paraId="28603F38" w14:textId="52CD6712"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c>
          <w:tcPr>
            <w:tcW w:w="1141" w:type="dxa"/>
            <w:tcBorders>
              <w:top w:val="nil"/>
              <w:left w:val="nil"/>
              <w:bottom w:val="nil"/>
              <w:right w:val="nil"/>
            </w:tcBorders>
            <w:shd w:val="clear" w:color="auto" w:fill="auto"/>
            <w:vAlign w:val="center"/>
          </w:tcPr>
          <w:p w14:paraId="0F661606" w14:textId="0F58BF93" w:rsidR="000D245A" w:rsidRPr="00DC5B6E" w:rsidRDefault="00FC4BE3" w:rsidP="000D245A">
            <w:pPr>
              <w:jc w:val="right"/>
              <w:rPr>
                <w:rFonts w:ascii="Arial" w:hAnsi="Arial" w:cs="Arial"/>
                <w:b/>
                <w:sz w:val="20"/>
                <w:szCs w:val="20"/>
              </w:rPr>
            </w:pPr>
            <w:r w:rsidRPr="00DC5B6E">
              <w:rPr>
                <w:rFonts w:ascii="Arial" w:hAnsi="Arial" w:cs="Arial"/>
                <w:b/>
                <w:bCs/>
                <w:sz w:val="20"/>
                <w:szCs w:val="20"/>
              </w:rPr>
              <w:t>-</w:t>
            </w:r>
          </w:p>
        </w:tc>
        <w:tc>
          <w:tcPr>
            <w:tcW w:w="1417" w:type="dxa"/>
            <w:tcBorders>
              <w:top w:val="nil"/>
              <w:left w:val="nil"/>
              <w:bottom w:val="nil"/>
              <w:right w:val="nil"/>
            </w:tcBorders>
            <w:shd w:val="clear" w:color="auto" w:fill="auto"/>
            <w:vAlign w:val="center"/>
          </w:tcPr>
          <w:p w14:paraId="5A678D04" w14:textId="185A229D" w:rsidR="000D245A" w:rsidRPr="00DC5B6E" w:rsidRDefault="00FC4BE3" w:rsidP="000D245A">
            <w:pPr>
              <w:jc w:val="right"/>
              <w:rPr>
                <w:rFonts w:ascii="Arial" w:hAnsi="Arial" w:cs="Arial"/>
                <w:b/>
                <w:sz w:val="20"/>
                <w:szCs w:val="20"/>
              </w:rPr>
            </w:pPr>
            <w:r w:rsidRPr="00DC5B6E">
              <w:rPr>
                <w:rFonts w:ascii="Arial" w:hAnsi="Arial" w:cs="Arial"/>
                <w:b/>
                <w:sz w:val="20"/>
                <w:szCs w:val="20"/>
              </w:rPr>
              <w:t>-</w:t>
            </w:r>
          </w:p>
        </w:tc>
      </w:tr>
      <w:tr w:rsidR="00DC5B6E" w:rsidRPr="00DC5B6E" w14:paraId="341CFE5F" w14:textId="77777777" w:rsidTr="004A3AC2">
        <w:trPr>
          <w:trHeight w:val="60"/>
          <w:jc w:val="center"/>
        </w:trPr>
        <w:tc>
          <w:tcPr>
            <w:tcW w:w="2127" w:type="dxa"/>
            <w:tcBorders>
              <w:top w:val="nil"/>
              <w:left w:val="nil"/>
              <w:bottom w:val="nil"/>
              <w:right w:val="nil"/>
            </w:tcBorders>
            <w:shd w:val="clear" w:color="auto" w:fill="auto"/>
            <w:vAlign w:val="bottom"/>
            <w:hideMark/>
          </w:tcPr>
          <w:p w14:paraId="6229D72D" w14:textId="00D0FBC5" w:rsidR="000D245A" w:rsidRPr="00DC5B6E" w:rsidRDefault="000D245A" w:rsidP="000D245A">
            <w:pPr>
              <w:rPr>
                <w:rFonts w:ascii="Arial" w:hAnsi="Arial" w:cs="Arial"/>
                <w:b/>
                <w:bCs/>
                <w:sz w:val="20"/>
                <w:szCs w:val="20"/>
              </w:rPr>
            </w:pPr>
            <w:r w:rsidRPr="00DC5B6E">
              <w:rPr>
                <w:rFonts w:ascii="Arial" w:hAnsi="Arial" w:cs="Arial"/>
                <w:b/>
                <w:bCs/>
                <w:sz w:val="20"/>
                <w:szCs w:val="20"/>
              </w:rPr>
              <w:t xml:space="preserve">Total </w:t>
            </w:r>
            <w:r w:rsidR="00E76548">
              <w:rPr>
                <w:rFonts w:ascii="Arial" w:hAnsi="Arial" w:cs="Arial"/>
                <w:b/>
                <w:bCs/>
                <w:sz w:val="20"/>
                <w:szCs w:val="20"/>
              </w:rPr>
              <w:t>Investment</w:t>
            </w:r>
            <w:r w:rsidRPr="00DC5B6E">
              <w:rPr>
                <w:rFonts w:ascii="Arial" w:hAnsi="Arial" w:cs="Arial"/>
                <w:b/>
                <w:bCs/>
                <w:sz w:val="20"/>
                <w:szCs w:val="20"/>
              </w:rPr>
              <w:t xml:space="preserve"> Assets</w:t>
            </w:r>
          </w:p>
        </w:tc>
        <w:tc>
          <w:tcPr>
            <w:tcW w:w="1559" w:type="dxa"/>
            <w:tcBorders>
              <w:top w:val="single" w:sz="8" w:space="0" w:color="auto"/>
              <w:left w:val="nil"/>
              <w:bottom w:val="single" w:sz="8" w:space="0" w:color="auto"/>
              <w:right w:val="nil"/>
            </w:tcBorders>
            <w:shd w:val="clear" w:color="000000" w:fill="FFFFFF"/>
            <w:vAlign w:val="center"/>
          </w:tcPr>
          <w:p w14:paraId="7A30C71D" w14:textId="1C3B5385" w:rsidR="000D245A" w:rsidRPr="00DC5B6E" w:rsidRDefault="000D245A" w:rsidP="000D245A">
            <w:pPr>
              <w:jc w:val="right"/>
              <w:rPr>
                <w:rFonts w:ascii="Arial" w:hAnsi="Arial" w:cs="Arial"/>
                <w:bCs/>
                <w:sz w:val="20"/>
                <w:szCs w:val="20"/>
              </w:rPr>
            </w:pPr>
            <w:r w:rsidRPr="00DC5B6E">
              <w:rPr>
                <w:rFonts w:ascii="Arial" w:hAnsi="Arial" w:cs="Arial"/>
                <w:bCs/>
                <w:sz w:val="20"/>
                <w:szCs w:val="20"/>
              </w:rPr>
              <w:t>1,437,534</w:t>
            </w:r>
          </w:p>
        </w:tc>
        <w:tc>
          <w:tcPr>
            <w:tcW w:w="1276" w:type="dxa"/>
            <w:tcBorders>
              <w:top w:val="single" w:sz="8" w:space="0" w:color="auto"/>
              <w:left w:val="nil"/>
              <w:bottom w:val="single" w:sz="8" w:space="0" w:color="auto"/>
              <w:right w:val="nil"/>
            </w:tcBorders>
            <w:shd w:val="clear" w:color="000000" w:fill="FFFFFF"/>
            <w:vAlign w:val="center"/>
          </w:tcPr>
          <w:p w14:paraId="3C53A7B6" w14:textId="3311768C" w:rsidR="000D245A" w:rsidRPr="00DC5B6E" w:rsidRDefault="000D245A" w:rsidP="000D245A">
            <w:pPr>
              <w:jc w:val="right"/>
              <w:rPr>
                <w:rFonts w:ascii="Arial" w:hAnsi="Arial" w:cs="Arial"/>
                <w:bCs/>
                <w:sz w:val="20"/>
                <w:szCs w:val="20"/>
              </w:rPr>
            </w:pPr>
            <w:r w:rsidRPr="00DC5B6E">
              <w:rPr>
                <w:rFonts w:ascii="Arial" w:hAnsi="Arial" w:cs="Arial"/>
                <w:bCs/>
                <w:sz w:val="20"/>
                <w:szCs w:val="20"/>
              </w:rPr>
              <w:t>9,574</w:t>
            </w:r>
          </w:p>
        </w:tc>
        <w:tc>
          <w:tcPr>
            <w:tcW w:w="1134" w:type="dxa"/>
            <w:tcBorders>
              <w:top w:val="single" w:sz="4" w:space="0" w:color="auto"/>
              <w:left w:val="nil"/>
              <w:bottom w:val="single" w:sz="4" w:space="0" w:color="auto"/>
              <w:right w:val="nil"/>
            </w:tcBorders>
            <w:shd w:val="clear" w:color="auto" w:fill="auto"/>
          </w:tcPr>
          <w:p w14:paraId="7055B47A" w14:textId="00A3C6E3" w:rsidR="000D245A" w:rsidRPr="00DC5B6E" w:rsidRDefault="000D245A" w:rsidP="000D245A">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vAlign w:val="bottom"/>
            <w:hideMark/>
          </w:tcPr>
          <w:p w14:paraId="22F9917A" w14:textId="77777777" w:rsidR="000D245A" w:rsidRPr="00DC5B6E" w:rsidRDefault="000D245A" w:rsidP="000D245A">
            <w:pPr>
              <w:jc w:val="right"/>
              <w:rPr>
                <w:rFonts w:ascii="Arial" w:hAnsi="Arial" w:cs="Arial"/>
                <w:sz w:val="20"/>
                <w:szCs w:val="20"/>
              </w:rPr>
            </w:pPr>
          </w:p>
        </w:tc>
        <w:tc>
          <w:tcPr>
            <w:tcW w:w="1269" w:type="dxa"/>
            <w:tcBorders>
              <w:top w:val="single" w:sz="8" w:space="0" w:color="auto"/>
              <w:left w:val="nil"/>
              <w:bottom w:val="single" w:sz="8" w:space="0" w:color="auto"/>
              <w:right w:val="nil"/>
            </w:tcBorders>
            <w:shd w:val="clear" w:color="000000" w:fill="FFFFFF"/>
            <w:vAlign w:val="center"/>
          </w:tcPr>
          <w:p w14:paraId="5B4EB130" w14:textId="40F1C6FE" w:rsidR="000D245A" w:rsidRPr="00DC5B6E" w:rsidRDefault="000D245A" w:rsidP="000D245A">
            <w:pPr>
              <w:jc w:val="right"/>
              <w:rPr>
                <w:rFonts w:ascii="Arial" w:hAnsi="Arial" w:cs="Arial"/>
                <w:b/>
                <w:sz w:val="20"/>
                <w:szCs w:val="20"/>
              </w:rPr>
            </w:pPr>
            <w:r w:rsidRPr="00DC5B6E">
              <w:rPr>
                <w:rFonts w:ascii="Arial" w:hAnsi="Arial" w:cs="Arial"/>
                <w:b/>
                <w:bCs/>
                <w:sz w:val="20"/>
                <w:szCs w:val="20"/>
              </w:rPr>
              <w:t>1,474,035</w:t>
            </w:r>
          </w:p>
        </w:tc>
        <w:tc>
          <w:tcPr>
            <w:tcW w:w="1141" w:type="dxa"/>
            <w:tcBorders>
              <w:top w:val="single" w:sz="8" w:space="0" w:color="auto"/>
              <w:left w:val="nil"/>
              <w:bottom w:val="single" w:sz="8" w:space="0" w:color="auto"/>
              <w:right w:val="nil"/>
            </w:tcBorders>
            <w:shd w:val="clear" w:color="000000" w:fill="FFFFFF"/>
            <w:vAlign w:val="center"/>
          </w:tcPr>
          <w:p w14:paraId="74F05D4B" w14:textId="5E46B129" w:rsidR="000D245A" w:rsidRPr="00DC5B6E" w:rsidRDefault="000D245A" w:rsidP="000D245A">
            <w:pPr>
              <w:jc w:val="right"/>
              <w:rPr>
                <w:rFonts w:ascii="Arial" w:hAnsi="Arial" w:cs="Arial"/>
                <w:b/>
                <w:sz w:val="20"/>
                <w:szCs w:val="20"/>
              </w:rPr>
            </w:pPr>
            <w:r w:rsidRPr="00DC5B6E">
              <w:rPr>
                <w:rFonts w:ascii="Arial" w:hAnsi="Arial" w:cs="Arial"/>
                <w:b/>
                <w:bCs/>
                <w:sz w:val="20"/>
                <w:szCs w:val="20"/>
              </w:rPr>
              <w:t>37,058</w:t>
            </w:r>
          </w:p>
        </w:tc>
        <w:tc>
          <w:tcPr>
            <w:tcW w:w="1417" w:type="dxa"/>
            <w:tcBorders>
              <w:top w:val="single" w:sz="4" w:space="0" w:color="auto"/>
              <w:left w:val="nil"/>
              <w:bottom w:val="single" w:sz="4" w:space="0" w:color="auto"/>
              <w:right w:val="nil"/>
            </w:tcBorders>
            <w:shd w:val="clear" w:color="auto" w:fill="auto"/>
            <w:vAlign w:val="center"/>
          </w:tcPr>
          <w:p w14:paraId="443804CD" w14:textId="3D5A21C3" w:rsidR="000D245A" w:rsidRPr="00DC5B6E" w:rsidRDefault="00FC4BE3" w:rsidP="000D245A">
            <w:pPr>
              <w:jc w:val="right"/>
              <w:rPr>
                <w:rFonts w:ascii="Arial" w:hAnsi="Arial" w:cs="Arial"/>
                <w:b/>
                <w:sz w:val="20"/>
                <w:szCs w:val="20"/>
              </w:rPr>
            </w:pPr>
            <w:r w:rsidRPr="00DC5B6E">
              <w:rPr>
                <w:rFonts w:ascii="Arial" w:hAnsi="Arial" w:cs="Arial"/>
                <w:b/>
                <w:bCs/>
                <w:sz w:val="20"/>
                <w:szCs w:val="20"/>
              </w:rPr>
              <w:t>-</w:t>
            </w:r>
          </w:p>
        </w:tc>
      </w:tr>
      <w:tr w:rsidR="00DC5CA9" w:rsidRPr="00DC5B6E" w14:paraId="525DE167" w14:textId="77777777" w:rsidTr="004A3AC2">
        <w:trPr>
          <w:trHeight w:val="57"/>
          <w:jc w:val="center"/>
        </w:trPr>
        <w:tc>
          <w:tcPr>
            <w:tcW w:w="2127" w:type="dxa"/>
            <w:tcBorders>
              <w:top w:val="nil"/>
              <w:left w:val="nil"/>
              <w:bottom w:val="nil"/>
              <w:right w:val="nil"/>
            </w:tcBorders>
            <w:shd w:val="clear" w:color="auto" w:fill="auto"/>
            <w:vAlign w:val="bottom"/>
          </w:tcPr>
          <w:p w14:paraId="51A8BFB6" w14:textId="77777777" w:rsidR="00DC5CA9" w:rsidRPr="00DC5B6E" w:rsidRDefault="00DC5CA9" w:rsidP="00050020">
            <w:pPr>
              <w:rPr>
                <w:rFonts w:ascii="Arial" w:hAnsi="Arial" w:cs="Arial"/>
                <w:b/>
                <w:bCs/>
                <w:sz w:val="20"/>
                <w:szCs w:val="20"/>
              </w:rPr>
            </w:pPr>
          </w:p>
        </w:tc>
        <w:tc>
          <w:tcPr>
            <w:tcW w:w="1559" w:type="dxa"/>
            <w:tcBorders>
              <w:top w:val="nil"/>
              <w:left w:val="nil"/>
              <w:bottom w:val="nil"/>
              <w:right w:val="nil"/>
            </w:tcBorders>
            <w:shd w:val="clear" w:color="auto" w:fill="auto"/>
            <w:vAlign w:val="bottom"/>
          </w:tcPr>
          <w:p w14:paraId="51CF9371" w14:textId="77777777" w:rsidR="00DC5CA9" w:rsidRPr="00DC5B6E" w:rsidRDefault="00DC5CA9" w:rsidP="00FC4BE3">
            <w:pPr>
              <w:jc w:val="right"/>
              <w:rPr>
                <w:rFonts w:ascii="Arial" w:hAnsi="Arial" w:cs="Arial"/>
                <w:bCs/>
                <w:sz w:val="20"/>
                <w:szCs w:val="20"/>
              </w:rPr>
            </w:pPr>
          </w:p>
        </w:tc>
        <w:tc>
          <w:tcPr>
            <w:tcW w:w="1276" w:type="dxa"/>
            <w:tcBorders>
              <w:top w:val="nil"/>
              <w:left w:val="nil"/>
              <w:bottom w:val="nil"/>
              <w:right w:val="nil"/>
            </w:tcBorders>
            <w:shd w:val="clear" w:color="auto" w:fill="auto"/>
          </w:tcPr>
          <w:p w14:paraId="2358263A" w14:textId="77777777" w:rsidR="00DC5CA9" w:rsidRPr="00DC5B6E" w:rsidRDefault="00DC5CA9" w:rsidP="00050020">
            <w:pPr>
              <w:rPr>
                <w:rFonts w:ascii="Arial" w:hAnsi="Arial" w:cs="Arial"/>
                <w:bCs/>
                <w:sz w:val="20"/>
                <w:szCs w:val="20"/>
              </w:rPr>
            </w:pPr>
          </w:p>
        </w:tc>
        <w:tc>
          <w:tcPr>
            <w:tcW w:w="1134" w:type="dxa"/>
            <w:tcBorders>
              <w:top w:val="nil"/>
              <w:left w:val="nil"/>
              <w:bottom w:val="nil"/>
              <w:right w:val="nil"/>
            </w:tcBorders>
            <w:shd w:val="clear" w:color="000000" w:fill="FFFFFF"/>
            <w:vAlign w:val="center"/>
          </w:tcPr>
          <w:p w14:paraId="07BF4030" w14:textId="77777777" w:rsidR="00DC5CA9" w:rsidRPr="00DC5B6E" w:rsidRDefault="00DC5CA9" w:rsidP="00050020">
            <w:pPr>
              <w:jc w:val="right"/>
              <w:rPr>
                <w:rFonts w:ascii="Arial" w:hAnsi="Arial" w:cs="Arial"/>
                <w:bCs/>
                <w:sz w:val="20"/>
                <w:szCs w:val="20"/>
              </w:rPr>
            </w:pPr>
          </w:p>
        </w:tc>
        <w:tc>
          <w:tcPr>
            <w:tcW w:w="283" w:type="dxa"/>
            <w:vMerge/>
            <w:tcBorders>
              <w:left w:val="nil"/>
              <w:right w:val="nil"/>
            </w:tcBorders>
            <w:shd w:val="clear" w:color="auto" w:fill="auto"/>
          </w:tcPr>
          <w:p w14:paraId="4F0E1EFE" w14:textId="77777777" w:rsidR="00DC5CA9" w:rsidRPr="00DC5B6E" w:rsidRDefault="00DC5CA9" w:rsidP="00050020">
            <w:pPr>
              <w:jc w:val="right"/>
              <w:rPr>
                <w:rFonts w:ascii="Arial" w:hAnsi="Arial" w:cs="Arial"/>
                <w:sz w:val="20"/>
                <w:szCs w:val="20"/>
              </w:rPr>
            </w:pPr>
          </w:p>
        </w:tc>
        <w:tc>
          <w:tcPr>
            <w:tcW w:w="1269" w:type="dxa"/>
            <w:tcBorders>
              <w:top w:val="nil"/>
              <w:left w:val="nil"/>
              <w:bottom w:val="nil"/>
              <w:right w:val="nil"/>
            </w:tcBorders>
            <w:shd w:val="clear" w:color="auto" w:fill="auto"/>
            <w:vAlign w:val="bottom"/>
          </w:tcPr>
          <w:p w14:paraId="6BC7E0E5" w14:textId="77777777" w:rsidR="00DC5CA9" w:rsidRPr="00DC5B6E" w:rsidRDefault="00DC5CA9" w:rsidP="00050020">
            <w:pPr>
              <w:jc w:val="right"/>
              <w:rPr>
                <w:rFonts w:ascii="Arial" w:hAnsi="Arial" w:cs="Arial"/>
                <w:b/>
                <w:sz w:val="20"/>
                <w:szCs w:val="20"/>
              </w:rPr>
            </w:pPr>
          </w:p>
        </w:tc>
        <w:tc>
          <w:tcPr>
            <w:tcW w:w="1141" w:type="dxa"/>
            <w:tcBorders>
              <w:top w:val="nil"/>
              <w:left w:val="nil"/>
              <w:bottom w:val="nil"/>
              <w:right w:val="nil"/>
            </w:tcBorders>
            <w:shd w:val="clear" w:color="auto" w:fill="auto"/>
          </w:tcPr>
          <w:p w14:paraId="6E0B9D3C" w14:textId="77777777" w:rsidR="00DC5CA9" w:rsidRPr="00DC5B6E" w:rsidRDefault="00DC5CA9" w:rsidP="00D77F83">
            <w:pPr>
              <w:rPr>
                <w:rFonts w:ascii="Arial" w:hAnsi="Arial" w:cs="Arial"/>
                <w:b/>
                <w:bCs/>
                <w:sz w:val="20"/>
                <w:szCs w:val="20"/>
              </w:rPr>
            </w:pPr>
          </w:p>
        </w:tc>
        <w:tc>
          <w:tcPr>
            <w:tcW w:w="1417" w:type="dxa"/>
            <w:tcBorders>
              <w:top w:val="nil"/>
              <w:left w:val="nil"/>
              <w:bottom w:val="nil"/>
              <w:right w:val="nil"/>
            </w:tcBorders>
            <w:shd w:val="clear" w:color="000000" w:fill="FFFFFF"/>
            <w:vAlign w:val="center"/>
          </w:tcPr>
          <w:p w14:paraId="4E9C044D" w14:textId="77777777" w:rsidR="00DC5CA9" w:rsidRPr="00DC5B6E" w:rsidRDefault="00DC5CA9" w:rsidP="00050020">
            <w:pPr>
              <w:jc w:val="right"/>
              <w:rPr>
                <w:rFonts w:ascii="Arial" w:hAnsi="Arial" w:cs="Arial"/>
                <w:b/>
                <w:sz w:val="20"/>
                <w:szCs w:val="20"/>
              </w:rPr>
            </w:pPr>
          </w:p>
        </w:tc>
      </w:tr>
      <w:tr w:rsidR="00DC5B6E" w:rsidRPr="00DC5B6E" w14:paraId="54773F6B" w14:textId="77777777" w:rsidTr="004A3AC2">
        <w:trPr>
          <w:trHeight w:val="57"/>
          <w:jc w:val="center"/>
        </w:trPr>
        <w:tc>
          <w:tcPr>
            <w:tcW w:w="2127" w:type="dxa"/>
            <w:tcBorders>
              <w:top w:val="nil"/>
              <w:left w:val="nil"/>
              <w:bottom w:val="nil"/>
              <w:right w:val="nil"/>
            </w:tcBorders>
            <w:shd w:val="clear" w:color="auto" w:fill="auto"/>
            <w:vAlign w:val="bottom"/>
            <w:hideMark/>
          </w:tcPr>
          <w:p w14:paraId="57574A71" w14:textId="63A0B74F" w:rsidR="00050020" w:rsidRPr="00DC5B6E" w:rsidRDefault="00050020" w:rsidP="00050020">
            <w:pPr>
              <w:rPr>
                <w:rFonts w:ascii="Arial" w:hAnsi="Arial" w:cs="Arial"/>
                <w:sz w:val="20"/>
                <w:szCs w:val="20"/>
              </w:rPr>
            </w:pPr>
            <w:r w:rsidRPr="00DC5B6E">
              <w:rPr>
                <w:rFonts w:ascii="Arial" w:hAnsi="Arial" w:cs="Arial"/>
                <w:b/>
                <w:bCs/>
                <w:sz w:val="20"/>
                <w:szCs w:val="20"/>
              </w:rPr>
              <w:t>Financial Assets</w:t>
            </w:r>
            <w:r w:rsidR="00E76548">
              <w:rPr>
                <w:rFonts w:ascii="Arial" w:hAnsi="Arial" w:cs="Arial"/>
                <w:b/>
                <w:bCs/>
                <w:sz w:val="20"/>
                <w:szCs w:val="20"/>
              </w:rPr>
              <w:t xml:space="preserve"> </w:t>
            </w:r>
            <w:proofErr w:type="gramStart"/>
            <w:r w:rsidR="00E76548">
              <w:rPr>
                <w:rFonts w:ascii="Arial" w:hAnsi="Arial" w:cs="Arial"/>
                <w:b/>
                <w:bCs/>
                <w:sz w:val="20"/>
                <w:szCs w:val="20"/>
              </w:rPr>
              <w:t>-</w:t>
            </w:r>
            <w:r w:rsidRPr="00DC5B6E">
              <w:rPr>
                <w:rFonts w:ascii="Arial" w:hAnsi="Arial" w:cs="Arial"/>
                <w:sz w:val="20"/>
                <w:szCs w:val="20"/>
              </w:rPr>
              <w:t xml:space="preserve">  Debtors</w:t>
            </w:r>
            <w:proofErr w:type="gramEnd"/>
          </w:p>
        </w:tc>
        <w:tc>
          <w:tcPr>
            <w:tcW w:w="1559" w:type="dxa"/>
            <w:tcBorders>
              <w:top w:val="nil"/>
              <w:left w:val="nil"/>
              <w:bottom w:val="nil"/>
              <w:right w:val="nil"/>
            </w:tcBorders>
            <w:shd w:val="clear" w:color="auto" w:fill="auto"/>
            <w:vAlign w:val="bottom"/>
          </w:tcPr>
          <w:p w14:paraId="4ACFB947" w14:textId="6631BE97" w:rsidR="00050020" w:rsidRPr="00DC5B6E" w:rsidRDefault="00FC4BE3" w:rsidP="00FC4BE3">
            <w:pPr>
              <w:jc w:val="right"/>
              <w:rPr>
                <w:rFonts w:ascii="Arial" w:hAnsi="Arial" w:cs="Arial"/>
                <w:bCs/>
                <w:sz w:val="20"/>
                <w:szCs w:val="20"/>
              </w:rPr>
            </w:pPr>
            <w:r w:rsidRPr="00DC5B6E">
              <w:rPr>
                <w:rFonts w:ascii="Arial" w:hAnsi="Arial" w:cs="Arial"/>
                <w:bCs/>
                <w:sz w:val="20"/>
                <w:szCs w:val="20"/>
              </w:rPr>
              <w:t>-</w:t>
            </w:r>
          </w:p>
        </w:tc>
        <w:tc>
          <w:tcPr>
            <w:tcW w:w="1276" w:type="dxa"/>
            <w:tcBorders>
              <w:top w:val="nil"/>
              <w:left w:val="nil"/>
              <w:bottom w:val="nil"/>
              <w:right w:val="nil"/>
            </w:tcBorders>
            <w:shd w:val="clear" w:color="auto" w:fill="auto"/>
          </w:tcPr>
          <w:p w14:paraId="1A530D48" w14:textId="77777777" w:rsidR="00050020" w:rsidRPr="00DC5B6E" w:rsidRDefault="00050020" w:rsidP="00050020">
            <w:pPr>
              <w:rPr>
                <w:rFonts w:ascii="Arial" w:hAnsi="Arial" w:cs="Arial"/>
                <w:bCs/>
                <w:sz w:val="20"/>
                <w:szCs w:val="20"/>
              </w:rPr>
            </w:pPr>
            <w:r w:rsidRPr="00DC5B6E">
              <w:rPr>
                <w:rFonts w:ascii="Arial" w:hAnsi="Arial" w:cs="Arial"/>
                <w:bCs/>
                <w:sz w:val="20"/>
                <w:szCs w:val="20"/>
              </w:rPr>
              <w:t xml:space="preserve">     </w:t>
            </w:r>
          </w:p>
          <w:p w14:paraId="1E03A5AC" w14:textId="61CB11C5" w:rsidR="00FC4BE3" w:rsidRPr="00DC5B6E" w:rsidRDefault="00FC4BE3" w:rsidP="00050020">
            <w:pPr>
              <w:rPr>
                <w:rFonts w:ascii="Arial" w:hAnsi="Arial" w:cs="Arial"/>
                <w:bCs/>
                <w:sz w:val="20"/>
                <w:szCs w:val="20"/>
              </w:rPr>
            </w:pPr>
            <w:r w:rsidRPr="00DC5B6E">
              <w:rPr>
                <w:rFonts w:ascii="Arial" w:hAnsi="Arial" w:cs="Arial"/>
                <w:bCs/>
                <w:sz w:val="20"/>
                <w:szCs w:val="20"/>
              </w:rPr>
              <w:t xml:space="preserve">       20,422</w:t>
            </w:r>
          </w:p>
        </w:tc>
        <w:tc>
          <w:tcPr>
            <w:tcW w:w="1134" w:type="dxa"/>
            <w:tcBorders>
              <w:top w:val="nil"/>
              <w:left w:val="nil"/>
              <w:bottom w:val="nil"/>
              <w:right w:val="nil"/>
            </w:tcBorders>
            <w:shd w:val="clear" w:color="000000" w:fill="FFFFFF"/>
            <w:vAlign w:val="center"/>
          </w:tcPr>
          <w:p w14:paraId="1C2055D1" w14:textId="77777777" w:rsidR="00050020" w:rsidRPr="00DC5B6E" w:rsidRDefault="00050020" w:rsidP="00050020">
            <w:pPr>
              <w:jc w:val="right"/>
              <w:rPr>
                <w:rFonts w:ascii="Arial" w:hAnsi="Arial" w:cs="Arial"/>
                <w:bCs/>
                <w:sz w:val="20"/>
                <w:szCs w:val="20"/>
              </w:rPr>
            </w:pPr>
          </w:p>
          <w:p w14:paraId="0CF778E6" w14:textId="1F890280" w:rsidR="00FC4BE3" w:rsidRPr="00DC5B6E" w:rsidRDefault="00FC4BE3" w:rsidP="00050020">
            <w:pPr>
              <w:jc w:val="right"/>
              <w:rPr>
                <w:rFonts w:ascii="Arial" w:hAnsi="Arial" w:cs="Arial"/>
                <w:bCs/>
                <w:sz w:val="20"/>
                <w:szCs w:val="20"/>
              </w:rPr>
            </w:pPr>
            <w:r w:rsidRPr="00DC5B6E">
              <w:rPr>
                <w:rFonts w:ascii="Arial" w:hAnsi="Arial" w:cs="Arial"/>
                <w:bCs/>
                <w:sz w:val="20"/>
                <w:szCs w:val="20"/>
              </w:rPr>
              <w:t>-</w:t>
            </w:r>
          </w:p>
        </w:tc>
        <w:tc>
          <w:tcPr>
            <w:tcW w:w="283" w:type="dxa"/>
            <w:vMerge/>
            <w:tcBorders>
              <w:left w:val="nil"/>
              <w:right w:val="nil"/>
            </w:tcBorders>
            <w:shd w:val="clear" w:color="auto" w:fill="auto"/>
            <w:hideMark/>
          </w:tcPr>
          <w:p w14:paraId="0CE5D8FD" w14:textId="77777777" w:rsidR="00050020" w:rsidRPr="00DC5B6E" w:rsidRDefault="00050020" w:rsidP="00050020">
            <w:pPr>
              <w:jc w:val="right"/>
              <w:rPr>
                <w:rFonts w:ascii="Arial" w:hAnsi="Arial" w:cs="Arial"/>
                <w:sz w:val="20"/>
                <w:szCs w:val="20"/>
              </w:rPr>
            </w:pPr>
          </w:p>
        </w:tc>
        <w:tc>
          <w:tcPr>
            <w:tcW w:w="1269" w:type="dxa"/>
            <w:tcBorders>
              <w:top w:val="nil"/>
              <w:left w:val="nil"/>
              <w:bottom w:val="nil"/>
              <w:right w:val="nil"/>
            </w:tcBorders>
            <w:shd w:val="clear" w:color="auto" w:fill="auto"/>
            <w:vAlign w:val="bottom"/>
          </w:tcPr>
          <w:p w14:paraId="68C215AF" w14:textId="739F049B" w:rsidR="00050020" w:rsidRPr="00DC5B6E" w:rsidRDefault="00FC4BE3" w:rsidP="00050020">
            <w:pPr>
              <w:jc w:val="right"/>
              <w:rPr>
                <w:rFonts w:ascii="Arial" w:hAnsi="Arial" w:cs="Arial"/>
                <w:b/>
                <w:sz w:val="20"/>
                <w:szCs w:val="20"/>
              </w:rPr>
            </w:pPr>
            <w:r w:rsidRPr="00DC5B6E">
              <w:rPr>
                <w:rFonts w:ascii="Arial" w:hAnsi="Arial" w:cs="Arial"/>
                <w:b/>
                <w:sz w:val="20"/>
                <w:szCs w:val="20"/>
              </w:rPr>
              <w:t>-</w:t>
            </w:r>
          </w:p>
        </w:tc>
        <w:tc>
          <w:tcPr>
            <w:tcW w:w="1141" w:type="dxa"/>
            <w:tcBorders>
              <w:top w:val="nil"/>
              <w:left w:val="nil"/>
              <w:bottom w:val="nil"/>
              <w:right w:val="nil"/>
            </w:tcBorders>
            <w:shd w:val="clear" w:color="auto" w:fill="auto"/>
          </w:tcPr>
          <w:p w14:paraId="721BC2C1" w14:textId="44EAEFEC" w:rsidR="00D77F83" w:rsidRPr="00DC5B6E" w:rsidRDefault="00D77F83" w:rsidP="00D77F83">
            <w:pPr>
              <w:rPr>
                <w:rFonts w:ascii="Arial" w:hAnsi="Arial" w:cs="Arial"/>
                <w:b/>
                <w:bCs/>
                <w:sz w:val="20"/>
                <w:szCs w:val="20"/>
              </w:rPr>
            </w:pPr>
            <w:r w:rsidRPr="00DC5B6E">
              <w:rPr>
                <w:rFonts w:ascii="Arial" w:hAnsi="Arial" w:cs="Arial"/>
                <w:b/>
                <w:bCs/>
                <w:sz w:val="20"/>
                <w:szCs w:val="20"/>
              </w:rPr>
              <w:t xml:space="preserve">     </w:t>
            </w:r>
          </w:p>
          <w:p w14:paraId="78C6C81E" w14:textId="2D738CBD" w:rsidR="00050020" w:rsidRPr="00DC5B6E" w:rsidRDefault="00FC4BE3" w:rsidP="00050020">
            <w:pPr>
              <w:rPr>
                <w:rFonts w:ascii="Arial" w:hAnsi="Arial" w:cs="Arial"/>
                <w:sz w:val="20"/>
                <w:szCs w:val="20"/>
              </w:rPr>
            </w:pPr>
            <w:r w:rsidRPr="00DC5B6E">
              <w:rPr>
                <w:rFonts w:ascii="Arial" w:hAnsi="Arial" w:cs="Arial"/>
                <w:b/>
                <w:bCs/>
                <w:sz w:val="20"/>
                <w:szCs w:val="20"/>
              </w:rPr>
              <w:t xml:space="preserve">     26,243</w:t>
            </w:r>
          </w:p>
        </w:tc>
        <w:tc>
          <w:tcPr>
            <w:tcW w:w="1417" w:type="dxa"/>
            <w:tcBorders>
              <w:top w:val="nil"/>
              <w:left w:val="nil"/>
              <w:bottom w:val="nil"/>
              <w:right w:val="nil"/>
            </w:tcBorders>
            <w:shd w:val="clear" w:color="000000" w:fill="FFFFFF"/>
            <w:vAlign w:val="center"/>
          </w:tcPr>
          <w:p w14:paraId="78BA6AC4" w14:textId="77777777" w:rsidR="00050020" w:rsidRPr="00DC5B6E" w:rsidRDefault="00050020" w:rsidP="00050020">
            <w:pPr>
              <w:jc w:val="right"/>
              <w:rPr>
                <w:rFonts w:ascii="Arial" w:hAnsi="Arial" w:cs="Arial"/>
                <w:b/>
                <w:sz w:val="20"/>
                <w:szCs w:val="20"/>
              </w:rPr>
            </w:pPr>
          </w:p>
          <w:p w14:paraId="7CF8162A" w14:textId="229EC8C2" w:rsidR="00FC4BE3" w:rsidRPr="00DC5B6E" w:rsidRDefault="00FC4BE3" w:rsidP="00050020">
            <w:pPr>
              <w:jc w:val="right"/>
              <w:rPr>
                <w:rFonts w:ascii="Arial" w:hAnsi="Arial" w:cs="Arial"/>
                <w:b/>
                <w:sz w:val="20"/>
                <w:szCs w:val="20"/>
              </w:rPr>
            </w:pPr>
            <w:r w:rsidRPr="00DC5B6E">
              <w:rPr>
                <w:rFonts w:ascii="Arial" w:hAnsi="Arial" w:cs="Arial"/>
                <w:b/>
                <w:sz w:val="20"/>
                <w:szCs w:val="20"/>
              </w:rPr>
              <w:t>-</w:t>
            </w:r>
          </w:p>
        </w:tc>
      </w:tr>
      <w:tr w:rsidR="00DC5B6E" w:rsidRPr="00DC5B6E" w14:paraId="271ED020" w14:textId="77777777" w:rsidTr="004A3AC2">
        <w:trPr>
          <w:trHeight w:val="57"/>
          <w:jc w:val="center"/>
        </w:trPr>
        <w:tc>
          <w:tcPr>
            <w:tcW w:w="2127" w:type="dxa"/>
            <w:tcBorders>
              <w:top w:val="nil"/>
              <w:left w:val="nil"/>
              <w:bottom w:val="nil"/>
              <w:right w:val="nil"/>
            </w:tcBorders>
            <w:shd w:val="clear" w:color="auto" w:fill="auto"/>
            <w:vAlign w:val="bottom"/>
            <w:hideMark/>
          </w:tcPr>
          <w:p w14:paraId="7DC8D6F1" w14:textId="77777777" w:rsidR="00050020" w:rsidRPr="00DC5B6E" w:rsidRDefault="00050020" w:rsidP="00050020">
            <w:pPr>
              <w:rPr>
                <w:rFonts w:ascii="Arial" w:hAnsi="Arial" w:cs="Arial"/>
                <w:sz w:val="20"/>
                <w:szCs w:val="20"/>
              </w:rPr>
            </w:pPr>
            <w:r w:rsidRPr="00DC5B6E">
              <w:rPr>
                <w:rFonts w:ascii="Arial" w:hAnsi="Arial" w:cs="Arial"/>
                <w:b/>
                <w:bCs/>
                <w:sz w:val="20"/>
                <w:szCs w:val="20"/>
              </w:rPr>
              <w:t xml:space="preserve">Financial liabilities - </w:t>
            </w:r>
            <w:r w:rsidRPr="00DC5B6E">
              <w:rPr>
                <w:rFonts w:ascii="Arial" w:hAnsi="Arial" w:cs="Arial"/>
                <w:sz w:val="20"/>
                <w:szCs w:val="20"/>
              </w:rPr>
              <w:t>Creditors</w:t>
            </w:r>
          </w:p>
        </w:tc>
        <w:tc>
          <w:tcPr>
            <w:tcW w:w="1559" w:type="dxa"/>
            <w:tcBorders>
              <w:top w:val="nil"/>
              <w:left w:val="nil"/>
              <w:bottom w:val="nil"/>
              <w:right w:val="nil"/>
            </w:tcBorders>
            <w:shd w:val="clear" w:color="auto" w:fill="auto"/>
          </w:tcPr>
          <w:p w14:paraId="2F23B928" w14:textId="77777777" w:rsidR="00050020" w:rsidRPr="00DC5B6E" w:rsidRDefault="00050020" w:rsidP="00050020">
            <w:pPr>
              <w:jc w:val="right"/>
              <w:rPr>
                <w:rFonts w:ascii="Arial" w:hAnsi="Arial" w:cs="Arial"/>
                <w:bCs/>
                <w:sz w:val="20"/>
                <w:szCs w:val="20"/>
              </w:rPr>
            </w:pPr>
          </w:p>
          <w:p w14:paraId="1CEACB0C" w14:textId="0882FB04" w:rsidR="00FC4BE3" w:rsidRPr="00DC5B6E" w:rsidRDefault="00FC4BE3" w:rsidP="00050020">
            <w:pPr>
              <w:jc w:val="right"/>
              <w:rPr>
                <w:rFonts w:ascii="Arial" w:hAnsi="Arial" w:cs="Arial"/>
                <w:bCs/>
                <w:sz w:val="20"/>
                <w:szCs w:val="20"/>
              </w:rPr>
            </w:pPr>
            <w:r w:rsidRPr="00DC5B6E">
              <w:rPr>
                <w:rFonts w:ascii="Arial" w:hAnsi="Arial" w:cs="Arial"/>
                <w:bCs/>
                <w:sz w:val="20"/>
                <w:szCs w:val="20"/>
              </w:rPr>
              <w:t>-</w:t>
            </w:r>
          </w:p>
        </w:tc>
        <w:tc>
          <w:tcPr>
            <w:tcW w:w="1276" w:type="dxa"/>
            <w:tcBorders>
              <w:top w:val="nil"/>
              <w:left w:val="nil"/>
              <w:bottom w:val="nil"/>
              <w:right w:val="nil"/>
            </w:tcBorders>
            <w:shd w:val="clear" w:color="auto" w:fill="auto"/>
          </w:tcPr>
          <w:p w14:paraId="1116D841" w14:textId="77777777" w:rsidR="00050020" w:rsidRPr="00DC5B6E" w:rsidRDefault="00050020" w:rsidP="00050020">
            <w:pPr>
              <w:jc w:val="right"/>
              <w:rPr>
                <w:rFonts w:ascii="Arial" w:hAnsi="Arial" w:cs="Arial"/>
                <w:bCs/>
                <w:sz w:val="20"/>
                <w:szCs w:val="20"/>
              </w:rPr>
            </w:pPr>
          </w:p>
          <w:p w14:paraId="767C499F" w14:textId="3472F4C7" w:rsidR="00FC4BE3" w:rsidRPr="00DC5B6E" w:rsidRDefault="00FC4BE3" w:rsidP="00050020">
            <w:pPr>
              <w:jc w:val="right"/>
              <w:rPr>
                <w:rFonts w:ascii="Arial" w:hAnsi="Arial" w:cs="Arial"/>
                <w:bCs/>
                <w:sz w:val="20"/>
                <w:szCs w:val="20"/>
              </w:rPr>
            </w:pPr>
            <w:r w:rsidRPr="00DC5B6E">
              <w:rPr>
                <w:rFonts w:ascii="Arial" w:hAnsi="Arial" w:cs="Arial"/>
                <w:bCs/>
                <w:sz w:val="20"/>
                <w:szCs w:val="20"/>
              </w:rPr>
              <w:t>-</w:t>
            </w:r>
          </w:p>
        </w:tc>
        <w:tc>
          <w:tcPr>
            <w:tcW w:w="1134" w:type="dxa"/>
            <w:tcBorders>
              <w:top w:val="nil"/>
              <w:left w:val="nil"/>
              <w:bottom w:val="nil"/>
              <w:right w:val="nil"/>
            </w:tcBorders>
            <w:shd w:val="clear" w:color="000000" w:fill="FFFFFF"/>
            <w:vAlign w:val="bottom"/>
          </w:tcPr>
          <w:p w14:paraId="192156CB" w14:textId="7226355C" w:rsidR="00050020" w:rsidRPr="00DC5B6E" w:rsidRDefault="00050020" w:rsidP="00050020">
            <w:pPr>
              <w:jc w:val="right"/>
              <w:rPr>
                <w:rFonts w:ascii="Arial" w:hAnsi="Arial" w:cs="Arial"/>
                <w:bCs/>
                <w:sz w:val="20"/>
                <w:szCs w:val="20"/>
              </w:rPr>
            </w:pPr>
            <w:r w:rsidRPr="00DC5B6E">
              <w:rPr>
                <w:rFonts w:ascii="Arial" w:hAnsi="Arial" w:cs="Arial"/>
                <w:bCs/>
                <w:sz w:val="20"/>
                <w:szCs w:val="20"/>
              </w:rPr>
              <w:t>(1,304)</w:t>
            </w:r>
          </w:p>
        </w:tc>
        <w:tc>
          <w:tcPr>
            <w:tcW w:w="283" w:type="dxa"/>
            <w:vMerge/>
            <w:tcBorders>
              <w:left w:val="nil"/>
              <w:bottom w:val="nil"/>
              <w:right w:val="nil"/>
            </w:tcBorders>
            <w:shd w:val="clear" w:color="auto" w:fill="auto"/>
            <w:vAlign w:val="bottom"/>
            <w:hideMark/>
          </w:tcPr>
          <w:p w14:paraId="2F0B714E" w14:textId="77777777" w:rsidR="00050020" w:rsidRPr="00DC5B6E" w:rsidRDefault="00050020" w:rsidP="00050020">
            <w:pPr>
              <w:jc w:val="right"/>
              <w:rPr>
                <w:rFonts w:ascii="Arial" w:hAnsi="Arial" w:cs="Arial"/>
                <w:sz w:val="20"/>
                <w:szCs w:val="20"/>
              </w:rPr>
            </w:pPr>
          </w:p>
        </w:tc>
        <w:tc>
          <w:tcPr>
            <w:tcW w:w="1269" w:type="dxa"/>
            <w:tcBorders>
              <w:top w:val="nil"/>
              <w:left w:val="nil"/>
              <w:bottom w:val="nil"/>
              <w:right w:val="nil"/>
            </w:tcBorders>
            <w:shd w:val="clear" w:color="auto" w:fill="auto"/>
          </w:tcPr>
          <w:p w14:paraId="02A51E7A" w14:textId="77777777" w:rsidR="00050020" w:rsidRPr="00DC5B6E" w:rsidRDefault="00050020" w:rsidP="00050020">
            <w:pPr>
              <w:jc w:val="right"/>
              <w:rPr>
                <w:rFonts w:ascii="Arial" w:hAnsi="Arial" w:cs="Arial"/>
                <w:b/>
                <w:sz w:val="20"/>
                <w:szCs w:val="20"/>
              </w:rPr>
            </w:pPr>
          </w:p>
          <w:p w14:paraId="650682B8" w14:textId="138EE76B" w:rsidR="00FC4BE3" w:rsidRPr="00DC5B6E" w:rsidRDefault="00FC4BE3" w:rsidP="00050020">
            <w:pPr>
              <w:jc w:val="right"/>
              <w:rPr>
                <w:rFonts w:ascii="Arial" w:hAnsi="Arial" w:cs="Arial"/>
                <w:b/>
                <w:sz w:val="20"/>
                <w:szCs w:val="20"/>
              </w:rPr>
            </w:pPr>
            <w:r w:rsidRPr="00DC5B6E">
              <w:rPr>
                <w:rFonts w:ascii="Arial" w:hAnsi="Arial" w:cs="Arial"/>
                <w:b/>
                <w:sz w:val="20"/>
                <w:szCs w:val="20"/>
              </w:rPr>
              <w:t>-</w:t>
            </w:r>
          </w:p>
        </w:tc>
        <w:tc>
          <w:tcPr>
            <w:tcW w:w="1141" w:type="dxa"/>
            <w:tcBorders>
              <w:top w:val="nil"/>
              <w:left w:val="nil"/>
              <w:bottom w:val="nil"/>
              <w:right w:val="nil"/>
            </w:tcBorders>
            <w:shd w:val="clear" w:color="auto" w:fill="auto"/>
          </w:tcPr>
          <w:p w14:paraId="4D1CF93E" w14:textId="77777777" w:rsidR="00050020" w:rsidRPr="00DC5B6E" w:rsidRDefault="00050020" w:rsidP="00050020">
            <w:pPr>
              <w:jc w:val="right"/>
              <w:rPr>
                <w:rFonts w:ascii="Arial" w:hAnsi="Arial" w:cs="Arial"/>
                <w:b/>
                <w:sz w:val="20"/>
                <w:szCs w:val="20"/>
              </w:rPr>
            </w:pPr>
          </w:p>
          <w:p w14:paraId="45D1AE53" w14:textId="6B92A3B3" w:rsidR="00FC4BE3" w:rsidRPr="00DC5B6E" w:rsidRDefault="00FC4BE3" w:rsidP="00050020">
            <w:pPr>
              <w:jc w:val="right"/>
              <w:rPr>
                <w:rFonts w:ascii="Arial" w:hAnsi="Arial" w:cs="Arial"/>
                <w:b/>
                <w:sz w:val="20"/>
                <w:szCs w:val="20"/>
              </w:rPr>
            </w:pPr>
            <w:r w:rsidRPr="00DC5B6E">
              <w:rPr>
                <w:rFonts w:ascii="Arial" w:hAnsi="Arial" w:cs="Arial"/>
                <w:b/>
                <w:sz w:val="20"/>
                <w:szCs w:val="20"/>
              </w:rPr>
              <w:t>-</w:t>
            </w:r>
          </w:p>
        </w:tc>
        <w:tc>
          <w:tcPr>
            <w:tcW w:w="1417" w:type="dxa"/>
            <w:tcBorders>
              <w:top w:val="nil"/>
              <w:left w:val="nil"/>
              <w:bottom w:val="nil"/>
              <w:right w:val="nil"/>
            </w:tcBorders>
            <w:shd w:val="clear" w:color="000000" w:fill="FFFFFF"/>
            <w:vAlign w:val="bottom"/>
          </w:tcPr>
          <w:p w14:paraId="18198C0F" w14:textId="179D261C" w:rsidR="00050020" w:rsidRPr="00DC5B6E" w:rsidRDefault="00D77F83" w:rsidP="00D77F83">
            <w:pPr>
              <w:jc w:val="right"/>
              <w:rPr>
                <w:rFonts w:ascii="Arial" w:hAnsi="Arial" w:cs="Arial"/>
                <w:b/>
                <w:sz w:val="20"/>
                <w:szCs w:val="20"/>
              </w:rPr>
            </w:pPr>
            <w:r w:rsidRPr="00DC5B6E">
              <w:rPr>
                <w:rFonts w:ascii="Arial" w:hAnsi="Arial" w:cs="Arial"/>
                <w:b/>
                <w:sz w:val="20"/>
                <w:szCs w:val="20"/>
              </w:rPr>
              <w:t>(2,316)</w:t>
            </w:r>
          </w:p>
        </w:tc>
      </w:tr>
      <w:tr w:rsidR="00DC5B6E" w:rsidRPr="00DC5B6E" w14:paraId="324A7E69" w14:textId="77777777" w:rsidTr="002C1FE7">
        <w:trPr>
          <w:trHeight w:val="235"/>
          <w:jc w:val="center"/>
        </w:trPr>
        <w:tc>
          <w:tcPr>
            <w:tcW w:w="2127" w:type="dxa"/>
            <w:tcBorders>
              <w:top w:val="nil"/>
              <w:left w:val="nil"/>
              <w:bottom w:val="nil"/>
              <w:right w:val="nil"/>
            </w:tcBorders>
            <w:shd w:val="clear" w:color="auto" w:fill="auto"/>
            <w:vAlign w:val="bottom"/>
            <w:hideMark/>
          </w:tcPr>
          <w:p w14:paraId="642329B3" w14:textId="77777777" w:rsidR="00FC4BE3" w:rsidRPr="00DC5B6E" w:rsidRDefault="00FC4BE3" w:rsidP="00FC4BE3">
            <w:pPr>
              <w:rPr>
                <w:rFonts w:ascii="Arial" w:hAnsi="Arial" w:cs="Arial"/>
                <w:b/>
                <w:bCs/>
                <w:sz w:val="20"/>
                <w:szCs w:val="20"/>
              </w:rPr>
            </w:pPr>
            <w:r w:rsidRPr="00DC5B6E">
              <w:rPr>
                <w:rFonts w:ascii="Arial" w:hAnsi="Arial" w:cs="Arial"/>
                <w:b/>
                <w:bCs/>
                <w:sz w:val="20"/>
                <w:szCs w:val="20"/>
              </w:rPr>
              <w:t>Total Net Assets</w:t>
            </w:r>
          </w:p>
        </w:tc>
        <w:tc>
          <w:tcPr>
            <w:tcW w:w="1559" w:type="dxa"/>
            <w:tcBorders>
              <w:top w:val="single" w:sz="8" w:space="0" w:color="auto"/>
              <w:left w:val="nil"/>
              <w:bottom w:val="double" w:sz="4" w:space="0" w:color="auto"/>
              <w:right w:val="nil"/>
            </w:tcBorders>
            <w:shd w:val="clear" w:color="000000" w:fill="FFFFFF"/>
            <w:vAlign w:val="center"/>
          </w:tcPr>
          <w:p w14:paraId="34039C35" w14:textId="3630E5E2" w:rsidR="00FC4BE3" w:rsidRPr="00DC5B6E" w:rsidRDefault="00FC4BE3" w:rsidP="00FC4BE3">
            <w:pPr>
              <w:jc w:val="right"/>
              <w:rPr>
                <w:rFonts w:ascii="Arial" w:hAnsi="Arial" w:cs="Arial"/>
                <w:bCs/>
                <w:sz w:val="20"/>
                <w:szCs w:val="20"/>
              </w:rPr>
            </w:pPr>
            <w:r w:rsidRPr="00DC5B6E">
              <w:rPr>
                <w:rFonts w:ascii="Arial" w:hAnsi="Arial" w:cs="Arial"/>
                <w:bCs/>
                <w:sz w:val="20"/>
                <w:szCs w:val="20"/>
              </w:rPr>
              <w:t>1,437,534</w:t>
            </w:r>
          </w:p>
        </w:tc>
        <w:tc>
          <w:tcPr>
            <w:tcW w:w="1276" w:type="dxa"/>
            <w:tcBorders>
              <w:top w:val="single" w:sz="4" w:space="0" w:color="auto"/>
              <w:left w:val="nil"/>
              <w:bottom w:val="double" w:sz="4" w:space="0" w:color="auto"/>
              <w:right w:val="nil"/>
            </w:tcBorders>
            <w:shd w:val="clear" w:color="000000" w:fill="FFFFFF"/>
            <w:vAlign w:val="bottom"/>
          </w:tcPr>
          <w:p w14:paraId="098C717A" w14:textId="67AEDAEA" w:rsidR="00FC4BE3" w:rsidRPr="00DC5B6E" w:rsidRDefault="00FC4BE3" w:rsidP="00FC4BE3">
            <w:pPr>
              <w:jc w:val="right"/>
              <w:rPr>
                <w:rFonts w:ascii="Arial" w:hAnsi="Arial" w:cs="Arial"/>
                <w:bCs/>
                <w:sz w:val="20"/>
                <w:szCs w:val="20"/>
              </w:rPr>
            </w:pPr>
            <w:r w:rsidRPr="00DC5B6E">
              <w:rPr>
                <w:rFonts w:ascii="Arial" w:hAnsi="Arial" w:cs="Arial"/>
                <w:bCs/>
                <w:sz w:val="20"/>
                <w:szCs w:val="20"/>
              </w:rPr>
              <w:t>29,996</w:t>
            </w:r>
          </w:p>
        </w:tc>
        <w:tc>
          <w:tcPr>
            <w:tcW w:w="1134" w:type="dxa"/>
            <w:tcBorders>
              <w:top w:val="single" w:sz="4" w:space="0" w:color="auto"/>
              <w:left w:val="nil"/>
              <w:bottom w:val="double" w:sz="4" w:space="0" w:color="auto"/>
              <w:right w:val="nil"/>
            </w:tcBorders>
            <w:shd w:val="clear" w:color="000000" w:fill="FFFFFF"/>
            <w:vAlign w:val="bottom"/>
          </w:tcPr>
          <w:p w14:paraId="6BEA0F16" w14:textId="41359858" w:rsidR="00FC4BE3" w:rsidRPr="00DC5B6E" w:rsidRDefault="00FC4BE3" w:rsidP="00FC4BE3">
            <w:pPr>
              <w:jc w:val="right"/>
              <w:rPr>
                <w:rFonts w:ascii="Arial" w:hAnsi="Arial" w:cs="Arial"/>
                <w:bCs/>
                <w:sz w:val="20"/>
                <w:szCs w:val="20"/>
              </w:rPr>
            </w:pPr>
            <w:r w:rsidRPr="00DC5B6E">
              <w:rPr>
                <w:rFonts w:ascii="Arial" w:hAnsi="Arial" w:cs="Arial"/>
                <w:bCs/>
                <w:sz w:val="20"/>
                <w:szCs w:val="20"/>
              </w:rPr>
              <w:t>(1,304)</w:t>
            </w:r>
          </w:p>
        </w:tc>
        <w:tc>
          <w:tcPr>
            <w:tcW w:w="283" w:type="dxa"/>
            <w:tcBorders>
              <w:top w:val="nil"/>
              <w:left w:val="nil"/>
              <w:bottom w:val="nil"/>
              <w:right w:val="nil"/>
            </w:tcBorders>
            <w:shd w:val="clear" w:color="auto" w:fill="auto"/>
            <w:vAlign w:val="bottom"/>
            <w:hideMark/>
          </w:tcPr>
          <w:p w14:paraId="0D51C0EC" w14:textId="77777777" w:rsidR="00FC4BE3" w:rsidRPr="00DC5B6E" w:rsidRDefault="00FC4BE3" w:rsidP="00FC4BE3">
            <w:pPr>
              <w:jc w:val="right"/>
              <w:rPr>
                <w:rFonts w:ascii="Arial" w:hAnsi="Arial" w:cs="Arial"/>
                <w:b/>
                <w:bCs/>
                <w:sz w:val="20"/>
                <w:szCs w:val="20"/>
              </w:rPr>
            </w:pPr>
          </w:p>
        </w:tc>
        <w:tc>
          <w:tcPr>
            <w:tcW w:w="1269" w:type="dxa"/>
            <w:tcBorders>
              <w:top w:val="single" w:sz="8" w:space="0" w:color="auto"/>
              <w:left w:val="nil"/>
              <w:bottom w:val="double" w:sz="6" w:space="0" w:color="auto"/>
              <w:right w:val="nil"/>
            </w:tcBorders>
            <w:shd w:val="clear" w:color="000000" w:fill="FFFFFF"/>
            <w:vAlign w:val="center"/>
          </w:tcPr>
          <w:p w14:paraId="1462D004" w14:textId="0085FAD5" w:rsidR="00FC4BE3" w:rsidRPr="00DC5B6E" w:rsidRDefault="00FC4BE3" w:rsidP="00FC4BE3">
            <w:pPr>
              <w:jc w:val="right"/>
              <w:rPr>
                <w:rFonts w:ascii="Arial" w:hAnsi="Arial" w:cs="Arial"/>
                <w:b/>
                <w:sz w:val="20"/>
                <w:szCs w:val="20"/>
              </w:rPr>
            </w:pPr>
            <w:r w:rsidRPr="00DC5B6E">
              <w:rPr>
                <w:rFonts w:ascii="Arial" w:hAnsi="Arial" w:cs="Arial"/>
                <w:b/>
                <w:bCs/>
                <w:sz w:val="20"/>
                <w:szCs w:val="20"/>
              </w:rPr>
              <w:t>1,474,035</w:t>
            </w:r>
          </w:p>
        </w:tc>
        <w:tc>
          <w:tcPr>
            <w:tcW w:w="1141" w:type="dxa"/>
            <w:tcBorders>
              <w:top w:val="single" w:sz="4" w:space="0" w:color="auto"/>
              <w:left w:val="nil"/>
              <w:bottom w:val="double" w:sz="6" w:space="0" w:color="auto"/>
              <w:right w:val="nil"/>
            </w:tcBorders>
            <w:shd w:val="clear" w:color="000000" w:fill="FFFFFF"/>
            <w:vAlign w:val="center"/>
          </w:tcPr>
          <w:p w14:paraId="2DD2D85C" w14:textId="2EF46398" w:rsidR="00FC4BE3" w:rsidRPr="00DC5B6E" w:rsidRDefault="00FC4BE3" w:rsidP="00FC4BE3">
            <w:pPr>
              <w:jc w:val="right"/>
              <w:rPr>
                <w:rFonts w:ascii="Arial" w:hAnsi="Arial" w:cs="Arial"/>
                <w:b/>
                <w:sz w:val="20"/>
                <w:szCs w:val="20"/>
              </w:rPr>
            </w:pPr>
            <w:r w:rsidRPr="00DC5B6E">
              <w:rPr>
                <w:rFonts w:ascii="Arial" w:hAnsi="Arial" w:cs="Arial"/>
                <w:b/>
                <w:bCs/>
                <w:sz w:val="20"/>
                <w:szCs w:val="20"/>
              </w:rPr>
              <w:t>63,301</w:t>
            </w:r>
          </w:p>
        </w:tc>
        <w:tc>
          <w:tcPr>
            <w:tcW w:w="1417" w:type="dxa"/>
            <w:tcBorders>
              <w:top w:val="single" w:sz="4" w:space="0" w:color="auto"/>
              <w:left w:val="nil"/>
              <w:bottom w:val="double" w:sz="6" w:space="0" w:color="auto"/>
              <w:right w:val="nil"/>
            </w:tcBorders>
            <w:shd w:val="clear" w:color="000000" w:fill="FFFFFF"/>
            <w:vAlign w:val="center"/>
          </w:tcPr>
          <w:p w14:paraId="0CC31006" w14:textId="3C719F40" w:rsidR="00FC4BE3" w:rsidRPr="00DC5B6E" w:rsidRDefault="00FC4BE3" w:rsidP="00FC4BE3">
            <w:pPr>
              <w:jc w:val="right"/>
              <w:rPr>
                <w:rFonts w:ascii="Arial" w:hAnsi="Arial" w:cs="Arial"/>
                <w:b/>
                <w:sz w:val="20"/>
                <w:szCs w:val="20"/>
              </w:rPr>
            </w:pPr>
            <w:r w:rsidRPr="00DC5B6E">
              <w:rPr>
                <w:rFonts w:ascii="Arial" w:hAnsi="Arial" w:cs="Arial"/>
                <w:b/>
                <w:bCs/>
                <w:sz w:val="20"/>
                <w:szCs w:val="20"/>
              </w:rPr>
              <w:t>(2,316)</w:t>
            </w:r>
          </w:p>
        </w:tc>
      </w:tr>
    </w:tbl>
    <w:p w14:paraId="00C3E5C8" w14:textId="77777777" w:rsidR="008D11FF" w:rsidRDefault="008D11FF" w:rsidP="00332F0D">
      <w:pPr>
        <w:pStyle w:val="BodyTextIndent2"/>
        <w:spacing w:after="0" w:line="240" w:lineRule="auto"/>
        <w:ind w:left="0"/>
        <w:rPr>
          <w:rFonts w:ascii="Arial" w:hAnsi="Arial" w:cs="Arial"/>
          <w:b/>
          <w:sz w:val="22"/>
          <w:szCs w:val="22"/>
        </w:rPr>
      </w:pPr>
    </w:p>
    <w:p w14:paraId="26EA91E7" w14:textId="7B6C31EA" w:rsidR="00CD5C9A" w:rsidRDefault="0030219B" w:rsidP="00332F0D">
      <w:pPr>
        <w:pStyle w:val="BodyTextIndent2"/>
        <w:spacing w:after="0" w:line="240" w:lineRule="auto"/>
        <w:ind w:left="0"/>
        <w:rPr>
          <w:rFonts w:ascii="Arial" w:hAnsi="Arial" w:cs="Arial"/>
          <w:bCs/>
          <w:sz w:val="22"/>
          <w:szCs w:val="22"/>
        </w:rPr>
      </w:pPr>
      <w:r w:rsidRPr="00380B20">
        <w:rPr>
          <w:rFonts w:ascii="Arial" w:hAnsi="Arial" w:cs="Arial"/>
          <w:bCs/>
          <w:sz w:val="22"/>
          <w:szCs w:val="22"/>
        </w:rPr>
        <w:t xml:space="preserve">Carrying value of </w:t>
      </w:r>
      <w:r w:rsidR="00A12154" w:rsidRPr="00380B20">
        <w:rPr>
          <w:rFonts w:ascii="Arial" w:hAnsi="Arial" w:cs="Arial"/>
          <w:bCs/>
          <w:sz w:val="22"/>
          <w:szCs w:val="22"/>
        </w:rPr>
        <w:t>financial</w:t>
      </w:r>
      <w:r w:rsidRPr="00380B20">
        <w:rPr>
          <w:rFonts w:ascii="Arial" w:hAnsi="Arial" w:cs="Arial"/>
          <w:bCs/>
          <w:sz w:val="22"/>
          <w:szCs w:val="22"/>
        </w:rPr>
        <w:t xml:space="preserve"> liabilities </w:t>
      </w:r>
      <w:r w:rsidR="00380B20" w:rsidRPr="00380B20">
        <w:rPr>
          <w:rFonts w:ascii="Arial" w:hAnsi="Arial" w:cs="Arial"/>
          <w:bCs/>
          <w:sz w:val="22"/>
          <w:szCs w:val="22"/>
        </w:rPr>
        <w:t xml:space="preserve">are equal to the fair value. </w:t>
      </w:r>
    </w:p>
    <w:p w14:paraId="58656272" w14:textId="77777777" w:rsidR="008D11FF" w:rsidRPr="00380B20" w:rsidRDefault="008D11FF" w:rsidP="00332F0D">
      <w:pPr>
        <w:pStyle w:val="BodyTextIndent2"/>
        <w:spacing w:after="0" w:line="240" w:lineRule="auto"/>
        <w:ind w:left="0"/>
        <w:rPr>
          <w:rFonts w:ascii="Arial" w:hAnsi="Arial" w:cs="Arial"/>
          <w:bCs/>
          <w:sz w:val="22"/>
          <w:szCs w:val="22"/>
        </w:rPr>
      </w:pPr>
    </w:p>
    <w:p w14:paraId="6F0EF1E2" w14:textId="77777777" w:rsidR="00CD5C9A" w:rsidRDefault="00CD5C9A" w:rsidP="00CD5C9A">
      <w:pPr>
        <w:pStyle w:val="BodyTextIndent2"/>
        <w:spacing w:after="0" w:line="240" w:lineRule="auto"/>
        <w:ind w:left="502"/>
        <w:rPr>
          <w:rFonts w:ascii="Arial" w:hAnsi="Arial" w:cs="Arial"/>
          <w:b/>
          <w:sz w:val="22"/>
          <w:szCs w:val="22"/>
        </w:rPr>
      </w:pPr>
    </w:p>
    <w:p w14:paraId="30CB1D7F" w14:textId="0FEC15D9" w:rsidR="003C45DA" w:rsidRPr="008A0A4E" w:rsidRDefault="003C45DA" w:rsidP="00FC1536">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 xml:space="preserve">Nature and extent of risks arising from Financial </w:t>
      </w:r>
      <w:r w:rsidR="00FD69DC" w:rsidRPr="008A0A4E">
        <w:rPr>
          <w:rFonts w:ascii="Arial" w:hAnsi="Arial" w:cs="Arial"/>
          <w:b/>
          <w:sz w:val="22"/>
          <w:szCs w:val="22"/>
        </w:rPr>
        <w:t>Instruments.</w:t>
      </w:r>
    </w:p>
    <w:p w14:paraId="7B375432" w14:textId="77777777" w:rsidR="003C45DA" w:rsidRPr="008A0A4E" w:rsidRDefault="003C45DA" w:rsidP="003C45DA">
      <w:pPr>
        <w:ind w:left="709" w:hanging="709"/>
        <w:rPr>
          <w:rFonts w:ascii="Arial" w:hAnsi="Arial" w:cs="Arial"/>
          <w:sz w:val="22"/>
          <w:szCs w:val="22"/>
        </w:rPr>
      </w:pPr>
      <w:r w:rsidRPr="008A0A4E">
        <w:rPr>
          <w:rFonts w:ascii="Arial" w:hAnsi="Arial" w:cs="Arial"/>
          <w:sz w:val="22"/>
          <w:szCs w:val="22"/>
        </w:rPr>
        <w:tab/>
      </w:r>
    </w:p>
    <w:p w14:paraId="14A5F1CF" w14:textId="77777777" w:rsidR="003C45DA" w:rsidRPr="008A0A4E" w:rsidRDefault="003C45DA" w:rsidP="003C45DA">
      <w:pPr>
        <w:ind w:left="360"/>
        <w:jc w:val="both"/>
        <w:rPr>
          <w:rFonts w:ascii="Arial" w:hAnsi="Arial" w:cs="Arial"/>
          <w:sz w:val="22"/>
          <w:szCs w:val="22"/>
        </w:rPr>
      </w:pPr>
      <w:r w:rsidRPr="008A0A4E">
        <w:rPr>
          <w:rFonts w:ascii="Arial" w:hAnsi="Arial" w:cs="Arial"/>
          <w:sz w:val="22"/>
          <w:szCs w:val="22"/>
        </w:rPr>
        <w:t>The Fund activities expose it to a variety of financial risks, including:</w:t>
      </w:r>
    </w:p>
    <w:p w14:paraId="3D3A5E8D" w14:textId="77777777" w:rsidR="003C45DA" w:rsidRPr="008A0A4E" w:rsidRDefault="003C45DA" w:rsidP="00FD69DC">
      <w:pPr>
        <w:ind w:left="720"/>
        <w:jc w:val="both"/>
        <w:rPr>
          <w:rFonts w:ascii="Arial" w:hAnsi="Arial" w:cs="Arial"/>
          <w:sz w:val="22"/>
          <w:szCs w:val="22"/>
        </w:rPr>
      </w:pPr>
    </w:p>
    <w:p w14:paraId="034A2496"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Market risk</w:t>
      </w:r>
      <w:r w:rsidRPr="008A0A4E">
        <w:rPr>
          <w:rFonts w:ascii="Arial" w:hAnsi="Arial" w:cs="Arial"/>
          <w:sz w:val="22"/>
          <w:szCs w:val="22"/>
        </w:rPr>
        <w:t xml:space="preserve"> – the possibility that financial loss might arise from the Fund’s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changes in such measures as interest rates or stock market </w:t>
      </w:r>
      <w:proofErr w:type="gramStart"/>
      <w:r w:rsidRPr="008A0A4E">
        <w:rPr>
          <w:rFonts w:ascii="Arial" w:hAnsi="Arial" w:cs="Arial"/>
          <w:sz w:val="22"/>
          <w:szCs w:val="22"/>
        </w:rPr>
        <w:t>movements;</w:t>
      </w:r>
      <w:proofErr w:type="gramEnd"/>
    </w:p>
    <w:p w14:paraId="4E6A4E68"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Interest rate risk</w:t>
      </w:r>
      <w:r w:rsidRPr="008A0A4E">
        <w:rPr>
          <w:rFonts w:ascii="Arial" w:hAnsi="Arial" w:cs="Arial"/>
          <w:sz w:val="22"/>
          <w:szCs w:val="22"/>
        </w:rPr>
        <w:t xml:space="preserve"> – the risk that interest rates may rise/fall above </w:t>
      </w:r>
      <w:proofErr w:type="gramStart"/>
      <w:r w:rsidRPr="008A0A4E">
        <w:rPr>
          <w:rFonts w:ascii="Arial" w:hAnsi="Arial" w:cs="Arial"/>
          <w:sz w:val="22"/>
          <w:szCs w:val="22"/>
        </w:rPr>
        <w:t>expectations;</w:t>
      </w:r>
      <w:proofErr w:type="gramEnd"/>
    </w:p>
    <w:p w14:paraId="5F4EC34C"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Credit risk</w:t>
      </w:r>
      <w:r w:rsidRPr="008A0A4E">
        <w:rPr>
          <w:rFonts w:ascii="Arial" w:hAnsi="Arial" w:cs="Arial"/>
          <w:sz w:val="22"/>
          <w:szCs w:val="22"/>
        </w:rPr>
        <w:t xml:space="preserve"> - the risk that other parties may fail to pay amounts </w:t>
      </w:r>
      <w:proofErr w:type="gramStart"/>
      <w:r w:rsidRPr="008A0A4E">
        <w:rPr>
          <w:rFonts w:ascii="Arial" w:hAnsi="Arial" w:cs="Arial"/>
          <w:sz w:val="22"/>
          <w:szCs w:val="22"/>
        </w:rPr>
        <w:t>due;</w:t>
      </w:r>
      <w:proofErr w:type="gramEnd"/>
    </w:p>
    <w:p w14:paraId="6BA73171"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Liquidity risk</w:t>
      </w:r>
      <w:r w:rsidRPr="008A0A4E">
        <w:rPr>
          <w:rFonts w:ascii="Arial" w:hAnsi="Arial" w:cs="Arial"/>
          <w:sz w:val="22"/>
          <w:szCs w:val="22"/>
        </w:rPr>
        <w:t xml:space="preserve"> – the risk that the Fund may not have funds available to meets its commitments to make payment; and</w:t>
      </w:r>
    </w:p>
    <w:p w14:paraId="0820BF67"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Refinancing risk</w:t>
      </w:r>
      <w:r w:rsidRPr="008A0A4E">
        <w:rPr>
          <w:rFonts w:ascii="Arial" w:hAnsi="Arial" w:cs="Arial"/>
          <w:sz w:val="22"/>
          <w:szCs w:val="22"/>
        </w:rPr>
        <w:t xml:space="preserve"> – the risk that the Fund might be required to renew a financial instrument on maturity at disadvantageous interest rates or terms. </w:t>
      </w:r>
    </w:p>
    <w:p w14:paraId="6B5B95ED" w14:textId="77777777" w:rsidR="003C45DA" w:rsidRPr="008A0A4E" w:rsidRDefault="003C45DA" w:rsidP="00FD69DC">
      <w:pPr>
        <w:ind w:left="1080"/>
        <w:jc w:val="both"/>
        <w:rPr>
          <w:rFonts w:ascii="Arial" w:hAnsi="Arial" w:cs="Arial"/>
          <w:sz w:val="22"/>
          <w:szCs w:val="22"/>
        </w:rPr>
      </w:pPr>
    </w:p>
    <w:p w14:paraId="33939830" w14:textId="77777777" w:rsidR="003C45DA" w:rsidRPr="008A0A4E" w:rsidRDefault="003C45DA" w:rsidP="003C45DA">
      <w:pPr>
        <w:ind w:left="360"/>
        <w:jc w:val="both"/>
        <w:rPr>
          <w:rFonts w:ascii="Arial" w:hAnsi="Arial" w:cs="Arial"/>
          <w:sz w:val="22"/>
          <w:szCs w:val="22"/>
        </w:rPr>
      </w:pPr>
      <w:r w:rsidRPr="008A0A4E">
        <w:rPr>
          <w:rFonts w:ascii="Arial" w:hAnsi="Arial" w:cs="Arial"/>
          <w:sz w:val="22"/>
          <w:szCs w:val="22"/>
        </w:rPr>
        <w:t xml:space="preserve">The Fund’s primary long-term risk is that the Fund’s assets will fall short of its liabilities (i.e.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w:t>
      </w:r>
    </w:p>
    <w:p w14:paraId="40424347" w14:textId="77777777" w:rsidR="003C45DA" w:rsidRPr="008A0A4E" w:rsidRDefault="003C45DA" w:rsidP="003C45DA">
      <w:pPr>
        <w:ind w:left="360"/>
        <w:jc w:val="both"/>
        <w:rPr>
          <w:rFonts w:ascii="Arial" w:hAnsi="Arial" w:cs="Arial"/>
          <w:sz w:val="22"/>
          <w:szCs w:val="22"/>
        </w:rPr>
      </w:pPr>
    </w:p>
    <w:p w14:paraId="491BCC77" w14:textId="4780DDDC" w:rsidR="003C45DA" w:rsidRPr="008A0A4E" w:rsidRDefault="003C45DA" w:rsidP="003C45DA">
      <w:pPr>
        <w:ind w:left="360"/>
        <w:jc w:val="both"/>
        <w:rPr>
          <w:rFonts w:ascii="Arial" w:hAnsi="Arial" w:cs="Arial"/>
          <w:sz w:val="22"/>
          <w:szCs w:val="22"/>
        </w:rPr>
      </w:pPr>
      <w:r w:rsidRPr="008A0A4E">
        <w:rPr>
          <w:rFonts w:ascii="Arial" w:hAnsi="Arial" w:cs="Arial"/>
          <w:sz w:val="22"/>
          <w:szCs w:val="22"/>
        </w:rPr>
        <w:t xml:space="preserve">In addition, the fund manages its liquidity risk to ensure there is sufficient liquidity to meet the Fund’s forecast cash flows. The Council manages these investment risks as part of its overall pension Fund risk management programme. </w:t>
      </w:r>
    </w:p>
    <w:p w14:paraId="4A7FCA9F" w14:textId="77777777" w:rsidR="003C45DA" w:rsidRPr="008A0A4E" w:rsidRDefault="003C45DA" w:rsidP="003C45DA">
      <w:pPr>
        <w:ind w:left="360"/>
        <w:jc w:val="both"/>
        <w:rPr>
          <w:rFonts w:ascii="Arial" w:hAnsi="Arial" w:cs="Arial"/>
          <w:sz w:val="22"/>
          <w:szCs w:val="22"/>
        </w:rPr>
      </w:pPr>
    </w:p>
    <w:p w14:paraId="6C9D68AD" w14:textId="33565A71" w:rsidR="006E0F67" w:rsidRPr="00333086" w:rsidRDefault="003C45DA" w:rsidP="00333086">
      <w:pPr>
        <w:ind w:left="360"/>
        <w:jc w:val="both"/>
        <w:rPr>
          <w:rFonts w:ascii="Arial" w:hAnsi="Arial" w:cs="Arial"/>
          <w:sz w:val="22"/>
          <w:szCs w:val="22"/>
        </w:rPr>
      </w:pPr>
      <w:r w:rsidRPr="008A0A4E">
        <w:rPr>
          <w:rFonts w:ascii="Arial" w:hAnsi="Arial" w:cs="Arial"/>
          <w:sz w:val="22"/>
          <w:szCs w:val="22"/>
        </w:rPr>
        <w:t xml:space="preserve">Responsibility for the Fund’s risk management strategy rests with the Fund’s Committee. Risk management policies have been established to identify and analyse the risks faced by the Council’s pensions operations. Policies are reviewed regularly to reflect changes in activity and in market conditions. </w:t>
      </w:r>
    </w:p>
    <w:p w14:paraId="5321DB8A" w14:textId="77777777" w:rsidR="00FD69DC" w:rsidRDefault="00FD69DC" w:rsidP="003C45DA">
      <w:pPr>
        <w:spacing w:line="20" w:lineRule="atLeast"/>
        <w:ind w:firstLine="360"/>
        <w:rPr>
          <w:rFonts w:ascii="Arial" w:hAnsi="Arial" w:cs="Arial"/>
          <w:b/>
          <w:sz w:val="22"/>
          <w:szCs w:val="22"/>
        </w:rPr>
      </w:pPr>
    </w:p>
    <w:p w14:paraId="455E61BC" w14:textId="41EA433A" w:rsidR="003C45DA" w:rsidRPr="00F928FC" w:rsidRDefault="003C45DA" w:rsidP="003C45DA">
      <w:pPr>
        <w:spacing w:line="20" w:lineRule="atLeast"/>
        <w:ind w:firstLine="360"/>
        <w:rPr>
          <w:rFonts w:ascii="Arial" w:hAnsi="Arial" w:cs="Arial"/>
          <w:b/>
          <w:sz w:val="22"/>
          <w:szCs w:val="22"/>
        </w:rPr>
      </w:pPr>
      <w:r w:rsidRPr="00F928FC">
        <w:rPr>
          <w:rFonts w:ascii="Arial" w:hAnsi="Arial" w:cs="Arial"/>
          <w:b/>
          <w:sz w:val="22"/>
          <w:szCs w:val="22"/>
        </w:rPr>
        <w:t>Risk and risk management</w:t>
      </w:r>
    </w:p>
    <w:p w14:paraId="50D84A54" w14:textId="77777777" w:rsidR="003C45DA" w:rsidRPr="008A0A4E" w:rsidRDefault="003C45DA" w:rsidP="003C45DA">
      <w:pPr>
        <w:spacing w:line="20" w:lineRule="atLeast"/>
        <w:rPr>
          <w:rFonts w:ascii="Arial" w:hAnsi="Arial" w:cs="Arial"/>
          <w:b/>
          <w:sz w:val="22"/>
          <w:szCs w:val="22"/>
        </w:rPr>
      </w:pPr>
    </w:p>
    <w:p w14:paraId="14A85AF9" w14:textId="77777777" w:rsidR="003C45DA" w:rsidRPr="008A0A4E" w:rsidRDefault="003C45DA" w:rsidP="003C45DA">
      <w:pPr>
        <w:spacing w:line="20" w:lineRule="atLeast"/>
        <w:ind w:firstLine="360"/>
        <w:rPr>
          <w:rFonts w:ascii="Arial" w:hAnsi="Arial" w:cs="Arial"/>
          <w:b/>
          <w:sz w:val="22"/>
          <w:szCs w:val="22"/>
        </w:rPr>
      </w:pPr>
      <w:r w:rsidRPr="008A0A4E">
        <w:rPr>
          <w:rFonts w:ascii="Arial" w:hAnsi="Arial" w:cs="Arial"/>
          <w:b/>
          <w:sz w:val="22"/>
          <w:szCs w:val="22"/>
        </w:rPr>
        <w:t>Market risk</w:t>
      </w:r>
    </w:p>
    <w:p w14:paraId="19B6CFDC" w14:textId="77777777" w:rsidR="003C45DA" w:rsidRPr="008A0A4E" w:rsidRDefault="003C45DA" w:rsidP="003C45DA">
      <w:pPr>
        <w:spacing w:line="20" w:lineRule="atLeast"/>
        <w:ind w:firstLine="360"/>
        <w:rPr>
          <w:rFonts w:ascii="Arial" w:hAnsi="Arial" w:cs="Arial"/>
          <w:b/>
          <w:sz w:val="22"/>
          <w:szCs w:val="22"/>
        </w:rPr>
      </w:pPr>
    </w:p>
    <w:p w14:paraId="1550F6C1"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Market risk is the risk of loss from fluctuations in equity prices, from interest and foreign exchange rates and from credit spreads. The Fund is exposed to market risk predominantly from its equity holdings. The level of risk exposure depends on market conditions, expectations of future price and yield movements and the asset mix. The objective of the Fund’s risk management strategy is to identify, manage and control market risk exposure within acceptable parameters, whilst optimising the return on risk.</w:t>
      </w:r>
    </w:p>
    <w:p w14:paraId="5E16F6B2" w14:textId="77777777" w:rsidR="003C45DA" w:rsidRPr="008A0A4E" w:rsidRDefault="003C45DA" w:rsidP="003C45DA">
      <w:pPr>
        <w:spacing w:line="20" w:lineRule="atLeast"/>
        <w:ind w:left="360"/>
        <w:jc w:val="both"/>
        <w:rPr>
          <w:rFonts w:ascii="Arial" w:hAnsi="Arial" w:cs="Arial"/>
          <w:sz w:val="22"/>
          <w:szCs w:val="22"/>
        </w:rPr>
      </w:pPr>
    </w:p>
    <w:p w14:paraId="3202E76D"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In general, excessive volatility in market risk is managed through the diversification of the portfolio in terms of geographical and industry sectors and individual securities. To mitigate market risk, the Council and its investment advisors undertake appropriate monitoring of market conditions and benchmark analysis.  The Fund manages these risks in two ways:</w:t>
      </w:r>
    </w:p>
    <w:p w14:paraId="3475157E" w14:textId="77777777" w:rsidR="003C45DA" w:rsidRPr="008A0A4E" w:rsidRDefault="003C45DA" w:rsidP="003C45DA">
      <w:pPr>
        <w:spacing w:line="20" w:lineRule="atLeast"/>
        <w:ind w:firstLine="360"/>
        <w:jc w:val="both"/>
        <w:rPr>
          <w:rFonts w:ascii="Arial" w:hAnsi="Arial" w:cs="Arial"/>
          <w:sz w:val="22"/>
          <w:szCs w:val="22"/>
        </w:rPr>
      </w:pPr>
    </w:p>
    <w:p w14:paraId="0AC654E6" w14:textId="60D41863" w:rsidR="003C45DA" w:rsidRPr="008A0A4E" w:rsidRDefault="003C45DA" w:rsidP="003C45DA">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Fund’s exposure to market risk monitored by reviewing the Fund’s asset allocation</w:t>
      </w:r>
      <w:r w:rsidR="00FD69DC">
        <w:rPr>
          <w:rFonts w:ascii="Arial" w:hAnsi="Arial" w:cs="Arial"/>
          <w:sz w:val="22"/>
          <w:szCs w:val="22"/>
        </w:rPr>
        <w:t>.</w:t>
      </w:r>
    </w:p>
    <w:p w14:paraId="384E6791" w14:textId="2D50BF06" w:rsidR="00F20BD7" w:rsidRDefault="003C45DA" w:rsidP="00104582">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Specific risk exposure limited by applying maximum exposure to individual investment.</w:t>
      </w:r>
    </w:p>
    <w:p w14:paraId="49FF4169" w14:textId="77777777" w:rsidR="002D629E" w:rsidRDefault="002D629E" w:rsidP="008038B2">
      <w:pPr>
        <w:spacing w:line="20" w:lineRule="atLeast"/>
        <w:rPr>
          <w:rFonts w:ascii="Arial" w:hAnsi="Arial" w:cs="Arial"/>
          <w:b/>
          <w:sz w:val="22"/>
          <w:szCs w:val="22"/>
        </w:rPr>
      </w:pPr>
    </w:p>
    <w:p w14:paraId="0E20E6C6" w14:textId="3A32CD6A" w:rsidR="003C45DA" w:rsidRPr="00F928FC" w:rsidRDefault="003C45DA" w:rsidP="003C45DA">
      <w:pPr>
        <w:spacing w:line="20" w:lineRule="atLeast"/>
        <w:ind w:firstLine="360"/>
        <w:rPr>
          <w:rFonts w:ascii="Arial" w:hAnsi="Arial" w:cs="Arial"/>
          <w:b/>
          <w:sz w:val="22"/>
          <w:szCs w:val="22"/>
        </w:rPr>
      </w:pPr>
      <w:r w:rsidRPr="00F928FC">
        <w:rPr>
          <w:rFonts w:ascii="Arial" w:hAnsi="Arial" w:cs="Arial"/>
          <w:b/>
          <w:sz w:val="22"/>
          <w:szCs w:val="22"/>
        </w:rPr>
        <w:t>Other price risk</w:t>
      </w:r>
    </w:p>
    <w:p w14:paraId="1F41F414" w14:textId="77777777" w:rsidR="003C45DA" w:rsidRPr="008A0A4E" w:rsidRDefault="003C45DA" w:rsidP="003C45DA">
      <w:pPr>
        <w:spacing w:line="20" w:lineRule="atLeast"/>
        <w:jc w:val="both"/>
        <w:rPr>
          <w:rFonts w:ascii="Arial" w:hAnsi="Arial" w:cs="Arial"/>
          <w:b/>
          <w:sz w:val="22"/>
          <w:szCs w:val="22"/>
        </w:rPr>
      </w:pPr>
    </w:p>
    <w:p w14:paraId="0BF08BCD" w14:textId="0F0C4845" w:rsidR="003C45DA" w:rsidRPr="008A0A4E" w:rsidRDefault="003C45DA" w:rsidP="000963DF">
      <w:pPr>
        <w:spacing w:line="20" w:lineRule="atLeast"/>
        <w:ind w:left="360"/>
        <w:jc w:val="both"/>
        <w:rPr>
          <w:rFonts w:ascii="Arial" w:hAnsi="Arial" w:cs="Arial"/>
          <w:sz w:val="22"/>
          <w:szCs w:val="22"/>
        </w:rPr>
      </w:pPr>
      <w:r w:rsidRPr="008A0A4E">
        <w:rPr>
          <w:rFonts w:ascii="Arial" w:hAnsi="Arial" w:cs="Arial"/>
          <w:sz w:val="22"/>
          <w:szCs w:val="22"/>
        </w:rPr>
        <w:t xml:space="preserve">Other price risk represents the risk that the value of a financial instrument will fluctuate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changes in market prices (other than those arising from interest rate risk or foreign exchange risk), whether those changes are caused by factors specific to the individual instrument or its issuer or factors affecting all such instruments in the market.</w:t>
      </w:r>
    </w:p>
    <w:p w14:paraId="263000AE"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 xml:space="preserve">The Fund is exposed to share and derivative price risk.  This arises from investments held by the Fund for which the future price is uncertain.  All securities investments present a risk of loss of capital.  The maximum risk resulting from financial instruments is determined by the fair value of the financial instruments. </w:t>
      </w:r>
    </w:p>
    <w:p w14:paraId="1A96D873" w14:textId="77777777" w:rsidR="003C45DA" w:rsidRPr="008A0A4E" w:rsidRDefault="003C45DA" w:rsidP="003C45DA">
      <w:pPr>
        <w:spacing w:line="20" w:lineRule="atLeast"/>
        <w:jc w:val="both"/>
        <w:rPr>
          <w:rFonts w:ascii="Arial" w:hAnsi="Arial" w:cs="Arial"/>
          <w:sz w:val="22"/>
          <w:szCs w:val="22"/>
        </w:rPr>
      </w:pPr>
    </w:p>
    <w:p w14:paraId="27FA60F6"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The Fund’s investment managers mitigate this price risk through diversification and the selection of securities and other financial instruments is monitored by the Council to ensure it is within limits specified in the Fund investment strategy.</w:t>
      </w:r>
    </w:p>
    <w:p w14:paraId="4B668526" w14:textId="77777777" w:rsidR="003C45DA" w:rsidRPr="008A0A4E" w:rsidRDefault="003C45DA" w:rsidP="003C45DA">
      <w:pPr>
        <w:spacing w:line="20" w:lineRule="atLeast"/>
        <w:ind w:firstLine="360"/>
        <w:jc w:val="both"/>
        <w:rPr>
          <w:rFonts w:ascii="Arial" w:hAnsi="Arial" w:cs="Arial"/>
          <w:b/>
          <w:sz w:val="22"/>
          <w:szCs w:val="22"/>
        </w:rPr>
      </w:pPr>
    </w:p>
    <w:p w14:paraId="370EDD18" w14:textId="77777777" w:rsidR="003C45DA" w:rsidRPr="008A0A4E" w:rsidRDefault="003C45DA" w:rsidP="003C45DA">
      <w:pPr>
        <w:spacing w:line="20" w:lineRule="atLeast"/>
        <w:ind w:firstLine="360"/>
        <w:jc w:val="both"/>
        <w:rPr>
          <w:rFonts w:ascii="Arial" w:hAnsi="Arial" w:cs="Arial"/>
          <w:b/>
          <w:sz w:val="22"/>
          <w:szCs w:val="22"/>
        </w:rPr>
      </w:pPr>
      <w:r w:rsidRPr="008A0A4E">
        <w:rPr>
          <w:rFonts w:ascii="Arial" w:hAnsi="Arial" w:cs="Arial"/>
          <w:b/>
          <w:sz w:val="22"/>
          <w:szCs w:val="22"/>
        </w:rPr>
        <w:t>Other price risk - sensitivity analysis</w:t>
      </w:r>
    </w:p>
    <w:p w14:paraId="5044B6D6" w14:textId="77777777" w:rsidR="003C45DA" w:rsidRPr="008A0A4E" w:rsidRDefault="003C45DA" w:rsidP="003C45DA">
      <w:pPr>
        <w:spacing w:line="20" w:lineRule="atLeast"/>
        <w:ind w:firstLine="360"/>
        <w:jc w:val="both"/>
        <w:rPr>
          <w:rFonts w:ascii="Arial" w:hAnsi="Arial" w:cs="Arial"/>
          <w:b/>
          <w:sz w:val="22"/>
          <w:szCs w:val="22"/>
        </w:rPr>
      </w:pPr>
    </w:p>
    <w:p w14:paraId="772716C4" w14:textId="4CCAA24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Potential price changes are determined based on the observed historical volatility of asset class returns. Ris</w:t>
      </w:r>
      <w:r w:rsidR="00FD69DC">
        <w:rPr>
          <w:rFonts w:ascii="Arial" w:hAnsi="Arial" w:cs="Arial"/>
          <w:sz w:val="22"/>
          <w:szCs w:val="22"/>
        </w:rPr>
        <w:t>k</w:t>
      </w:r>
      <w:r w:rsidR="006F7F9E">
        <w:rPr>
          <w:rFonts w:ascii="Arial" w:hAnsi="Arial" w:cs="Arial"/>
          <w:sz w:val="22"/>
          <w:szCs w:val="22"/>
        </w:rPr>
        <w:tab/>
      </w:r>
      <w:r w:rsidRPr="008A0A4E">
        <w:rPr>
          <w:rFonts w:ascii="Arial" w:hAnsi="Arial" w:cs="Arial"/>
          <w:sz w:val="22"/>
          <w:szCs w:val="22"/>
        </w:rPr>
        <w:t xml:space="preserve"> assets such as equities will display greater potential volatility than bonds as an example, so the overall outcome depends largely on Funds’ asset allocations. </w:t>
      </w:r>
    </w:p>
    <w:p w14:paraId="31A1540A" w14:textId="77777777" w:rsidR="003C45DA" w:rsidRPr="008A0A4E" w:rsidRDefault="003C45DA" w:rsidP="003C45DA">
      <w:pPr>
        <w:jc w:val="both"/>
        <w:rPr>
          <w:rFonts w:ascii="Arial" w:hAnsi="Arial" w:cs="Arial"/>
          <w:sz w:val="22"/>
          <w:szCs w:val="22"/>
        </w:rPr>
      </w:pPr>
    </w:p>
    <w:p w14:paraId="68DCC60D" w14:textId="56501A95" w:rsidR="00C021DE" w:rsidRDefault="003C45DA" w:rsidP="00F76F12">
      <w:pPr>
        <w:ind w:left="360"/>
        <w:jc w:val="both"/>
        <w:rPr>
          <w:rFonts w:ascii="Arial" w:hAnsi="Arial" w:cs="Arial"/>
          <w:sz w:val="22"/>
          <w:szCs w:val="22"/>
        </w:rPr>
      </w:pPr>
      <w:r w:rsidRPr="008A0A4E">
        <w:rPr>
          <w:rFonts w:ascii="Arial" w:hAnsi="Arial" w:cs="Arial"/>
          <w:sz w:val="22"/>
          <w:szCs w:val="22"/>
        </w:rPr>
        <w:t>The potential volatilities are consistent with a one standard deviation movement in the change in value of the assets over the latest three years. This can then be applied to the period end asset mix.  The Council has determined that the following movements in market price risk are reasonably possible for the 20</w:t>
      </w:r>
      <w:r w:rsidR="00FC3CD7">
        <w:rPr>
          <w:rFonts w:ascii="Arial" w:hAnsi="Arial" w:cs="Arial"/>
          <w:sz w:val="22"/>
          <w:szCs w:val="22"/>
        </w:rPr>
        <w:t>2</w:t>
      </w:r>
      <w:r w:rsidR="00CA60D2">
        <w:rPr>
          <w:rFonts w:ascii="Arial" w:hAnsi="Arial" w:cs="Arial"/>
          <w:sz w:val="22"/>
          <w:szCs w:val="22"/>
        </w:rPr>
        <w:t>4</w:t>
      </w:r>
      <w:r w:rsidR="001B7AF0">
        <w:rPr>
          <w:rFonts w:ascii="Arial" w:hAnsi="Arial" w:cs="Arial"/>
          <w:sz w:val="22"/>
          <w:szCs w:val="22"/>
        </w:rPr>
        <w:t>/2</w:t>
      </w:r>
      <w:r w:rsidR="00CA60D2">
        <w:rPr>
          <w:rFonts w:ascii="Arial" w:hAnsi="Arial" w:cs="Arial"/>
          <w:sz w:val="22"/>
          <w:szCs w:val="22"/>
        </w:rPr>
        <w:t>5</w:t>
      </w:r>
      <w:r w:rsidRPr="008A0A4E">
        <w:rPr>
          <w:rFonts w:ascii="Arial" w:hAnsi="Arial" w:cs="Arial"/>
          <w:sz w:val="22"/>
          <w:szCs w:val="22"/>
        </w:rPr>
        <w:t xml:space="preserve"> reporting period.</w:t>
      </w:r>
    </w:p>
    <w:p w14:paraId="012D5732" w14:textId="77777777" w:rsidR="00CA60D2" w:rsidRPr="008A0A4E" w:rsidRDefault="00CA60D2" w:rsidP="00F76F12">
      <w:pPr>
        <w:ind w:left="360"/>
        <w:jc w:val="both"/>
        <w:rPr>
          <w:rFonts w:ascii="Arial" w:hAnsi="Arial" w:cs="Arial"/>
          <w:sz w:val="22"/>
          <w:szCs w:val="22"/>
        </w:rPr>
      </w:pPr>
    </w:p>
    <w:p w14:paraId="70F04EAE" w14:textId="77777777" w:rsidR="00C021DE" w:rsidRPr="008A0A4E" w:rsidRDefault="00C021DE" w:rsidP="003C45DA">
      <w:pPr>
        <w:ind w:left="360"/>
        <w:jc w:val="both"/>
        <w:rPr>
          <w:rFonts w:ascii="Arial" w:hAnsi="Arial" w:cs="Arial"/>
          <w:sz w:val="22"/>
          <w:szCs w:val="22"/>
        </w:rPr>
      </w:pPr>
    </w:p>
    <w:tbl>
      <w:tblPr>
        <w:tblW w:w="8633" w:type="dxa"/>
        <w:tblInd w:w="392" w:type="dxa"/>
        <w:tblLook w:val="00A0" w:firstRow="1" w:lastRow="0" w:firstColumn="1" w:lastColumn="0" w:noHBand="0" w:noVBand="0"/>
      </w:tblPr>
      <w:tblGrid>
        <w:gridCol w:w="2354"/>
        <w:gridCol w:w="2642"/>
        <w:gridCol w:w="1411"/>
        <w:gridCol w:w="2226"/>
      </w:tblGrid>
      <w:tr w:rsidR="003C45DA" w:rsidRPr="00B64150" w14:paraId="6384DFBA" w14:textId="77777777" w:rsidTr="00BF3475">
        <w:trPr>
          <w:trHeight w:val="190"/>
        </w:trPr>
        <w:tc>
          <w:tcPr>
            <w:tcW w:w="2354" w:type="dxa"/>
            <w:shd w:val="clear" w:color="000000" w:fill="FFFFFF"/>
            <w:vAlign w:val="bottom"/>
          </w:tcPr>
          <w:p w14:paraId="7C4EF910"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642" w:type="dxa"/>
            <w:shd w:val="clear" w:color="000000" w:fill="FFFFFF"/>
            <w:vAlign w:val="bottom"/>
          </w:tcPr>
          <w:p w14:paraId="7CB5DFE2"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c>
          <w:tcPr>
            <w:tcW w:w="1411" w:type="dxa"/>
            <w:vAlign w:val="bottom"/>
          </w:tcPr>
          <w:p w14:paraId="685AD1B7"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226" w:type="dxa"/>
            <w:vAlign w:val="bottom"/>
          </w:tcPr>
          <w:p w14:paraId="7F2C59FB"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r>
      <w:tr w:rsidR="00AA1B93" w:rsidRPr="00097646" w14:paraId="44DF159C" w14:textId="77777777" w:rsidTr="00BF3475">
        <w:trPr>
          <w:trHeight w:val="173"/>
        </w:trPr>
        <w:tc>
          <w:tcPr>
            <w:tcW w:w="2354" w:type="dxa"/>
            <w:noWrap/>
            <w:vAlign w:val="bottom"/>
          </w:tcPr>
          <w:p w14:paraId="0684BDC1" w14:textId="16060DC9" w:rsidR="00AA1B93" w:rsidRPr="008A0A4E" w:rsidRDefault="00B5574A" w:rsidP="00896703">
            <w:pPr>
              <w:rPr>
                <w:rFonts w:ascii="Arial" w:hAnsi="Arial" w:cs="Arial"/>
                <w:color w:val="000000"/>
                <w:sz w:val="22"/>
                <w:szCs w:val="22"/>
              </w:rPr>
            </w:pPr>
            <w:r>
              <w:rPr>
                <w:rFonts w:ascii="Arial" w:hAnsi="Arial" w:cs="Arial"/>
                <w:color w:val="000000"/>
                <w:sz w:val="22"/>
                <w:szCs w:val="22"/>
              </w:rPr>
              <w:t>Equities</w:t>
            </w:r>
          </w:p>
        </w:tc>
        <w:tc>
          <w:tcPr>
            <w:tcW w:w="2642" w:type="dxa"/>
            <w:noWrap/>
          </w:tcPr>
          <w:p w14:paraId="2D703F60" w14:textId="202C4128" w:rsidR="00AA1B93" w:rsidRPr="005025AB" w:rsidRDefault="00AA1B93" w:rsidP="00896703">
            <w:pPr>
              <w:ind w:left="-108"/>
              <w:jc w:val="center"/>
              <w:rPr>
                <w:rFonts w:ascii="Arial" w:hAnsi="Arial" w:cs="Arial"/>
                <w:sz w:val="22"/>
                <w:szCs w:val="22"/>
                <w:highlight w:val="yellow"/>
              </w:rPr>
            </w:pPr>
            <w:r w:rsidRPr="003629BE">
              <w:rPr>
                <w:rFonts w:ascii="Arial" w:hAnsi="Arial" w:cs="Arial"/>
                <w:sz w:val="22"/>
                <w:szCs w:val="22"/>
              </w:rPr>
              <w:t>1</w:t>
            </w:r>
            <w:r w:rsidR="003629BE" w:rsidRPr="003629BE">
              <w:rPr>
                <w:rFonts w:ascii="Arial" w:hAnsi="Arial" w:cs="Arial"/>
                <w:sz w:val="22"/>
                <w:szCs w:val="22"/>
              </w:rPr>
              <w:t>7</w:t>
            </w:r>
            <w:r w:rsidR="00127046" w:rsidRPr="003629BE">
              <w:rPr>
                <w:rFonts w:ascii="Arial" w:hAnsi="Arial" w:cs="Arial"/>
                <w:sz w:val="22"/>
                <w:szCs w:val="22"/>
              </w:rPr>
              <w:t>.1</w:t>
            </w:r>
          </w:p>
        </w:tc>
        <w:tc>
          <w:tcPr>
            <w:tcW w:w="1411" w:type="dxa"/>
          </w:tcPr>
          <w:p w14:paraId="463C0A6F" w14:textId="77777777" w:rsidR="00AA1B93" w:rsidRPr="00097646" w:rsidRDefault="00AA1B93" w:rsidP="00896703">
            <w:pPr>
              <w:rPr>
                <w:rFonts w:ascii="Arial" w:hAnsi="Arial" w:cs="Arial"/>
                <w:sz w:val="22"/>
                <w:szCs w:val="22"/>
              </w:rPr>
            </w:pPr>
            <w:r w:rsidRPr="00097646">
              <w:rPr>
                <w:rFonts w:ascii="Arial" w:hAnsi="Arial" w:cs="Arial"/>
                <w:sz w:val="22"/>
                <w:szCs w:val="22"/>
              </w:rPr>
              <w:t>Alternatives</w:t>
            </w:r>
          </w:p>
        </w:tc>
        <w:tc>
          <w:tcPr>
            <w:tcW w:w="2226" w:type="dxa"/>
          </w:tcPr>
          <w:p w14:paraId="086925E2" w14:textId="352D030F" w:rsidR="00AA1B93" w:rsidRPr="005025AB" w:rsidRDefault="008E46BD" w:rsidP="00896703">
            <w:pPr>
              <w:ind w:left="-108"/>
              <w:jc w:val="center"/>
              <w:rPr>
                <w:rFonts w:ascii="Arial" w:hAnsi="Arial" w:cs="Arial"/>
                <w:sz w:val="22"/>
                <w:szCs w:val="22"/>
                <w:highlight w:val="yellow"/>
              </w:rPr>
            </w:pPr>
            <w:r w:rsidRPr="008E46BD">
              <w:rPr>
                <w:rFonts w:ascii="Arial" w:hAnsi="Arial" w:cs="Arial"/>
                <w:sz w:val="22"/>
                <w:szCs w:val="22"/>
              </w:rPr>
              <w:t>14.0</w:t>
            </w:r>
          </w:p>
        </w:tc>
      </w:tr>
      <w:tr w:rsidR="00AA1B93" w:rsidRPr="00097646" w14:paraId="0FC46A42" w14:textId="77777777" w:rsidTr="00BF3475">
        <w:trPr>
          <w:trHeight w:val="173"/>
        </w:trPr>
        <w:tc>
          <w:tcPr>
            <w:tcW w:w="2354" w:type="dxa"/>
            <w:noWrap/>
            <w:vAlign w:val="bottom"/>
          </w:tcPr>
          <w:p w14:paraId="3D4CD897" w14:textId="28B4DFCF" w:rsidR="00AA1B93" w:rsidRPr="008A0A4E" w:rsidRDefault="00AA1B93" w:rsidP="00896703">
            <w:pPr>
              <w:rPr>
                <w:rFonts w:ascii="Arial" w:hAnsi="Arial" w:cs="Arial"/>
                <w:color w:val="000000"/>
                <w:sz w:val="22"/>
                <w:szCs w:val="22"/>
              </w:rPr>
            </w:pPr>
            <w:r w:rsidRPr="008A0A4E">
              <w:rPr>
                <w:rFonts w:ascii="Arial" w:hAnsi="Arial" w:cs="Arial"/>
                <w:color w:val="000000"/>
                <w:sz w:val="22"/>
                <w:szCs w:val="22"/>
              </w:rPr>
              <w:t>Bonds</w:t>
            </w:r>
          </w:p>
        </w:tc>
        <w:tc>
          <w:tcPr>
            <w:tcW w:w="2642" w:type="dxa"/>
            <w:noWrap/>
          </w:tcPr>
          <w:p w14:paraId="481DE74E" w14:textId="59E31E43" w:rsidR="00AA1B93" w:rsidRPr="005025AB" w:rsidRDefault="009C2123" w:rsidP="00896703">
            <w:pPr>
              <w:ind w:left="-108"/>
              <w:jc w:val="center"/>
              <w:rPr>
                <w:rFonts w:ascii="Arial" w:hAnsi="Arial" w:cs="Arial"/>
                <w:sz w:val="22"/>
                <w:szCs w:val="22"/>
                <w:highlight w:val="yellow"/>
              </w:rPr>
            </w:pPr>
            <w:r w:rsidRPr="009C2123">
              <w:rPr>
                <w:rFonts w:ascii="Arial" w:hAnsi="Arial" w:cs="Arial"/>
                <w:sz w:val="22"/>
                <w:szCs w:val="22"/>
              </w:rPr>
              <w:t>5.0</w:t>
            </w:r>
          </w:p>
        </w:tc>
        <w:tc>
          <w:tcPr>
            <w:tcW w:w="1411" w:type="dxa"/>
          </w:tcPr>
          <w:p w14:paraId="3E3F7BFE" w14:textId="77777777" w:rsidR="00AA1B93" w:rsidRPr="00097646" w:rsidRDefault="00AA1B93" w:rsidP="00896703">
            <w:pPr>
              <w:rPr>
                <w:rFonts w:ascii="Arial" w:hAnsi="Arial" w:cs="Arial"/>
                <w:color w:val="000000"/>
                <w:sz w:val="22"/>
                <w:szCs w:val="22"/>
              </w:rPr>
            </w:pPr>
            <w:r w:rsidRPr="00097646">
              <w:rPr>
                <w:rFonts w:ascii="Arial" w:hAnsi="Arial" w:cs="Arial"/>
                <w:color w:val="000000"/>
                <w:sz w:val="22"/>
                <w:szCs w:val="22"/>
              </w:rPr>
              <w:t>Cash</w:t>
            </w:r>
          </w:p>
        </w:tc>
        <w:tc>
          <w:tcPr>
            <w:tcW w:w="2226" w:type="dxa"/>
          </w:tcPr>
          <w:p w14:paraId="2484A541" w14:textId="4EF5AF44" w:rsidR="00AA1B93" w:rsidRPr="005025AB" w:rsidRDefault="008E46BD" w:rsidP="00896703">
            <w:pPr>
              <w:ind w:left="-108"/>
              <w:jc w:val="center"/>
              <w:rPr>
                <w:rFonts w:ascii="Arial" w:hAnsi="Arial" w:cs="Arial"/>
                <w:sz w:val="22"/>
                <w:szCs w:val="22"/>
                <w:highlight w:val="yellow"/>
              </w:rPr>
            </w:pPr>
            <w:r>
              <w:rPr>
                <w:rFonts w:ascii="Arial" w:hAnsi="Arial" w:cs="Arial"/>
                <w:sz w:val="22"/>
                <w:szCs w:val="22"/>
              </w:rPr>
              <w:t>0.3</w:t>
            </w:r>
          </w:p>
        </w:tc>
      </w:tr>
      <w:tr w:rsidR="00AA1B93" w:rsidRPr="00097646" w14:paraId="60ECF8E1" w14:textId="77777777" w:rsidTr="00BF3475">
        <w:trPr>
          <w:trHeight w:val="173"/>
        </w:trPr>
        <w:tc>
          <w:tcPr>
            <w:tcW w:w="2354" w:type="dxa"/>
            <w:noWrap/>
          </w:tcPr>
          <w:p w14:paraId="7D2D2FED" w14:textId="77777777" w:rsidR="00AA1B93" w:rsidRPr="008A0A4E" w:rsidRDefault="00AA1B93" w:rsidP="00896703">
            <w:pPr>
              <w:rPr>
                <w:rFonts w:ascii="Arial" w:hAnsi="Arial" w:cs="Arial"/>
                <w:color w:val="000000"/>
                <w:sz w:val="22"/>
                <w:szCs w:val="22"/>
              </w:rPr>
            </w:pPr>
            <w:r w:rsidRPr="008A0A4E">
              <w:rPr>
                <w:rFonts w:ascii="Arial" w:hAnsi="Arial" w:cs="Arial"/>
                <w:color w:val="000000"/>
                <w:sz w:val="22"/>
                <w:szCs w:val="22"/>
              </w:rPr>
              <w:t>Property</w:t>
            </w:r>
          </w:p>
        </w:tc>
        <w:tc>
          <w:tcPr>
            <w:tcW w:w="2642" w:type="dxa"/>
            <w:noWrap/>
          </w:tcPr>
          <w:p w14:paraId="4994A204" w14:textId="64F35F07" w:rsidR="00AA1B93" w:rsidRPr="005025AB" w:rsidRDefault="003629BE" w:rsidP="00896703">
            <w:pPr>
              <w:ind w:left="-108"/>
              <w:jc w:val="center"/>
              <w:rPr>
                <w:rFonts w:ascii="Arial" w:hAnsi="Arial" w:cs="Arial"/>
                <w:sz w:val="22"/>
                <w:szCs w:val="22"/>
                <w:highlight w:val="yellow"/>
              </w:rPr>
            </w:pPr>
            <w:r w:rsidRPr="003629BE">
              <w:rPr>
                <w:rFonts w:ascii="Arial" w:hAnsi="Arial" w:cs="Arial"/>
                <w:sz w:val="22"/>
                <w:szCs w:val="22"/>
              </w:rPr>
              <w:t>15.7</w:t>
            </w:r>
          </w:p>
        </w:tc>
        <w:tc>
          <w:tcPr>
            <w:tcW w:w="1411" w:type="dxa"/>
          </w:tcPr>
          <w:p w14:paraId="6618444C" w14:textId="77777777" w:rsidR="00AA1B93" w:rsidRPr="00097646" w:rsidRDefault="00AA1B93" w:rsidP="00896703">
            <w:pPr>
              <w:rPr>
                <w:rFonts w:ascii="Arial" w:hAnsi="Arial" w:cs="Arial"/>
                <w:color w:val="000000"/>
                <w:sz w:val="22"/>
                <w:szCs w:val="22"/>
              </w:rPr>
            </w:pPr>
          </w:p>
        </w:tc>
        <w:tc>
          <w:tcPr>
            <w:tcW w:w="2226" w:type="dxa"/>
          </w:tcPr>
          <w:p w14:paraId="4C011770" w14:textId="77777777" w:rsidR="00AA1B93" w:rsidRPr="00097646" w:rsidRDefault="00AA1B93" w:rsidP="00896703">
            <w:pPr>
              <w:ind w:left="-108"/>
              <w:jc w:val="right"/>
              <w:rPr>
                <w:rFonts w:ascii="Arial" w:hAnsi="Arial" w:cs="Arial"/>
                <w:sz w:val="22"/>
                <w:szCs w:val="22"/>
              </w:rPr>
            </w:pPr>
          </w:p>
        </w:tc>
      </w:tr>
    </w:tbl>
    <w:p w14:paraId="7E14BDBB" w14:textId="77777777" w:rsidR="00AA1B93" w:rsidRPr="008A0A4E" w:rsidRDefault="00AA1B93" w:rsidP="00AA1B93">
      <w:pPr>
        <w:ind w:left="426"/>
        <w:jc w:val="both"/>
        <w:rPr>
          <w:rFonts w:ascii="Arial" w:hAnsi="Arial" w:cs="Arial"/>
          <w:sz w:val="22"/>
          <w:szCs w:val="22"/>
        </w:rPr>
      </w:pPr>
    </w:p>
    <w:p w14:paraId="58E4E511"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The sum of the monetary impact for each asset class will equal the total Fund impact as no allowance has been made for diversification of the one-year standard deviation for a single currency. Had the market price of the Fund investments increased or decreased in line with the above, the change in the net assets available to pay benefits in the market price would have been as follows (the prior year comparator is shown below):</w:t>
      </w:r>
    </w:p>
    <w:p w14:paraId="6034A254" w14:textId="77777777" w:rsidR="003C45DA" w:rsidRPr="008A0A4E" w:rsidRDefault="003C45DA" w:rsidP="003C45DA">
      <w:pPr>
        <w:ind w:left="426"/>
        <w:jc w:val="both"/>
        <w:rPr>
          <w:rFonts w:ascii="Arial" w:hAnsi="Arial" w:cs="Arial"/>
          <w:sz w:val="22"/>
          <w:szCs w:val="22"/>
        </w:rPr>
      </w:pPr>
    </w:p>
    <w:tbl>
      <w:tblPr>
        <w:tblW w:w="9166" w:type="dxa"/>
        <w:tblLook w:val="04A0" w:firstRow="1" w:lastRow="0" w:firstColumn="1" w:lastColumn="0" w:noHBand="0" w:noVBand="1"/>
      </w:tblPr>
      <w:tblGrid>
        <w:gridCol w:w="3644"/>
        <w:gridCol w:w="1510"/>
        <w:gridCol w:w="1140"/>
        <w:gridCol w:w="1669"/>
        <w:gridCol w:w="1203"/>
      </w:tblGrid>
      <w:tr w:rsidR="003C45DA" w:rsidRPr="00DE6A93" w14:paraId="686BDC11" w14:textId="77777777" w:rsidTr="00FD69DC">
        <w:trPr>
          <w:trHeight w:val="193"/>
        </w:trPr>
        <w:tc>
          <w:tcPr>
            <w:tcW w:w="3644" w:type="dxa"/>
            <w:vMerge w:val="restart"/>
            <w:tcBorders>
              <w:top w:val="nil"/>
              <w:left w:val="nil"/>
              <w:bottom w:val="nil"/>
              <w:right w:val="nil"/>
            </w:tcBorders>
            <w:shd w:val="clear" w:color="auto" w:fill="auto"/>
            <w:noWrap/>
            <w:hideMark/>
          </w:tcPr>
          <w:p w14:paraId="5E445298" w14:textId="77777777" w:rsidR="003C45DA" w:rsidRPr="00DE6A93" w:rsidRDefault="003C45DA" w:rsidP="00DF3ECC">
            <w:pPr>
              <w:jc w:val="center"/>
              <w:rPr>
                <w:rFonts w:ascii="Arial" w:hAnsi="Arial" w:cs="Arial"/>
                <w:b/>
                <w:bCs/>
                <w:color w:val="000000"/>
                <w:sz w:val="22"/>
                <w:szCs w:val="22"/>
              </w:rPr>
            </w:pPr>
            <w:bookmarkStart w:id="4" w:name="_Hlk3452912"/>
            <w:r w:rsidRPr="00DE6A93">
              <w:rPr>
                <w:rFonts w:ascii="Arial" w:hAnsi="Arial" w:cs="Arial"/>
                <w:b/>
                <w:bCs/>
                <w:color w:val="000000"/>
                <w:sz w:val="22"/>
                <w:szCs w:val="22"/>
              </w:rPr>
              <w:t>Asset Type</w:t>
            </w:r>
          </w:p>
          <w:p w14:paraId="7E218880" w14:textId="77777777" w:rsidR="003C45DA" w:rsidRPr="00DE6A93" w:rsidRDefault="003C45DA" w:rsidP="00DF3ECC">
            <w:pPr>
              <w:jc w:val="cente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677E9D4B" w14:textId="57BE3A5B" w:rsidR="003C45DA" w:rsidRPr="00DE6A93" w:rsidRDefault="003C45DA" w:rsidP="00DF3ECC">
            <w:pPr>
              <w:ind w:left="-108" w:right="-108"/>
              <w:jc w:val="center"/>
              <w:rPr>
                <w:rFonts w:ascii="Arial" w:hAnsi="Arial" w:cs="Arial"/>
                <w:b/>
                <w:bCs/>
                <w:color w:val="000000"/>
                <w:sz w:val="22"/>
                <w:szCs w:val="22"/>
              </w:rPr>
            </w:pPr>
            <w:r w:rsidRPr="00DE6A93">
              <w:rPr>
                <w:rFonts w:ascii="Arial" w:hAnsi="Arial" w:cs="Arial"/>
                <w:b/>
                <w:bCs/>
                <w:color w:val="000000"/>
                <w:sz w:val="22"/>
                <w:szCs w:val="22"/>
              </w:rPr>
              <w:t xml:space="preserve">Value as </w:t>
            </w:r>
            <w:proofErr w:type="gramStart"/>
            <w:r w:rsidRPr="00DE6A93">
              <w:rPr>
                <w:rFonts w:ascii="Arial" w:hAnsi="Arial" w:cs="Arial"/>
                <w:b/>
                <w:bCs/>
                <w:color w:val="000000"/>
                <w:sz w:val="22"/>
                <w:szCs w:val="22"/>
              </w:rPr>
              <w:t>at</w:t>
            </w:r>
            <w:proofErr w:type="gramEnd"/>
            <w:r w:rsidRPr="00DE6A93">
              <w:rPr>
                <w:rFonts w:ascii="Arial" w:hAnsi="Arial" w:cs="Arial"/>
                <w:b/>
                <w:bCs/>
                <w:color w:val="000000"/>
                <w:sz w:val="22"/>
                <w:szCs w:val="22"/>
              </w:rPr>
              <w:t xml:space="preserve"> 31 March 20</w:t>
            </w:r>
            <w:r w:rsidR="00E81CBD" w:rsidRPr="00DE6A93">
              <w:rPr>
                <w:rFonts w:ascii="Arial" w:hAnsi="Arial" w:cs="Arial"/>
                <w:b/>
                <w:bCs/>
                <w:color w:val="000000"/>
                <w:sz w:val="22"/>
                <w:szCs w:val="22"/>
              </w:rPr>
              <w:t>2</w:t>
            </w:r>
            <w:r w:rsidR="00696E81" w:rsidRPr="00DE6A93">
              <w:rPr>
                <w:rFonts w:ascii="Arial" w:hAnsi="Arial" w:cs="Arial"/>
                <w:b/>
                <w:bCs/>
                <w:color w:val="000000"/>
                <w:sz w:val="22"/>
                <w:szCs w:val="22"/>
              </w:rPr>
              <w:t>4</w:t>
            </w:r>
          </w:p>
        </w:tc>
        <w:tc>
          <w:tcPr>
            <w:tcW w:w="1140" w:type="dxa"/>
            <w:vMerge w:val="restart"/>
            <w:tcBorders>
              <w:top w:val="nil"/>
              <w:left w:val="nil"/>
              <w:bottom w:val="nil"/>
              <w:right w:val="nil"/>
            </w:tcBorders>
            <w:shd w:val="clear" w:color="auto" w:fill="auto"/>
            <w:noWrap/>
            <w:hideMark/>
          </w:tcPr>
          <w:p w14:paraId="7F653DC1" w14:textId="77777777" w:rsidR="003C45DA" w:rsidRPr="00DE6A93" w:rsidRDefault="003C45DA" w:rsidP="00DF3ECC">
            <w:pPr>
              <w:jc w:val="center"/>
              <w:rPr>
                <w:rFonts w:ascii="Arial" w:hAnsi="Arial" w:cs="Arial"/>
                <w:b/>
                <w:bCs/>
                <w:color w:val="000000"/>
                <w:sz w:val="22"/>
                <w:szCs w:val="22"/>
              </w:rPr>
            </w:pPr>
            <w:r w:rsidRPr="00DE6A93">
              <w:rPr>
                <w:rFonts w:ascii="Arial" w:hAnsi="Arial" w:cs="Arial"/>
                <w:b/>
                <w:bCs/>
                <w:color w:val="000000"/>
                <w:sz w:val="22"/>
                <w:szCs w:val="22"/>
              </w:rPr>
              <w:t>% Change</w:t>
            </w:r>
          </w:p>
        </w:tc>
        <w:tc>
          <w:tcPr>
            <w:tcW w:w="1669" w:type="dxa"/>
            <w:tcBorders>
              <w:top w:val="nil"/>
              <w:left w:val="nil"/>
              <w:bottom w:val="nil"/>
              <w:right w:val="nil"/>
            </w:tcBorders>
            <w:shd w:val="clear" w:color="auto" w:fill="auto"/>
            <w:noWrap/>
            <w:hideMark/>
          </w:tcPr>
          <w:p w14:paraId="69FF0A73" w14:textId="77777777" w:rsidR="003C45DA" w:rsidRPr="00DE6A93" w:rsidRDefault="003C45DA" w:rsidP="00DF3ECC">
            <w:pPr>
              <w:jc w:val="center"/>
              <w:rPr>
                <w:rFonts w:ascii="Arial" w:hAnsi="Arial" w:cs="Arial"/>
                <w:b/>
                <w:bCs/>
                <w:color w:val="000000"/>
                <w:sz w:val="22"/>
                <w:szCs w:val="22"/>
              </w:rPr>
            </w:pPr>
            <w:r w:rsidRPr="00DE6A93">
              <w:rPr>
                <w:rFonts w:ascii="Arial" w:hAnsi="Arial" w:cs="Arial"/>
                <w:b/>
                <w:bCs/>
                <w:color w:val="000000"/>
                <w:sz w:val="22"/>
                <w:szCs w:val="22"/>
              </w:rPr>
              <w:t>Value on Increase</w:t>
            </w:r>
          </w:p>
        </w:tc>
        <w:tc>
          <w:tcPr>
            <w:tcW w:w="1203" w:type="dxa"/>
            <w:tcBorders>
              <w:top w:val="nil"/>
              <w:left w:val="nil"/>
              <w:bottom w:val="nil"/>
              <w:right w:val="nil"/>
            </w:tcBorders>
            <w:shd w:val="clear" w:color="auto" w:fill="auto"/>
            <w:noWrap/>
            <w:hideMark/>
          </w:tcPr>
          <w:p w14:paraId="7840C8FF" w14:textId="77777777" w:rsidR="003C45DA" w:rsidRPr="00DE6A93" w:rsidRDefault="003C45DA" w:rsidP="00DF3ECC">
            <w:pPr>
              <w:jc w:val="center"/>
              <w:rPr>
                <w:rFonts w:ascii="Arial" w:hAnsi="Arial" w:cs="Arial"/>
                <w:b/>
                <w:bCs/>
                <w:color w:val="000000"/>
                <w:sz w:val="22"/>
                <w:szCs w:val="22"/>
              </w:rPr>
            </w:pPr>
            <w:r w:rsidRPr="00DE6A93">
              <w:rPr>
                <w:rFonts w:ascii="Arial" w:hAnsi="Arial" w:cs="Arial"/>
                <w:b/>
                <w:bCs/>
                <w:color w:val="000000"/>
                <w:sz w:val="22"/>
                <w:szCs w:val="22"/>
              </w:rPr>
              <w:t>Value on Decrease</w:t>
            </w:r>
          </w:p>
        </w:tc>
      </w:tr>
      <w:tr w:rsidR="003C45DA" w:rsidRPr="00DE6A93" w14:paraId="5230A53B" w14:textId="77777777" w:rsidTr="00FD69DC">
        <w:trPr>
          <w:trHeight w:val="131"/>
        </w:trPr>
        <w:tc>
          <w:tcPr>
            <w:tcW w:w="3644" w:type="dxa"/>
            <w:vMerge/>
            <w:tcBorders>
              <w:top w:val="nil"/>
              <w:left w:val="nil"/>
              <w:bottom w:val="nil"/>
              <w:right w:val="nil"/>
            </w:tcBorders>
            <w:vAlign w:val="center"/>
            <w:hideMark/>
          </w:tcPr>
          <w:p w14:paraId="0CE654B7" w14:textId="77777777" w:rsidR="003C45DA" w:rsidRPr="00DE6A93" w:rsidRDefault="003C45DA" w:rsidP="00DF3ECC">
            <w:pP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7B4CB077" w14:textId="77777777" w:rsidR="003C45DA" w:rsidRPr="00DE6A93" w:rsidRDefault="003C45DA" w:rsidP="00DF3ECC">
            <w:pPr>
              <w:ind w:left="-108" w:right="-108"/>
              <w:jc w:val="center"/>
              <w:rPr>
                <w:rFonts w:ascii="Arial" w:hAnsi="Arial" w:cs="Arial"/>
                <w:b/>
                <w:bCs/>
                <w:color w:val="000000"/>
                <w:sz w:val="22"/>
                <w:szCs w:val="22"/>
              </w:rPr>
            </w:pPr>
            <w:r w:rsidRPr="00DE6A93">
              <w:rPr>
                <w:rFonts w:ascii="Arial" w:hAnsi="Arial" w:cs="Arial"/>
                <w:b/>
                <w:bCs/>
                <w:color w:val="000000"/>
                <w:sz w:val="22"/>
                <w:szCs w:val="22"/>
              </w:rPr>
              <w:t>£000</w:t>
            </w:r>
          </w:p>
        </w:tc>
        <w:tc>
          <w:tcPr>
            <w:tcW w:w="1140" w:type="dxa"/>
            <w:vMerge/>
            <w:tcBorders>
              <w:top w:val="nil"/>
              <w:left w:val="nil"/>
              <w:bottom w:val="nil"/>
              <w:right w:val="nil"/>
            </w:tcBorders>
            <w:vAlign w:val="center"/>
            <w:hideMark/>
          </w:tcPr>
          <w:p w14:paraId="481ACA14" w14:textId="77777777" w:rsidR="003C45DA" w:rsidRPr="00DE6A93" w:rsidRDefault="003C45DA" w:rsidP="00DF3ECC">
            <w:pPr>
              <w:rPr>
                <w:rFonts w:ascii="Arial" w:hAnsi="Arial" w:cs="Arial"/>
                <w:b/>
                <w:bCs/>
                <w:color w:val="000000"/>
                <w:sz w:val="22"/>
                <w:szCs w:val="22"/>
              </w:rPr>
            </w:pPr>
          </w:p>
        </w:tc>
        <w:tc>
          <w:tcPr>
            <w:tcW w:w="1669" w:type="dxa"/>
            <w:tcBorders>
              <w:top w:val="nil"/>
              <w:left w:val="nil"/>
              <w:bottom w:val="nil"/>
              <w:right w:val="nil"/>
            </w:tcBorders>
            <w:shd w:val="clear" w:color="auto" w:fill="auto"/>
            <w:noWrap/>
            <w:hideMark/>
          </w:tcPr>
          <w:p w14:paraId="46C73D0D" w14:textId="77777777" w:rsidR="003C45DA" w:rsidRPr="00DE6A93" w:rsidRDefault="003C45DA" w:rsidP="00DF3ECC">
            <w:pPr>
              <w:jc w:val="center"/>
              <w:rPr>
                <w:rFonts w:ascii="Arial" w:hAnsi="Arial" w:cs="Arial"/>
                <w:b/>
                <w:bCs/>
                <w:color w:val="000000"/>
                <w:sz w:val="22"/>
                <w:szCs w:val="22"/>
              </w:rPr>
            </w:pPr>
            <w:r w:rsidRPr="00DE6A93">
              <w:rPr>
                <w:rFonts w:ascii="Arial" w:hAnsi="Arial" w:cs="Arial"/>
                <w:b/>
                <w:bCs/>
                <w:color w:val="000000"/>
                <w:sz w:val="22"/>
                <w:szCs w:val="22"/>
              </w:rPr>
              <w:t>£000</w:t>
            </w:r>
          </w:p>
        </w:tc>
        <w:tc>
          <w:tcPr>
            <w:tcW w:w="1203" w:type="dxa"/>
            <w:tcBorders>
              <w:top w:val="nil"/>
              <w:left w:val="nil"/>
              <w:bottom w:val="nil"/>
              <w:right w:val="nil"/>
            </w:tcBorders>
            <w:shd w:val="clear" w:color="auto" w:fill="auto"/>
            <w:noWrap/>
            <w:hideMark/>
          </w:tcPr>
          <w:p w14:paraId="647E091E" w14:textId="77777777" w:rsidR="003C45DA" w:rsidRPr="00DE6A93" w:rsidRDefault="003C45DA" w:rsidP="00DF3ECC">
            <w:pPr>
              <w:jc w:val="center"/>
              <w:rPr>
                <w:rFonts w:ascii="Arial" w:hAnsi="Arial" w:cs="Arial"/>
                <w:b/>
                <w:bCs/>
                <w:color w:val="000000"/>
                <w:sz w:val="22"/>
                <w:szCs w:val="22"/>
              </w:rPr>
            </w:pPr>
            <w:r w:rsidRPr="00DE6A93">
              <w:rPr>
                <w:rFonts w:ascii="Arial" w:hAnsi="Arial" w:cs="Arial"/>
                <w:b/>
                <w:bCs/>
                <w:color w:val="000000"/>
                <w:sz w:val="22"/>
                <w:szCs w:val="22"/>
              </w:rPr>
              <w:t>£000</w:t>
            </w:r>
          </w:p>
        </w:tc>
      </w:tr>
      <w:tr w:rsidR="00BE7A60" w:rsidRPr="00DE6A93" w14:paraId="56080F26" w14:textId="77777777" w:rsidTr="00185258">
        <w:trPr>
          <w:trHeight w:val="74"/>
        </w:trPr>
        <w:tc>
          <w:tcPr>
            <w:tcW w:w="3644" w:type="dxa"/>
            <w:tcBorders>
              <w:top w:val="nil"/>
              <w:left w:val="nil"/>
              <w:bottom w:val="nil"/>
              <w:right w:val="nil"/>
            </w:tcBorders>
            <w:shd w:val="clear" w:color="auto" w:fill="auto"/>
            <w:noWrap/>
            <w:vAlign w:val="bottom"/>
            <w:hideMark/>
          </w:tcPr>
          <w:p w14:paraId="2F3FA067" w14:textId="42657F2D"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Bonds</w:t>
            </w:r>
          </w:p>
        </w:tc>
        <w:tc>
          <w:tcPr>
            <w:tcW w:w="1510" w:type="dxa"/>
            <w:tcBorders>
              <w:top w:val="nil"/>
              <w:left w:val="nil"/>
              <w:bottom w:val="nil"/>
              <w:right w:val="nil"/>
            </w:tcBorders>
            <w:shd w:val="clear" w:color="auto" w:fill="auto"/>
            <w:noWrap/>
            <w:vAlign w:val="center"/>
          </w:tcPr>
          <w:p w14:paraId="36F94C56" w14:textId="791B3BB9"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124,645</w:t>
            </w:r>
          </w:p>
        </w:tc>
        <w:tc>
          <w:tcPr>
            <w:tcW w:w="1140" w:type="dxa"/>
            <w:tcBorders>
              <w:top w:val="nil"/>
              <w:left w:val="nil"/>
              <w:bottom w:val="nil"/>
              <w:right w:val="nil"/>
            </w:tcBorders>
            <w:shd w:val="clear" w:color="000000" w:fill="FFFFFF"/>
            <w:noWrap/>
            <w:vAlign w:val="center"/>
          </w:tcPr>
          <w:p w14:paraId="14F24C92" w14:textId="5C62D231" w:rsidR="00BE7A60" w:rsidRPr="005025AB" w:rsidRDefault="00BE7A60" w:rsidP="00BE7A60">
            <w:pPr>
              <w:jc w:val="right"/>
              <w:rPr>
                <w:rFonts w:ascii="Arial" w:hAnsi="Arial" w:cs="Arial"/>
                <w:b/>
                <w:sz w:val="22"/>
                <w:szCs w:val="22"/>
                <w:highlight w:val="yellow"/>
              </w:rPr>
            </w:pPr>
            <w:r w:rsidRPr="003365E3">
              <w:rPr>
                <w:rFonts w:ascii="Arial" w:hAnsi="Arial" w:cs="Arial"/>
                <w:b/>
                <w:sz w:val="22"/>
                <w:szCs w:val="22"/>
              </w:rPr>
              <w:t>5.0</w:t>
            </w:r>
          </w:p>
        </w:tc>
        <w:tc>
          <w:tcPr>
            <w:tcW w:w="1669" w:type="dxa"/>
            <w:tcBorders>
              <w:top w:val="nil"/>
              <w:left w:val="nil"/>
              <w:bottom w:val="nil"/>
              <w:right w:val="nil"/>
            </w:tcBorders>
            <w:shd w:val="clear" w:color="auto" w:fill="auto"/>
            <w:noWrap/>
            <w:vAlign w:val="center"/>
          </w:tcPr>
          <w:p w14:paraId="2E7041E6" w14:textId="694E9316"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130,877</w:t>
            </w:r>
          </w:p>
        </w:tc>
        <w:tc>
          <w:tcPr>
            <w:tcW w:w="1203" w:type="dxa"/>
            <w:tcBorders>
              <w:top w:val="nil"/>
              <w:left w:val="nil"/>
              <w:bottom w:val="nil"/>
              <w:right w:val="nil"/>
            </w:tcBorders>
            <w:shd w:val="clear" w:color="auto" w:fill="auto"/>
            <w:noWrap/>
            <w:vAlign w:val="center"/>
          </w:tcPr>
          <w:p w14:paraId="239CEBA0" w14:textId="2E869269"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118,413</w:t>
            </w:r>
          </w:p>
        </w:tc>
      </w:tr>
      <w:tr w:rsidR="00BE7A60" w:rsidRPr="00DE6A93" w14:paraId="399CE889" w14:textId="77777777" w:rsidTr="00185258">
        <w:trPr>
          <w:trHeight w:val="193"/>
        </w:trPr>
        <w:tc>
          <w:tcPr>
            <w:tcW w:w="3644" w:type="dxa"/>
            <w:tcBorders>
              <w:top w:val="nil"/>
              <w:left w:val="nil"/>
              <w:bottom w:val="nil"/>
              <w:right w:val="nil"/>
            </w:tcBorders>
            <w:shd w:val="clear" w:color="auto" w:fill="auto"/>
            <w:noWrap/>
            <w:vAlign w:val="bottom"/>
            <w:hideMark/>
          </w:tcPr>
          <w:p w14:paraId="0E39FD39" w14:textId="021EBB38"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Equities</w:t>
            </w:r>
          </w:p>
        </w:tc>
        <w:tc>
          <w:tcPr>
            <w:tcW w:w="1510" w:type="dxa"/>
            <w:tcBorders>
              <w:top w:val="nil"/>
              <w:left w:val="nil"/>
              <w:bottom w:val="nil"/>
              <w:right w:val="nil"/>
            </w:tcBorders>
            <w:shd w:val="clear" w:color="auto" w:fill="auto"/>
            <w:noWrap/>
            <w:vAlign w:val="center"/>
          </w:tcPr>
          <w:p w14:paraId="61B43412" w14:textId="3BD7E419"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583,738</w:t>
            </w:r>
          </w:p>
        </w:tc>
        <w:tc>
          <w:tcPr>
            <w:tcW w:w="1140" w:type="dxa"/>
            <w:tcBorders>
              <w:top w:val="nil"/>
              <w:left w:val="nil"/>
              <w:bottom w:val="nil"/>
              <w:right w:val="nil"/>
            </w:tcBorders>
            <w:shd w:val="clear" w:color="000000" w:fill="FFFFFF"/>
            <w:noWrap/>
            <w:vAlign w:val="center"/>
          </w:tcPr>
          <w:p w14:paraId="593E7180" w14:textId="7459375A" w:rsidR="00BE7A60" w:rsidRPr="005025AB" w:rsidRDefault="00BE7A60" w:rsidP="00BE7A60">
            <w:pPr>
              <w:jc w:val="right"/>
              <w:rPr>
                <w:rFonts w:ascii="Arial" w:hAnsi="Arial" w:cs="Arial"/>
                <w:b/>
                <w:sz w:val="22"/>
                <w:szCs w:val="22"/>
                <w:highlight w:val="yellow"/>
              </w:rPr>
            </w:pPr>
            <w:r w:rsidRPr="003365E3">
              <w:rPr>
                <w:rFonts w:ascii="Arial" w:hAnsi="Arial" w:cs="Arial"/>
                <w:b/>
                <w:sz w:val="22"/>
                <w:szCs w:val="22"/>
              </w:rPr>
              <w:t>17.1</w:t>
            </w:r>
          </w:p>
        </w:tc>
        <w:tc>
          <w:tcPr>
            <w:tcW w:w="1669" w:type="dxa"/>
            <w:tcBorders>
              <w:top w:val="nil"/>
              <w:left w:val="nil"/>
              <w:bottom w:val="nil"/>
              <w:right w:val="nil"/>
            </w:tcBorders>
            <w:shd w:val="clear" w:color="auto" w:fill="auto"/>
            <w:noWrap/>
            <w:vAlign w:val="center"/>
          </w:tcPr>
          <w:p w14:paraId="4B9528F8" w14:textId="39A89507"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683,557</w:t>
            </w:r>
          </w:p>
        </w:tc>
        <w:tc>
          <w:tcPr>
            <w:tcW w:w="1203" w:type="dxa"/>
            <w:tcBorders>
              <w:top w:val="nil"/>
              <w:left w:val="nil"/>
              <w:bottom w:val="nil"/>
              <w:right w:val="nil"/>
            </w:tcBorders>
            <w:shd w:val="clear" w:color="auto" w:fill="auto"/>
            <w:noWrap/>
            <w:vAlign w:val="center"/>
          </w:tcPr>
          <w:p w14:paraId="34519A65" w14:textId="028FB370"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483,919</w:t>
            </w:r>
          </w:p>
        </w:tc>
      </w:tr>
      <w:tr w:rsidR="00BE7A60" w:rsidRPr="00DE6A93" w14:paraId="2420DE2D" w14:textId="77777777" w:rsidTr="00185258">
        <w:trPr>
          <w:trHeight w:val="193"/>
        </w:trPr>
        <w:tc>
          <w:tcPr>
            <w:tcW w:w="3644" w:type="dxa"/>
            <w:tcBorders>
              <w:top w:val="nil"/>
              <w:left w:val="nil"/>
              <w:bottom w:val="nil"/>
              <w:right w:val="nil"/>
            </w:tcBorders>
            <w:shd w:val="clear" w:color="auto" w:fill="auto"/>
            <w:noWrap/>
            <w:vAlign w:val="bottom"/>
            <w:hideMark/>
          </w:tcPr>
          <w:p w14:paraId="5391B36C" w14:textId="0BAC583B"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Property Unit Trust</w:t>
            </w:r>
          </w:p>
        </w:tc>
        <w:tc>
          <w:tcPr>
            <w:tcW w:w="1510" w:type="dxa"/>
            <w:tcBorders>
              <w:top w:val="nil"/>
              <w:left w:val="nil"/>
              <w:bottom w:val="nil"/>
              <w:right w:val="nil"/>
            </w:tcBorders>
            <w:shd w:val="clear" w:color="auto" w:fill="auto"/>
            <w:noWrap/>
            <w:vAlign w:val="center"/>
          </w:tcPr>
          <w:p w14:paraId="179D2668" w14:textId="642CF96E"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96,880</w:t>
            </w:r>
          </w:p>
        </w:tc>
        <w:tc>
          <w:tcPr>
            <w:tcW w:w="1140" w:type="dxa"/>
            <w:tcBorders>
              <w:top w:val="nil"/>
              <w:left w:val="nil"/>
              <w:bottom w:val="nil"/>
              <w:right w:val="nil"/>
            </w:tcBorders>
            <w:shd w:val="clear" w:color="000000" w:fill="FFFFFF"/>
            <w:noWrap/>
            <w:vAlign w:val="center"/>
          </w:tcPr>
          <w:p w14:paraId="02D7140A" w14:textId="7198524A" w:rsidR="00BE7A60" w:rsidRPr="005025AB" w:rsidRDefault="00BE7A60" w:rsidP="00BE7A60">
            <w:pPr>
              <w:jc w:val="right"/>
              <w:rPr>
                <w:rFonts w:ascii="Arial" w:hAnsi="Arial" w:cs="Arial"/>
                <w:b/>
                <w:sz w:val="22"/>
                <w:szCs w:val="22"/>
                <w:highlight w:val="yellow"/>
              </w:rPr>
            </w:pPr>
            <w:r w:rsidRPr="00414A42">
              <w:rPr>
                <w:rFonts w:ascii="Arial" w:hAnsi="Arial" w:cs="Arial"/>
                <w:b/>
                <w:sz w:val="22"/>
                <w:szCs w:val="22"/>
              </w:rPr>
              <w:t>15.7</w:t>
            </w:r>
          </w:p>
        </w:tc>
        <w:tc>
          <w:tcPr>
            <w:tcW w:w="1669" w:type="dxa"/>
            <w:tcBorders>
              <w:top w:val="nil"/>
              <w:left w:val="nil"/>
              <w:bottom w:val="nil"/>
              <w:right w:val="nil"/>
            </w:tcBorders>
            <w:shd w:val="clear" w:color="auto" w:fill="auto"/>
            <w:noWrap/>
            <w:vAlign w:val="center"/>
          </w:tcPr>
          <w:p w14:paraId="10287636" w14:textId="62B32E6A"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112,090</w:t>
            </w:r>
          </w:p>
        </w:tc>
        <w:tc>
          <w:tcPr>
            <w:tcW w:w="1203" w:type="dxa"/>
            <w:tcBorders>
              <w:top w:val="nil"/>
              <w:left w:val="nil"/>
              <w:bottom w:val="nil"/>
              <w:right w:val="nil"/>
            </w:tcBorders>
            <w:shd w:val="clear" w:color="auto" w:fill="auto"/>
            <w:noWrap/>
            <w:vAlign w:val="center"/>
          </w:tcPr>
          <w:p w14:paraId="7B4BC065" w14:textId="7C42B2E5"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81,670</w:t>
            </w:r>
          </w:p>
        </w:tc>
      </w:tr>
      <w:tr w:rsidR="00BE7A60" w:rsidRPr="00DE6A93" w14:paraId="7E40F6E0" w14:textId="77777777" w:rsidTr="00185258">
        <w:trPr>
          <w:trHeight w:val="193"/>
        </w:trPr>
        <w:tc>
          <w:tcPr>
            <w:tcW w:w="3644" w:type="dxa"/>
            <w:tcBorders>
              <w:top w:val="nil"/>
              <w:left w:val="nil"/>
              <w:bottom w:val="nil"/>
              <w:right w:val="nil"/>
            </w:tcBorders>
            <w:shd w:val="clear" w:color="auto" w:fill="auto"/>
            <w:noWrap/>
            <w:vAlign w:val="bottom"/>
            <w:hideMark/>
          </w:tcPr>
          <w:p w14:paraId="1BF82503" w14:textId="7ADB0FBE"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Pooled Investments</w:t>
            </w:r>
          </w:p>
        </w:tc>
        <w:tc>
          <w:tcPr>
            <w:tcW w:w="1510" w:type="dxa"/>
            <w:tcBorders>
              <w:top w:val="nil"/>
              <w:left w:val="nil"/>
              <w:bottom w:val="nil"/>
              <w:right w:val="nil"/>
            </w:tcBorders>
            <w:shd w:val="clear" w:color="auto" w:fill="auto"/>
            <w:noWrap/>
            <w:vAlign w:val="center"/>
          </w:tcPr>
          <w:p w14:paraId="19B0B491" w14:textId="71E94864"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451,719</w:t>
            </w:r>
          </w:p>
        </w:tc>
        <w:tc>
          <w:tcPr>
            <w:tcW w:w="1140" w:type="dxa"/>
            <w:tcBorders>
              <w:top w:val="nil"/>
              <w:left w:val="nil"/>
              <w:bottom w:val="nil"/>
              <w:right w:val="nil"/>
            </w:tcBorders>
            <w:shd w:val="clear" w:color="000000" w:fill="FFFFFF"/>
            <w:noWrap/>
            <w:vAlign w:val="center"/>
          </w:tcPr>
          <w:p w14:paraId="2B0BD54D" w14:textId="04FECECD" w:rsidR="00BE7A60" w:rsidRPr="005025AB" w:rsidRDefault="00BE7A60" w:rsidP="00BE7A60">
            <w:pPr>
              <w:jc w:val="right"/>
              <w:rPr>
                <w:rFonts w:ascii="Arial" w:hAnsi="Arial" w:cs="Arial"/>
                <w:b/>
                <w:sz w:val="22"/>
                <w:szCs w:val="22"/>
                <w:highlight w:val="yellow"/>
              </w:rPr>
            </w:pPr>
            <w:r w:rsidRPr="008D5B43">
              <w:rPr>
                <w:rFonts w:ascii="Arial" w:hAnsi="Arial" w:cs="Arial"/>
                <w:b/>
                <w:sz w:val="22"/>
                <w:szCs w:val="22"/>
              </w:rPr>
              <w:t>14.0</w:t>
            </w:r>
          </w:p>
        </w:tc>
        <w:tc>
          <w:tcPr>
            <w:tcW w:w="1669" w:type="dxa"/>
            <w:tcBorders>
              <w:top w:val="nil"/>
              <w:left w:val="nil"/>
              <w:bottom w:val="nil"/>
              <w:right w:val="nil"/>
            </w:tcBorders>
            <w:shd w:val="clear" w:color="auto" w:fill="auto"/>
            <w:noWrap/>
            <w:vAlign w:val="center"/>
          </w:tcPr>
          <w:p w14:paraId="0002AE6A" w14:textId="54173AFC"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514,960</w:t>
            </w:r>
          </w:p>
        </w:tc>
        <w:tc>
          <w:tcPr>
            <w:tcW w:w="1203" w:type="dxa"/>
            <w:tcBorders>
              <w:top w:val="nil"/>
              <w:left w:val="nil"/>
              <w:bottom w:val="nil"/>
              <w:right w:val="nil"/>
            </w:tcBorders>
            <w:shd w:val="clear" w:color="auto" w:fill="auto"/>
            <w:noWrap/>
            <w:vAlign w:val="center"/>
          </w:tcPr>
          <w:p w14:paraId="01E9B7E8" w14:textId="1B8A9558"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388,478</w:t>
            </w:r>
          </w:p>
        </w:tc>
      </w:tr>
      <w:tr w:rsidR="00BE7A60" w:rsidRPr="00DE6A93" w14:paraId="63BA6041" w14:textId="77777777" w:rsidTr="006444D6">
        <w:trPr>
          <w:trHeight w:val="193"/>
        </w:trPr>
        <w:tc>
          <w:tcPr>
            <w:tcW w:w="3644" w:type="dxa"/>
            <w:tcBorders>
              <w:top w:val="nil"/>
              <w:left w:val="nil"/>
              <w:bottom w:val="nil"/>
              <w:right w:val="nil"/>
            </w:tcBorders>
            <w:shd w:val="clear" w:color="auto" w:fill="auto"/>
            <w:noWrap/>
            <w:vAlign w:val="bottom"/>
            <w:hideMark/>
          </w:tcPr>
          <w:p w14:paraId="1D4BF4E0" w14:textId="2928EABB"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Private Equity</w:t>
            </w:r>
          </w:p>
        </w:tc>
        <w:tc>
          <w:tcPr>
            <w:tcW w:w="1510" w:type="dxa"/>
            <w:tcBorders>
              <w:top w:val="nil"/>
              <w:left w:val="nil"/>
              <w:bottom w:val="nil"/>
              <w:right w:val="nil"/>
            </w:tcBorders>
            <w:shd w:val="clear" w:color="auto" w:fill="auto"/>
            <w:noWrap/>
            <w:vAlign w:val="center"/>
          </w:tcPr>
          <w:p w14:paraId="05FDEC73" w14:textId="7D4A6FA1"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127,590</w:t>
            </w:r>
          </w:p>
        </w:tc>
        <w:tc>
          <w:tcPr>
            <w:tcW w:w="1140" w:type="dxa"/>
            <w:tcBorders>
              <w:top w:val="nil"/>
              <w:left w:val="nil"/>
              <w:bottom w:val="nil"/>
              <w:right w:val="nil"/>
            </w:tcBorders>
            <w:shd w:val="clear" w:color="000000" w:fill="FFFFFF"/>
            <w:noWrap/>
          </w:tcPr>
          <w:p w14:paraId="7964BEA8" w14:textId="6A6AFC72" w:rsidR="00BE7A60" w:rsidRPr="005025AB" w:rsidRDefault="00BE7A60" w:rsidP="00BE7A60">
            <w:pPr>
              <w:jc w:val="right"/>
              <w:rPr>
                <w:rFonts w:ascii="Arial" w:hAnsi="Arial" w:cs="Arial"/>
                <w:b/>
                <w:sz w:val="22"/>
                <w:szCs w:val="22"/>
                <w:highlight w:val="yellow"/>
              </w:rPr>
            </w:pPr>
            <w:r w:rsidRPr="000931A6">
              <w:rPr>
                <w:rFonts w:ascii="Arial" w:hAnsi="Arial" w:cs="Arial"/>
                <w:b/>
                <w:sz w:val="22"/>
                <w:szCs w:val="22"/>
              </w:rPr>
              <w:t>14.0</w:t>
            </w:r>
          </w:p>
        </w:tc>
        <w:tc>
          <w:tcPr>
            <w:tcW w:w="1669" w:type="dxa"/>
            <w:tcBorders>
              <w:top w:val="nil"/>
              <w:left w:val="nil"/>
              <w:bottom w:val="nil"/>
              <w:right w:val="nil"/>
            </w:tcBorders>
            <w:shd w:val="clear" w:color="auto" w:fill="auto"/>
            <w:noWrap/>
            <w:vAlign w:val="center"/>
          </w:tcPr>
          <w:p w14:paraId="28F32CCB" w14:textId="7117C36E"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145,453</w:t>
            </w:r>
          </w:p>
        </w:tc>
        <w:tc>
          <w:tcPr>
            <w:tcW w:w="1203" w:type="dxa"/>
            <w:tcBorders>
              <w:top w:val="nil"/>
              <w:left w:val="nil"/>
              <w:bottom w:val="nil"/>
              <w:right w:val="nil"/>
            </w:tcBorders>
            <w:shd w:val="clear" w:color="auto" w:fill="auto"/>
            <w:noWrap/>
            <w:vAlign w:val="center"/>
          </w:tcPr>
          <w:p w14:paraId="140A21AB" w14:textId="65918063"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109,727</w:t>
            </w:r>
          </w:p>
        </w:tc>
      </w:tr>
      <w:tr w:rsidR="00BE7A60" w:rsidRPr="00DE6A93" w14:paraId="77FE5F91" w14:textId="77777777" w:rsidTr="006444D6">
        <w:trPr>
          <w:trHeight w:val="193"/>
        </w:trPr>
        <w:tc>
          <w:tcPr>
            <w:tcW w:w="3644" w:type="dxa"/>
            <w:tcBorders>
              <w:top w:val="nil"/>
              <w:left w:val="nil"/>
              <w:bottom w:val="nil"/>
              <w:right w:val="nil"/>
            </w:tcBorders>
            <w:shd w:val="clear" w:color="auto" w:fill="auto"/>
            <w:noWrap/>
            <w:vAlign w:val="bottom"/>
            <w:hideMark/>
          </w:tcPr>
          <w:p w14:paraId="000B943B" w14:textId="77777777"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Other Investments</w:t>
            </w:r>
          </w:p>
        </w:tc>
        <w:tc>
          <w:tcPr>
            <w:tcW w:w="1510" w:type="dxa"/>
            <w:tcBorders>
              <w:top w:val="nil"/>
              <w:left w:val="nil"/>
              <w:bottom w:val="nil"/>
              <w:right w:val="nil"/>
            </w:tcBorders>
            <w:shd w:val="clear" w:color="auto" w:fill="auto"/>
            <w:noWrap/>
            <w:vAlign w:val="center"/>
          </w:tcPr>
          <w:p w14:paraId="57423D26" w14:textId="20B3A903"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89,463</w:t>
            </w:r>
          </w:p>
        </w:tc>
        <w:tc>
          <w:tcPr>
            <w:tcW w:w="1140" w:type="dxa"/>
            <w:tcBorders>
              <w:top w:val="nil"/>
              <w:left w:val="nil"/>
              <w:bottom w:val="nil"/>
              <w:right w:val="nil"/>
            </w:tcBorders>
            <w:shd w:val="clear" w:color="000000" w:fill="FFFFFF"/>
            <w:noWrap/>
          </w:tcPr>
          <w:p w14:paraId="2330D0F8" w14:textId="7584C0C5" w:rsidR="00BE7A60" w:rsidRPr="005025AB" w:rsidRDefault="00BE7A60" w:rsidP="00BE7A60">
            <w:pPr>
              <w:jc w:val="right"/>
              <w:rPr>
                <w:rFonts w:ascii="Arial" w:hAnsi="Arial" w:cs="Arial"/>
                <w:b/>
                <w:sz w:val="22"/>
                <w:szCs w:val="22"/>
                <w:highlight w:val="yellow"/>
              </w:rPr>
            </w:pPr>
            <w:r w:rsidRPr="000931A6">
              <w:rPr>
                <w:rFonts w:ascii="Arial" w:hAnsi="Arial" w:cs="Arial"/>
                <w:b/>
                <w:sz w:val="22"/>
                <w:szCs w:val="22"/>
              </w:rPr>
              <w:t>14.0</w:t>
            </w:r>
          </w:p>
        </w:tc>
        <w:tc>
          <w:tcPr>
            <w:tcW w:w="1669" w:type="dxa"/>
            <w:tcBorders>
              <w:top w:val="nil"/>
              <w:left w:val="nil"/>
              <w:bottom w:val="nil"/>
              <w:right w:val="nil"/>
            </w:tcBorders>
            <w:shd w:val="clear" w:color="auto" w:fill="auto"/>
            <w:noWrap/>
            <w:vAlign w:val="center"/>
          </w:tcPr>
          <w:p w14:paraId="22CD8C5E" w14:textId="24BFB2D3"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101,988</w:t>
            </w:r>
          </w:p>
        </w:tc>
        <w:tc>
          <w:tcPr>
            <w:tcW w:w="1203" w:type="dxa"/>
            <w:tcBorders>
              <w:top w:val="nil"/>
              <w:left w:val="nil"/>
              <w:bottom w:val="nil"/>
              <w:right w:val="nil"/>
            </w:tcBorders>
            <w:shd w:val="clear" w:color="auto" w:fill="auto"/>
            <w:noWrap/>
            <w:vAlign w:val="center"/>
          </w:tcPr>
          <w:p w14:paraId="428EB68F" w14:textId="3D338984"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76,938</w:t>
            </w:r>
          </w:p>
        </w:tc>
      </w:tr>
      <w:tr w:rsidR="00BE7A60" w:rsidRPr="00DE6A93" w14:paraId="143BBFF1" w14:textId="77777777" w:rsidTr="00185258">
        <w:trPr>
          <w:trHeight w:val="193"/>
        </w:trPr>
        <w:tc>
          <w:tcPr>
            <w:tcW w:w="3644" w:type="dxa"/>
            <w:tcBorders>
              <w:top w:val="nil"/>
              <w:left w:val="nil"/>
              <w:bottom w:val="nil"/>
              <w:right w:val="nil"/>
            </w:tcBorders>
            <w:shd w:val="clear" w:color="auto" w:fill="auto"/>
            <w:noWrap/>
            <w:vAlign w:val="bottom"/>
          </w:tcPr>
          <w:p w14:paraId="74A532C9" w14:textId="0232E3A7" w:rsidR="00BE7A60" w:rsidRPr="00DE6A93" w:rsidRDefault="00BE7A60" w:rsidP="00BE7A60">
            <w:pPr>
              <w:rPr>
                <w:rFonts w:ascii="Arial" w:hAnsi="Arial" w:cs="Arial"/>
                <w:b/>
                <w:bCs/>
                <w:color w:val="000000"/>
                <w:sz w:val="22"/>
                <w:szCs w:val="22"/>
              </w:rPr>
            </w:pPr>
            <w:r w:rsidRPr="00DE6A93">
              <w:rPr>
                <w:rFonts w:ascii="Arial" w:hAnsi="Arial" w:cs="Arial"/>
                <w:b/>
                <w:bCs/>
                <w:color w:val="000000"/>
                <w:sz w:val="22"/>
                <w:szCs w:val="22"/>
              </w:rPr>
              <w:t>Cash and cash equivalents</w:t>
            </w:r>
          </w:p>
        </w:tc>
        <w:tc>
          <w:tcPr>
            <w:tcW w:w="1510" w:type="dxa"/>
            <w:tcBorders>
              <w:top w:val="nil"/>
              <w:left w:val="nil"/>
              <w:bottom w:val="single" w:sz="8" w:space="0" w:color="auto"/>
              <w:right w:val="nil"/>
            </w:tcBorders>
            <w:shd w:val="clear" w:color="auto" w:fill="auto"/>
            <w:noWrap/>
            <w:vAlign w:val="center"/>
          </w:tcPr>
          <w:p w14:paraId="009A45A1" w14:textId="4A482C83" w:rsidR="00BE7A60" w:rsidRPr="00FE7259" w:rsidRDefault="00BE7A60" w:rsidP="00BE7A60">
            <w:pPr>
              <w:jc w:val="right"/>
              <w:rPr>
                <w:rFonts w:ascii="Arial" w:hAnsi="Arial" w:cs="Arial"/>
                <w:b/>
                <w:bCs/>
                <w:sz w:val="22"/>
                <w:szCs w:val="22"/>
              </w:rPr>
            </w:pPr>
            <w:r w:rsidRPr="00FE7259">
              <w:rPr>
                <w:rFonts w:ascii="Arial" w:hAnsi="Arial" w:cs="Arial"/>
                <w:b/>
                <w:bCs/>
                <w:color w:val="000000"/>
                <w:sz w:val="22"/>
                <w:szCs w:val="22"/>
              </w:rPr>
              <w:t>60,990</w:t>
            </w:r>
          </w:p>
        </w:tc>
        <w:tc>
          <w:tcPr>
            <w:tcW w:w="1140" w:type="dxa"/>
            <w:tcBorders>
              <w:top w:val="nil"/>
              <w:left w:val="nil"/>
              <w:bottom w:val="nil"/>
              <w:right w:val="nil"/>
            </w:tcBorders>
            <w:shd w:val="clear" w:color="000000" w:fill="FFFFFF"/>
            <w:noWrap/>
            <w:vAlign w:val="center"/>
          </w:tcPr>
          <w:p w14:paraId="396DE7AA" w14:textId="68E2B90B" w:rsidR="00BE7A60" w:rsidRPr="005025AB" w:rsidRDefault="00BE7A60" w:rsidP="00BE7A60">
            <w:pPr>
              <w:jc w:val="right"/>
              <w:rPr>
                <w:rFonts w:ascii="Arial" w:hAnsi="Arial" w:cs="Arial"/>
                <w:b/>
                <w:sz w:val="22"/>
                <w:szCs w:val="22"/>
                <w:highlight w:val="yellow"/>
              </w:rPr>
            </w:pPr>
            <w:r w:rsidRPr="008D5B43">
              <w:rPr>
                <w:rFonts w:ascii="Arial" w:hAnsi="Arial" w:cs="Arial"/>
                <w:b/>
                <w:sz w:val="22"/>
                <w:szCs w:val="22"/>
              </w:rPr>
              <w:t>0.3</w:t>
            </w:r>
          </w:p>
        </w:tc>
        <w:tc>
          <w:tcPr>
            <w:tcW w:w="1669" w:type="dxa"/>
            <w:tcBorders>
              <w:top w:val="nil"/>
              <w:left w:val="nil"/>
              <w:bottom w:val="single" w:sz="8" w:space="0" w:color="auto"/>
              <w:right w:val="nil"/>
            </w:tcBorders>
            <w:shd w:val="clear" w:color="auto" w:fill="auto"/>
            <w:noWrap/>
            <w:vAlign w:val="center"/>
          </w:tcPr>
          <w:p w14:paraId="485D24BF" w14:textId="3D97ABE9"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61,173</w:t>
            </w:r>
          </w:p>
        </w:tc>
        <w:tc>
          <w:tcPr>
            <w:tcW w:w="1203" w:type="dxa"/>
            <w:tcBorders>
              <w:top w:val="nil"/>
              <w:left w:val="nil"/>
              <w:bottom w:val="single" w:sz="4" w:space="0" w:color="auto"/>
              <w:right w:val="nil"/>
            </w:tcBorders>
            <w:shd w:val="clear" w:color="auto" w:fill="auto"/>
            <w:noWrap/>
            <w:vAlign w:val="center"/>
          </w:tcPr>
          <w:p w14:paraId="38579D56" w14:textId="1B0F1362"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60,807</w:t>
            </w:r>
          </w:p>
        </w:tc>
      </w:tr>
      <w:tr w:rsidR="00BE7A60" w:rsidRPr="00B64150" w14:paraId="6EDDE3A1" w14:textId="77777777" w:rsidTr="00185258">
        <w:trPr>
          <w:trHeight w:val="213"/>
        </w:trPr>
        <w:tc>
          <w:tcPr>
            <w:tcW w:w="3644" w:type="dxa"/>
            <w:tcBorders>
              <w:top w:val="nil"/>
              <w:left w:val="nil"/>
              <w:bottom w:val="nil"/>
              <w:right w:val="nil"/>
            </w:tcBorders>
            <w:shd w:val="clear" w:color="auto" w:fill="auto"/>
            <w:noWrap/>
            <w:vAlign w:val="bottom"/>
            <w:hideMark/>
          </w:tcPr>
          <w:p w14:paraId="533F2FE8" w14:textId="77777777" w:rsidR="00BE7A60" w:rsidRPr="00DE6A93" w:rsidRDefault="00BE7A60" w:rsidP="00BE7A60">
            <w:pPr>
              <w:rPr>
                <w:rFonts w:ascii="Arial" w:hAnsi="Arial" w:cs="Arial"/>
                <w:b/>
                <w:bCs/>
                <w:color w:val="000000"/>
                <w:sz w:val="22"/>
                <w:szCs w:val="22"/>
              </w:rPr>
            </w:pPr>
            <w:r w:rsidRPr="00DE6A93">
              <w:rPr>
                <w:rFonts w:ascii="Arial" w:hAnsi="Arial" w:cs="Arial"/>
                <w:b/>
                <w:color w:val="000000"/>
                <w:sz w:val="22"/>
                <w:szCs w:val="22"/>
              </w:rPr>
              <w:t>Total</w:t>
            </w:r>
          </w:p>
        </w:tc>
        <w:tc>
          <w:tcPr>
            <w:tcW w:w="1510" w:type="dxa"/>
            <w:tcBorders>
              <w:top w:val="nil"/>
              <w:left w:val="nil"/>
              <w:bottom w:val="double" w:sz="6" w:space="0" w:color="auto"/>
              <w:right w:val="nil"/>
            </w:tcBorders>
            <w:shd w:val="clear" w:color="auto" w:fill="auto"/>
            <w:noWrap/>
            <w:vAlign w:val="center"/>
          </w:tcPr>
          <w:p w14:paraId="3A1DA954" w14:textId="37106B9C" w:rsidR="00BE7A60" w:rsidRPr="00FE7259" w:rsidRDefault="00BE7A60" w:rsidP="00BE7A60">
            <w:pPr>
              <w:jc w:val="right"/>
              <w:rPr>
                <w:rFonts w:ascii="Arial" w:hAnsi="Arial" w:cs="Arial"/>
                <w:b/>
                <w:sz w:val="22"/>
                <w:szCs w:val="22"/>
              </w:rPr>
            </w:pPr>
            <w:r w:rsidRPr="00FE7259">
              <w:rPr>
                <w:rFonts w:ascii="Arial" w:hAnsi="Arial" w:cs="Arial"/>
                <w:b/>
                <w:bCs/>
                <w:color w:val="000000"/>
                <w:sz w:val="22"/>
                <w:szCs w:val="22"/>
              </w:rPr>
              <w:t>1,535,025</w:t>
            </w:r>
          </w:p>
        </w:tc>
        <w:tc>
          <w:tcPr>
            <w:tcW w:w="1140" w:type="dxa"/>
            <w:tcBorders>
              <w:top w:val="single" w:sz="4" w:space="0" w:color="auto"/>
              <w:left w:val="nil"/>
              <w:bottom w:val="double" w:sz="4" w:space="0" w:color="auto"/>
              <w:right w:val="nil"/>
            </w:tcBorders>
            <w:shd w:val="clear" w:color="auto" w:fill="auto"/>
            <w:noWrap/>
          </w:tcPr>
          <w:p w14:paraId="1EF5D163" w14:textId="77777777" w:rsidR="00BE7A60" w:rsidRPr="00DE6A93" w:rsidRDefault="00BE7A60" w:rsidP="00BE7A60">
            <w:pPr>
              <w:jc w:val="center"/>
              <w:rPr>
                <w:rFonts w:ascii="Arial" w:hAnsi="Arial" w:cs="Arial"/>
                <w:b/>
                <w:sz w:val="22"/>
                <w:szCs w:val="22"/>
              </w:rPr>
            </w:pPr>
          </w:p>
        </w:tc>
        <w:tc>
          <w:tcPr>
            <w:tcW w:w="1669" w:type="dxa"/>
            <w:tcBorders>
              <w:top w:val="nil"/>
              <w:left w:val="nil"/>
              <w:bottom w:val="double" w:sz="6" w:space="0" w:color="auto"/>
              <w:right w:val="nil"/>
            </w:tcBorders>
            <w:shd w:val="clear" w:color="auto" w:fill="auto"/>
            <w:noWrap/>
            <w:vAlign w:val="center"/>
          </w:tcPr>
          <w:p w14:paraId="576E7C95" w14:textId="7C2B061F"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1,750,098</w:t>
            </w:r>
          </w:p>
        </w:tc>
        <w:tc>
          <w:tcPr>
            <w:tcW w:w="1203" w:type="dxa"/>
            <w:tcBorders>
              <w:top w:val="single" w:sz="4" w:space="0" w:color="auto"/>
              <w:left w:val="nil"/>
              <w:bottom w:val="double" w:sz="4" w:space="0" w:color="auto"/>
              <w:right w:val="nil"/>
            </w:tcBorders>
            <w:shd w:val="clear" w:color="auto" w:fill="auto"/>
            <w:noWrap/>
            <w:vAlign w:val="center"/>
          </w:tcPr>
          <w:p w14:paraId="44AE541E" w14:textId="129FE6C9" w:rsidR="00BE7A60" w:rsidRPr="00A06CDA" w:rsidRDefault="00BE7A60" w:rsidP="00BE7A60">
            <w:pPr>
              <w:jc w:val="right"/>
              <w:rPr>
                <w:rFonts w:ascii="Arial" w:hAnsi="Arial" w:cs="Arial"/>
                <w:b/>
                <w:bCs/>
                <w:sz w:val="22"/>
                <w:szCs w:val="22"/>
              </w:rPr>
            </w:pPr>
            <w:r>
              <w:rPr>
                <w:rFonts w:ascii="Arial" w:hAnsi="Arial" w:cs="Arial"/>
                <w:b/>
                <w:bCs/>
                <w:color w:val="000000"/>
                <w:sz w:val="22"/>
                <w:szCs w:val="22"/>
              </w:rPr>
              <w:t>1,319,952</w:t>
            </w:r>
          </w:p>
        </w:tc>
      </w:tr>
      <w:bookmarkEnd w:id="4"/>
    </w:tbl>
    <w:p w14:paraId="3DB9C3ED" w14:textId="1D4CBF2C" w:rsidR="00265A35" w:rsidRDefault="00265A35" w:rsidP="00265A35">
      <w:pPr>
        <w:jc w:val="both"/>
        <w:rPr>
          <w:rFonts w:ascii="Arial" w:hAnsi="Arial" w:cs="Arial"/>
          <w:sz w:val="22"/>
          <w:szCs w:val="22"/>
        </w:rPr>
      </w:pPr>
    </w:p>
    <w:p w14:paraId="155000F8" w14:textId="77777777" w:rsidR="006E0C63" w:rsidRDefault="006E0C63" w:rsidP="00265A35">
      <w:pPr>
        <w:jc w:val="both"/>
        <w:rPr>
          <w:rFonts w:ascii="Arial" w:hAnsi="Arial" w:cs="Arial"/>
          <w:sz w:val="22"/>
          <w:szCs w:val="22"/>
        </w:rPr>
      </w:pPr>
    </w:p>
    <w:p w14:paraId="0A0A4CFD" w14:textId="77777777" w:rsidR="006E0C63" w:rsidRDefault="006E0C63" w:rsidP="00265A35">
      <w:pPr>
        <w:jc w:val="both"/>
        <w:rPr>
          <w:rFonts w:ascii="Arial" w:hAnsi="Arial" w:cs="Arial"/>
          <w:sz w:val="22"/>
          <w:szCs w:val="22"/>
        </w:rPr>
      </w:pPr>
    </w:p>
    <w:tbl>
      <w:tblPr>
        <w:tblW w:w="9163" w:type="dxa"/>
        <w:tblLook w:val="04A0" w:firstRow="1" w:lastRow="0" w:firstColumn="1" w:lastColumn="0" w:noHBand="0" w:noVBand="1"/>
      </w:tblPr>
      <w:tblGrid>
        <w:gridCol w:w="3603"/>
        <w:gridCol w:w="1527"/>
        <w:gridCol w:w="1151"/>
        <w:gridCol w:w="1687"/>
        <w:gridCol w:w="1195"/>
      </w:tblGrid>
      <w:tr w:rsidR="003C45DA" w:rsidRPr="00B64150" w14:paraId="321604DE" w14:textId="77777777" w:rsidTr="00D65DDE">
        <w:trPr>
          <w:trHeight w:val="301"/>
        </w:trPr>
        <w:tc>
          <w:tcPr>
            <w:tcW w:w="3603" w:type="dxa"/>
            <w:vMerge w:val="restart"/>
            <w:tcBorders>
              <w:top w:val="nil"/>
              <w:left w:val="nil"/>
              <w:bottom w:val="nil"/>
              <w:right w:val="nil"/>
            </w:tcBorders>
            <w:shd w:val="clear" w:color="auto" w:fill="auto"/>
            <w:noWrap/>
            <w:hideMark/>
          </w:tcPr>
          <w:p w14:paraId="314F745C"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Asset Type</w:t>
            </w:r>
          </w:p>
          <w:p w14:paraId="502FC5B0" w14:textId="77777777" w:rsidR="003C45DA" w:rsidRPr="004A3AC2" w:rsidRDefault="003C45DA" w:rsidP="00DF3ECC">
            <w:pPr>
              <w:jc w:val="center"/>
              <w:rPr>
                <w:rFonts w:ascii="Arial" w:hAnsi="Arial" w:cs="Arial"/>
                <w:b/>
                <w:color w:val="000000"/>
                <w:sz w:val="22"/>
                <w:szCs w:val="22"/>
              </w:rPr>
            </w:pPr>
          </w:p>
        </w:tc>
        <w:tc>
          <w:tcPr>
            <w:tcW w:w="1527" w:type="dxa"/>
            <w:tcBorders>
              <w:top w:val="nil"/>
              <w:left w:val="nil"/>
              <w:bottom w:val="nil"/>
              <w:right w:val="nil"/>
            </w:tcBorders>
            <w:shd w:val="clear" w:color="auto" w:fill="auto"/>
            <w:noWrap/>
            <w:hideMark/>
          </w:tcPr>
          <w:p w14:paraId="53BFC9BA" w14:textId="06D76118" w:rsidR="003C45DA" w:rsidRPr="004A3AC2" w:rsidRDefault="003C45DA" w:rsidP="00DF3ECC">
            <w:pPr>
              <w:ind w:left="-108" w:right="-108"/>
              <w:jc w:val="center"/>
              <w:rPr>
                <w:rFonts w:ascii="Arial" w:hAnsi="Arial" w:cs="Arial"/>
                <w:b/>
                <w:color w:val="000000"/>
                <w:sz w:val="22"/>
                <w:szCs w:val="22"/>
              </w:rPr>
            </w:pPr>
            <w:r w:rsidRPr="004A3AC2">
              <w:rPr>
                <w:rFonts w:ascii="Arial" w:hAnsi="Arial" w:cs="Arial"/>
                <w:b/>
                <w:color w:val="000000"/>
                <w:sz w:val="22"/>
                <w:szCs w:val="22"/>
              </w:rPr>
              <w:t xml:space="preserve">Value as </w:t>
            </w:r>
            <w:proofErr w:type="gramStart"/>
            <w:r w:rsidRPr="004A3AC2">
              <w:rPr>
                <w:rFonts w:ascii="Arial" w:hAnsi="Arial" w:cs="Arial"/>
                <w:b/>
                <w:color w:val="000000"/>
                <w:sz w:val="22"/>
                <w:szCs w:val="22"/>
              </w:rPr>
              <w:t>at</w:t>
            </w:r>
            <w:proofErr w:type="gramEnd"/>
            <w:r w:rsidRPr="004A3AC2">
              <w:rPr>
                <w:rFonts w:ascii="Arial" w:hAnsi="Arial" w:cs="Arial"/>
                <w:b/>
                <w:color w:val="000000"/>
                <w:sz w:val="22"/>
                <w:szCs w:val="22"/>
              </w:rPr>
              <w:t xml:space="preserve"> 31 March 20</w:t>
            </w:r>
            <w:r w:rsidR="00265A35" w:rsidRPr="004A3AC2">
              <w:rPr>
                <w:rFonts w:ascii="Arial" w:hAnsi="Arial" w:cs="Arial"/>
                <w:b/>
                <w:color w:val="000000"/>
                <w:sz w:val="22"/>
                <w:szCs w:val="22"/>
              </w:rPr>
              <w:t>2</w:t>
            </w:r>
            <w:r w:rsidR="00DE6A93" w:rsidRPr="004A3AC2">
              <w:rPr>
                <w:rFonts w:ascii="Arial" w:hAnsi="Arial" w:cs="Arial"/>
                <w:b/>
                <w:color w:val="000000"/>
                <w:sz w:val="22"/>
                <w:szCs w:val="22"/>
              </w:rPr>
              <w:t>4</w:t>
            </w:r>
          </w:p>
        </w:tc>
        <w:tc>
          <w:tcPr>
            <w:tcW w:w="1151" w:type="dxa"/>
            <w:vMerge w:val="restart"/>
            <w:tcBorders>
              <w:top w:val="nil"/>
              <w:left w:val="nil"/>
              <w:bottom w:val="nil"/>
              <w:right w:val="nil"/>
            </w:tcBorders>
            <w:shd w:val="clear" w:color="auto" w:fill="auto"/>
            <w:noWrap/>
            <w:hideMark/>
          </w:tcPr>
          <w:p w14:paraId="7FAAC7C6"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 Change</w:t>
            </w:r>
          </w:p>
        </w:tc>
        <w:tc>
          <w:tcPr>
            <w:tcW w:w="1687" w:type="dxa"/>
            <w:tcBorders>
              <w:top w:val="nil"/>
              <w:left w:val="nil"/>
              <w:bottom w:val="nil"/>
              <w:right w:val="nil"/>
            </w:tcBorders>
            <w:shd w:val="clear" w:color="auto" w:fill="auto"/>
            <w:noWrap/>
            <w:hideMark/>
          </w:tcPr>
          <w:p w14:paraId="55BEE3A6"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Value on Increase</w:t>
            </w:r>
          </w:p>
        </w:tc>
        <w:tc>
          <w:tcPr>
            <w:tcW w:w="1195" w:type="dxa"/>
            <w:tcBorders>
              <w:top w:val="nil"/>
              <w:left w:val="nil"/>
              <w:bottom w:val="nil"/>
              <w:right w:val="nil"/>
            </w:tcBorders>
            <w:shd w:val="clear" w:color="auto" w:fill="auto"/>
            <w:noWrap/>
            <w:hideMark/>
          </w:tcPr>
          <w:p w14:paraId="173046BA"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Value on Decrease</w:t>
            </w:r>
          </w:p>
        </w:tc>
      </w:tr>
      <w:tr w:rsidR="003C45DA" w:rsidRPr="00B64150" w14:paraId="11312A5F" w14:textId="77777777" w:rsidTr="00D65DDE">
        <w:trPr>
          <w:trHeight w:val="203"/>
        </w:trPr>
        <w:tc>
          <w:tcPr>
            <w:tcW w:w="3603" w:type="dxa"/>
            <w:vMerge/>
            <w:tcBorders>
              <w:top w:val="nil"/>
              <w:left w:val="nil"/>
              <w:bottom w:val="nil"/>
              <w:right w:val="nil"/>
            </w:tcBorders>
            <w:vAlign w:val="center"/>
            <w:hideMark/>
          </w:tcPr>
          <w:p w14:paraId="11C59470" w14:textId="77777777" w:rsidR="003C45DA" w:rsidRPr="004A3AC2" w:rsidRDefault="003C45DA" w:rsidP="00DF3ECC">
            <w:pPr>
              <w:rPr>
                <w:rFonts w:ascii="Arial" w:hAnsi="Arial" w:cs="Arial"/>
                <w:b/>
                <w:color w:val="000000"/>
                <w:sz w:val="22"/>
                <w:szCs w:val="22"/>
              </w:rPr>
            </w:pPr>
          </w:p>
        </w:tc>
        <w:tc>
          <w:tcPr>
            <w:tcW w:w="1527" w:type="dxa"/>
            <w:tcBorders>
              <w:top w:val="nil"/>
              <w:left w:val="nil"/>
              <w:bottom w:val="nil"/>
              <w:right w:val="nil"/>
            </w:tcBorders>
            <w:shd w:val="clear" w:color="auto" w:fill="auto"/>
            <w:noWrap/>
            <w:hideMark/>
          </w:tcPr>
          <w:p w14:paraId="63DC53B8" w14:textId="77777777" w:rsidR="003C45DA" w:rsidRPr="004A3AC2" w:rsidRDefault="003C45DA" w:rsidP="00DF3ECC">
            <w:pPr>
              <w:ind w:left="-108" w:right="-108"/>
              <w:jc w:val="center"/>
              <w:rPr>
                <w:rFonts w:ascii="Arial" w:hAnsi="Arial" w:cs="Arial"/>
                <w:b/>
                <w:color w:val="000000"/>
                <w:sz w:val="22"/>
                <w:szCs w:val="22"/>
              </w:rPr>
            </w:pPr>
            <w:r w:rsidRPr="004A3AC2">
              <w:rPr>
                <w:rFonts w:ascii="Arial" w:hAnsi="Arial" w:cs="Arial"/>
                <w:b/>
                <w:color w:val="000000"/>
                <w:sz w:val="22"/>
                <w:szCs w:val="22"/>
              </w:rPr>
              <w:t>£000</w:t>
            </w:r>
          </w:p>
        </w:tc>
        <w:tc>
          <w:tcPr>
            <w:tcW w:w="1151" w:type="dxa"/>
            <w:vMerge/>
            <w:tcBorders>
              <w:top w:val="nil"/>
              <w:left w:val="nil"/>
              <w:bottom w:val="nil"/>
              <w:right w:val="nil"/>
            </w:tcBorders>
            <w:vAlign w:val="center"/>
            <w:hideMark/>
          </w:tcPr>
          <w:p w14:paraId="16849B2E" w14:textId="77777777" w:rsidR="003C45DA" w:rsidRPr="004A3AC2" w:rsidRDefault="003C45DA" w:rsidP="00DF3ECC">
            <w:pPr>
              <w:rPr>
                <w:rFonts w:ascii="Arial" w:hAnsi="Arial" w:cs="Arial"/>
                <w:b/>
                <w:color w:val="000000"/>
                <w:sz w:val="22"/>
                <w:szCs w:val="22"/>
              </w:rPr>
            </w:pPr>
          </w:p>
        </w:tc>
        <w:tc>
          <w:tcPr>
            <w:tcW w:w="1687" w:type="dxa"/>
            <w:tcBorders>
              <w:top w:val="nil"/>
              <w:left w:val="nil"/>
              <w:bottom w:val="nil"/>
              <w:right w:val="nil"/>
            </w:tcBorders>
            <w:shd w:val="clear" w:color="auto" w:fill="auto"/>
            <w:noWrap/>
            <w:hideMark/>
          </w:tcPr>
          <w:p w14:paraId="7841E54F"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£000</w:t>
            </w:r>
          </w:p>
        </w:tc>
        <w:tc>
          <w:tcPr>
            <w:tcW w:w="1195" w:type="dxa"/>
            <w:tcBorders>
              <w:top w:val="nil"/>
              <w:left w:val="nil"/>
              <w:bottom w:val="nil"/>
              <w:right w:val="nil"/>
            </w:tcBorders>
            <w:shd w:val="clear" w:color="auto" w:fill="auto"/>
            <w:noWrap/>
            <w:hideMark/>
          </w:tcPr>
          <w:p w14:paraId="13071158" w14:textId="77777777"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£000</w:t>
            </w:r>
          </w:p>
        </w:tc>
      </w:tr>
      <w:tr w:rsidR="00931EC1" w:rsidRPr="00D65DDE" w14:paraId="743FF8D1" w14:textId="77777777" w:rsidTr="00173E5A">
        <w:trPr>
          <w:trHeight w:val="62"/>
        </w:trPr>
        <w:tc>
          <w:tcPr>
            <w:tcW w:w="3603" w:type="dxa"/>
            <w:tcBorders>
              <w:top w:val="nil"/>
              <w:left w:val="nil"/>
              <w:bottom w:val="nil"/>
              <w:right w:val="nil"/>
            </w:tcBorders>
            <w:shd w:val="clear" w:color="auto" w:fill="auto"/>
            <w:noWrap/>
            <w:hideMark/>
          </w:tcPr>
          <w:p w14:paraId="26334A57" w14:textId="5C2E42DE" w:rsidR="00931EC1" w:rsidRPr="00F21F54" w:rsidRDefault="00931EC1" w:rsidP="00931EC1">
            <w:pPr>
              <w:rPr>
                <w:rFonts w:ascii="Arial" w:hAnsi="Arial" w:cs="Arial"/>
                <w:bCs/>
                <w:color w:val="000000"/>
                <w:sz w:val="22"/>
                <w:szCs w:val="22"/>
              </w:rPr>
            </w:pPr>
            <w:r w:rsidRPr="00F21F54">
              <w:rPr>
                <w:rFonts w:ascii="Arial" w:hAnsi="Arial" w:cs="Arial"/>
                <w:sz w:val="22"/>
                <w:szCs w:val="22"/>
              </w:rPr>
              <w:t>Bonds</w:t>
            </w:r>
          </w:p>
        </w:tc>
        <w:tc>
          <w:tcPr>
            <w:tcW w:w="1527" w:type="dxa"/>
            <w:tcBorders>
              <w:top w:val="nil"/>
              <w:left w:val="nil"/>
              <w:bottom w:val="nil"/>
              <w:right w:val="nil"/>
            </w:tcBorders>
            <w:shd w:val="clear" w:color="auto" w:fill="auto"/>
            <w:noWrap/>
          </w:tcPr>
          <w:p w14:paraId="18B7BE8E" w14:textId="4D2063DF" w:rsidR="00931EC1" w:rsidRPr="00DE6A93" w:rsidRDefault="00931EC1" w:rsidP="00931EC1">
            <w:pPr>
              <w:jc w:val="right"/>
              <w:rPr>
                <w:rFonts w:ascii="Arial" w:hAnsi="Arial" w:cs="Arial"/>
                <w:sz w:val="22"/>
                <w:szCs w:val="22"/>
              </w:rPr>
            </w:pPr>
            <w:r w:rsidRPr="00DE6A93">
              <w:rPr>
                <w:rFonts w:ascii="Arial" w:hAnsi="Arial" w:cs="Arial"/>
                <w:sz w:val="22"/>
                <w:szCs w:val="22"/>
              </w:rPr>
              <w:t>119,346</w:t>
            </w:r>
          </w:p>
        </w:tc>
        <w:tc>
          <w:tcPr>
            <w:tcW w:w="1151" w:type="dxa"/>
            <w:tcBorders>
              <w:top w:val="nil"/>
              <w:left w:val="nil"/>
              <w:bottom w:val="nil"/>
              <w:right w:val="nil"/>
            </w:tcBorders>
            <w:shd w:val="clear" w:color="000000" w:fill="FFFFFF"/>
            <w:noWrap/>
            <w:vAlign w:val="center"/>
          </w:tcPr>
          <w:p w14:paraId="5C1603FC" w14:textId="51338055" w:rsidR="00931EC1" w:rsidRPr="00DE6A93" w:rsidRDefault="00931EC1" w:rsidP="00931EC1">
            <w:pPr>
              <w:jc w:val="right"/>
              <w:rPr>
                <w:rFonts w:ascii="Arial" w:hAnsi="Arial" w:cs="Arial"/>
                <w:bCs/>
                <w:sz w:val="22"/>
                <w:szCs w:val="22"/>
              </w:rPr>
            </w:pPr>
            <w:r w:rsidRPr="00DE6A93">
              <w:rPr>
                <w:rFonts w:ascii="Arial" w:hAnsi="Arial" w:cs="Arial"/>
                <w:bCs/>
                <w:sz w:val="22"/>
                <w:szCs w:val="22"/>
              </w:rPr>
              <w:t>6.6</w:t>
            </w:r>
          </w:p>
        </w:tc>
        <w:tc>
          <w:tcPr>
            <w:tcW w:w="1687" w:type="dxa"/>
            <w:tcBorders>
              <w:top w:val="nil"/>
              <w:left w:val="nil"/>
              <w:bottom w:val="nil"/>
              <w:right w:val="nil"/>
            </w:tcBorders>
            <w:shd w:val="clear" w:color="auto" w:fill="auto"/>
            <w:noWrap/>
          </w:tcPr>
          <w:p w14:paraId="53A3AF71" w14:textId="40A72C7A"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127,223 </w:t>
            </w:r>
          </w:p>
        </w:tc>
        <w:tc>
          <w:tcPr>
            <w:tcW w:w="1195" w:type="dxa"/>
            <w:tcBorders>
              <w:top w:val="nil"/>
              <w:left w:val="nil"/>
              <w:bottom w:val="nil"/>
              <w:right w:val="nil"/>
            </w:tcBorders>
            <w:shd w:val="clear" w:color="auto" w:fill="auto"/>
            <w:noWrap/>
          </w:tcPr>
          <w:p w14:paraId="498E542C" w14:textId="76376579"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111,469 </w:t>
            </w:r>
          </w:p>
        </w:tc>
      </w:tr>
      <w:tr w:rsidR="00931EC1" w:rsidRPr="00D65DDE" w14:paraId="20EC2EC5" w14:textId="77777777" w:rsidTr="00173E5A">
        <w:trPr>
          <w:trHeight w:val="62"/>
        </w:trPr>
        <w:tc>
          <w:tcPr>
            <w:tcW w:w="3603" w:type="dxa"/>
            <w:tcBorders>
              <w:top w:val="nil"/>
              <w:left w:val="nil"/>
              <w:bottom w:val="nil"/>
              <w:right w:val="nil"/>
            </w:tcBorders>
            <w:shd w:val="clear" w:color="auto" w:fill="auto"/>
            <w:noWrap/>
            <w:hideMark/>
          </w:tcPr>
          <w:p w14:paraId="55396C26" w14:textId="1C4E57D2" w:rsidR="00931EC1" w:rsidRPr="00F21F54" w:rsidRDefault="00931EC1" w:rsidP="00931EC1">
            <w:pPr>
              <w:rPr>
                <w:rFonts w:ascii="Arial" w:hAnsi="Arial" w:cs="Arial"/>
                <w:bCs/>
                <w:color w:val="000000"/>
                <w:sz w:val="22"/>
                <w:szCs w:val="22"/>
              </w:rPr>
            </w:pPr>
            <w:r w:rsidRPr="00F21F54">
              <w:rPr>
                <w:rFonts w:ascii="Arial" w:hAnsi="Arial" w:cs="Arial"/>
                <w:sz w:val="22"/>
                <w:szCs w:val="22"/>
              </w:rPr>
              <w:t>Equities</w:t>
            </w:r>
          </w:p>
        </w:tc>
        <w:tc>
          <w:tcPr>
            <w:tcW w:w="1527" w:type="dxa"/>
            <w:tcBorders>
              <w:top w:val="nil"/>
              <w:left w:val="nil"/>
              <w:bottom w:val="nil"/>
              <w:right w:val="nil"/>
            </w:tcBorders>
            <w:shd w:val="clear" w:color="auto" w:fill="auto"/>
            <w:noWrap/>
          </w:tcPr>
          <w:p w14:paraId="16F6E252" w14:textId="2D2E90A7" w:rsidR="00931EC1" w:rsidRPr="00DE6A93" w:rsidRDefault="00931EC1" w:rsidP="00931EC1">
            <w:pPr>
              <w:jc w:val="right"/>
              <w:rPr>
                <w:rFonts w:ascii="Arial" w:hAnsi="Arial" w:cs="Arial"/>
                <w:sz w:val="22"/>
                <w:szCs w:val="22"/>
              </w:rPr>
            </w:pPr>
            <w:r w:rsidRPr="00DE6A93">
              <w:rPr>
                <w:rFonts w:ascii="Arial" w:hAnsi="Arial" w:cs="Arial"/>
                <w:sz w:val="22"/>
                <w:szCs w:val="22"/>
              </w:rPr>
              <w:t>552,057</w:t>
            </w:r>
          </w:p>
        </w:tc>
        <w:tc>
          <w:tcPr>
            <w:tcW w:w="1151" w:type="dxa"/>
            <w:tcBorders>
              <w:top w:val="nil"/>
              <w:left w:val="nil"/>
              <w:bottom w:val="nil"/>
              <w:right w:val="nil"/>
            </w:tcBorders>
            <w:shd w:val="clear" w:color="000000" w:fill="FFFFFF"/>
            <w:noWrap/>
            <w:vAlign w:val="center"/>
          </w:tcPr>
          <w:p w14:paraId="18552893" w14:textId="05097524" w:rsidR="00931EC1" w:rsidRPr="00DE6A93" w:rsidRDefault="00931EC1" w:rsidP="00931EC1">
            <w:pPr>
              <w:jc w:val="right"/>
              <w:rPr>
                <w:rFonts w:ascii="Arial" w:hAnsi="Arial" w:cs="Arial"/>
                <w:bCs/>
                <w:sz w:val="22"/>
                <w:szCs w:val="22"/>
              </w:rPr>
            </w:pPr>
            <w:r w:rsidRPr="00DE6A93">
              <w:rPr>
                <w:rFonts w:ascii="Arial" w:hAnsi="Arial" w:cs="Arial"/>
                <w:bCs/>
                <w:sz w:val="22"/>
                <w:szCs w:val="22"/>
              </w:rPr>
              <w:t>12.1</w:t>
            </w:r>
          </w:p>
        </w:tc>
        <w:tc>
          <w:tcPr>
            <w:tcW w:w="1687" w:type="dxa"/>
            <w:tcBorders>
              <w:top w:val="nil"/>
              <w:left w:val="nil"/>
              <w:bottom w:val="nil"/>
              <w:right w:val="nil"/>
            </w:tcBorders>
            <w:shd w:val="clear" w:color="auto" w:fill="auto"/>
            <w:noWrap/>
          </w:tcPr>
          <w:p w14:paraId="16025F81" w14:textId="14269F5C"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618,855 </w:t>
            </w:r>
          </w:p>
        </w:tc>
        <w:tc>
          <w:tcPr>
            <w:tcW w:w="1195" w:type="dxa"/>
            <w:tcBorders>
              <w:top w:val="nil"/>
              <w:left w:val="nil"/>
              <w:bottom w:val="nil"/>
              <w:right w:val="nil"/>
            </w:tcBorders>
            <w:shd w:val="clear" w:color="auto" w:fill="auto"/>
            <w:noWrap/>
          </w:tcPr>
          <w:p w14:paraId="74169201" w14:textId="240AF9D6"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485,258 </w:t>
            </w:r>
          </w:p>
        </w:tc>
      </w:tr>
      <w:tr w:rsidR="00931EC1" w:rsidRPr="00D65DDE" w14:paraId="5022D59B" w14:textId="77777777" w:rsidTr="00173E5A">
        <w:trPr>
          <w:trHeight w:val="62"/>
        </w:trPr>
        <w:tc>
          <w:tcPr>
            <w:tcW w:w="3603" w:type="dxa"/>
            <w:tcBorders>
              <w:top w:val="nil"/>
              <w:left w:val="nil"/>
              <w:bottom w:val="nil"/>
              <w:right w:val="nil"/>
            </w:tcBorders>
            <w:shd w:val="clear" w:color="auto" w:fill="auto"/>
            <w:noWrap/>
            <w:hideMark/>
          </w:tcPr>
          <w:p w14:paraId="1FCAFF87" w14:textId="03940504" w:rsidR="00931EC1" w:rsidRPr="00F21F54" w:rsidRDefault="00931EC1" w:rsidP="00931EC1">
            <w:pPr>
              <w:rPr>
                <w:rFonts w:ascii="Arial" w:hAnsi="Arial" w:cs="Arial"/>
                <w:bCs/>
                <w:color w:val="000000"/>
                <w:sz w:val="22"/>
                <w:szCs w:val="22"/>
              </w:rPr>
            </w:pPr>
            <w:r w:rsidRPr="00F21F54">
              <w:rPr>
                <w:rFonts w:ascii="Arial" w:hAnsi="Arial" w:cs="Arial"/>
                <w:sz w:val="22"/>
                <w:szCs w:val="22"/>
              </w:rPr>
              <w:t>Property Unit Trust</w:t>
            </w:r>
          </w:p>
        </w:tc>
        <w:tc>
          <w:tcPr>
            <w:tcW w:w="1527" w:type="dxa"/>
            <w:tcBorders>
              <w:top w:val="nil"/>
              <w:left w:val="nil"/>
              <w:bottom w:val="nil"/>
              <w:right w:val="nil"/>
            </w:tcBorders>
            <w:shd w:val="clear" w:color="auto" w:fill="auto"/>
            <w:noWrap/>
          </w:tcPr>
          <w:p w14:paraId="49B9AE37" w14:textId="60CDFF39" w:rsidR="00931EC1" w:rsidRPr="00DE6A93" w:rsidRDefault="00931EC1" w:rsidP="00931EC1">
            <w:pPr>
              <w:jc w:val="right"/>
              <w:rPr>
                <w:rFonts w:ascii="Arial" w:hAnsi="Arial" w:cs="Arial"/>
                <w:sz w:val="22"/>
                <w:szCs w:val="22"/>
              </w:rPr>
            </w:pPr>
            <w:r w:rsidRPr="00DE6A93">
              <w:rPr>
                <w:rFonts w:ascii="Arial" w:hAnsi="Arial" w:cs="Arial"/>
                <w:sz w:val="22"/>
                <w:szCs w:val="22"/>
              </w:rPr>
              <w:t>47,850</w:t>
            </w:r>
          </w:p>
        </w:tc>
        <w:tc>
          <w:tcPr>
            <w:tcW w:w="1151" w:type="dxa"/>
            <w:tcBorders>
              <w:top w:val="nil"/>
              <w:left w:val="nil"/>
              <w:bottom w:val="nil"/>
              <w:right w:val="nil"/>
            </w:tcBorders>
            <w:shd w:val="clear" w:color="000000" w:fill="FFFFFF"/>
            <w:noWrap/>
            <w:vAlign w:val="center"/>
          </w:tcPr>
          <w:p w14:paraId="735D5B74" w14:textId="5DB34FFE" w:rsidR="00931EC1" w:rsidRPr="00DE6A93" w:rsidRDefault="00931EC1" w:rsidP="00931EC1">
            <w:pPr>
              <w:jc w:val="right"/>
              <w:rPr>
                <w:rFonts w:ascii="Arial" w:hAnsi="Arial" w:cs="Arial"/>
                <w:bCs/>
                <w:sz w:val="22"/>
                <w:szCs w:val="22"/>
              </w:rPr>
            </w:pPr>
            <w:r w:rsidRPr="00DE6A93">
              <w:rPr>
                <w:rFonts w:ascii="Arial" w:hAnsi="Arial" w:cs="Arial"/>
                <w:bCs/>
                <w:sz w:val="22"/>
                <w:szCs w:val="22"/>
              </w:rPr>
              <w:t>7.9</w:t>
            </w:r>
          </w:p>
        </w:tc>
        <w:tc>
          <w:tcPr>
            <w:tcW w:w="1687" w:type="dxa"/>
            <w:tcBorders>
              <w:top w:val="nil"/>
              <w:left w:val="nil"/>
              <w:bottom w:val="nil"/>
              <w:right w:val="nil"/>
            </w:tcBorders>
            <w:shd w:val="clear" w:color="auto" w:fill="auto"/>
            <w:noWrap/>
          </w:tcPr>
          <w:p w14:paraId="5F8A6B6C" w14:textId="584293DB"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51,630 </w:t>
            </w:r>
          </w:p>
        </w:tc>
        <w:tc>
          <w:tcPr>
            <w:tcW w:w="1195" w:type="dxa"/>
            <w:tcBorders>
              <w:top w:val="nil"/>
              <w:left w:val="nil"/>
              <w:bottom w:val="nil"/>
              <w:right w:val="nil"/>
            </w:tcBorders>
            <w:shd w:val="clear" w:color="auto" w:fill="auto"/>
            <w:noWrap/>
          </w:tcPr>
          <w:p w14:paraId="5C47F8DB" w14:textId="506A8116"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44,070 </w:t>
            </w:r>
          </w:p>
        </w:tc>
      </w:tr>
      <w:tr w:rsidR="00931EC1" w:rsidRPr="00D65DDE" w14:paraId="5EAB62BD" w14:textId="77777777" w:rsidTr="00173E5A">
        <w:trPr>
          <w:trHeight w:val="66"/>
        </w:trPr>
        <w:tc>
          <w:tcPr>
            <w:tcW w:w="3603" w:type="dxa"/>
            <w:tcBorders>
              <w:top w:val="nil"/>
              <w:left w:val="nil"/>
              <w:bottom w:val="nil"/>
              <w:right w:val="nil"/>
            </w:tcBorders>
            <w:shd w:val="clear" w:color="auto" w:fill="auto"/>
            <w:noWrap/>
            <w:hideMark/>
          </w:tcPr>
          <w:p w14:paraId="6369724C" w14:textId="375BE5FB" w:rsidR="00931EC1" w:rsidRPr="00F21F54" w:rsidRDefault="00931EC1" w:rsidP="00931EC1">
            <w:pPr>
              <w:rPr>
                <w:rFonts w:ascii="Arial" w:hAnsi="Arial" w:cs="Arial"/>
                <w:bCs/>
                <w:color w:val="000000"/>
                <w:sz w:val="22"/>
                <w:szCs w:val="22"/>
              </w:rPr>
            </w:pPr>
            <w:r w:rsidRPr="00F21F54">
              <w:rPr>
                <w:rFonts w:ascii="Arial" w:hAnsi="Arial" w:cs="Arial"/>
                <w:sz w:val="22"/>
                <w:szCs w:val="22"/>
              </w:rPr>
              <w:t>Pooled Investments</w:t>
            </w:r>
          </w:p>
        </w:tc>
        <w:tc>
          <w:tcPr>
            <w:tcW w:w="1527" w:type="dxa"/>
            <w:tcBorders>
              <w:top w:val="nil"/>
              <w:left w:val="nil"/>
              <w:bottom w:val="nil"/>
              <w:right w:val="nil"/>
            </w:tcBorders>
            <w:shd w:val="clear" w:color="auto" w:fill="auto"/>
            <w:noWrap/>
          </w:tcPr>
          <w:p w14:paraId="5F52C964" w14:textId="7C0C1A7C" w:rsidR="00931EC1" w:rsidRPr="00DE6A93" w:rsidRDefault="00931EC1" w:rsidP="00931EC1">
            <w:pPr>
              <w:jc w:val="right"/>
              <w:rPr>
                <w:rFonts w:ascii="Arial" w:hAnsi="Arial" w:cs="Arial"/>
                <w:sz w:val="22"/>
                <w:szCs w:val="22"/>
              </w:rPr>
            </w:pPr>
            <w:r w:rsidRPr="00DE6A93">
              <w:rPr>
                <w:rFonts w:ascii="Arial" w:hAnsi="Arial" w:cs="Arial"/>
                <w:sz w:val="22"/>
                <w:szCs w:val="22"/>
              </w:rPr>
              <w:t>489,430</w:t>
            </w:r>
          </w:p>
        </w:tc>
        <w:tc>
          <w:tcPr>
            <w:tcW w:w="1151" w:type="dxa"/>
            <w:tcBorders>
              <w:top w:val="nil"/>
              <w:left w:val="nil"/>
              <w:bottom w:val="nil"/>
              <w:right w:val="nil"/>
            </w:tcBorders>
            <w:shd w:val="clear" w:color="000000" w:fill="FFFFFF"/>
            <w:noWrap/>
            <w:vAlign w:val="center"/>
          </w:tcPr>
          <w:p w14:paraId="0604DDDE" w14:textId="744D7AD1" w:rsidR="00931EC1" w:rsidRPr="00DE6A93" w:rsidRDefault="00931EC1" w:rsidP="00931EC1">
            <w:pPr>
              <w:jc w:val="right"/>
              <w:rPr>
                <w:rFonts w:ascii="Arial" w:hAnsi="Arial" w:cs="Arial"/>
                <w:bCs/>
                <w:sz w:val="22"/>
                <w:szCs w:val="22"/>
              </w:rPr>
            </w:pPr>
            <w:r w:rsidRPr="00DE6A93">
              <w:rPr>
                <w:rFonts w:ascii="Arial" w:hAnsi="Arial" w:cs="Arial"/>
                <w:bCs/>
                <w:sz w:val="22"/>
                <w:szCs w:val="22"/>
              </w:rPr>
              <w:t>6.6</w:t>
            </w:r>
          </w:p>
        </w:tc>
        <w:tc>
          <w:tcPr>
            <w:tcW w:w="1687" w:type="dxa"/>
            <w:tcBorders>
              <w:top w:val="nil"/>
              <w:left w:val="nil"/>
              <w:bottom w:val="nil"/>
              <w:right w:val="nil"/>
            </w:tcBorders>
            <w:shd w:val="clear" w:color="auto" w:fill="auto"/>
            <w:noWrap/>
          </w:tcPr>
          <w:p w14:paraId="03C04DA4" w14:textId="63C1AF21"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521,732 </w:t>
            </w:r>
          </w:p>
        </w:tc>
        <w:tc>
          <w:tcPr>
            <w:tcW w:w="1195" w:type="dxa"/>
            <w:tcBorders>
              <w:top w:val="nil"/>
              <w:left w:val="nil"/>
              <w:bottom w:val="nil"/>
              <w:right w:val="nil"/>
            </w:tcBorders>
            <w:shd w:val="clear" w:color="auto" w:fill="auto"/>
            <w:noWrap/>
          </w:tcPr>
          <w:p w14:paraId="036F44B4" w14:textId="5D276BBA"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457,127 </w:t>
            </w:r>
          </w:p>
        </w:tc>
      </w:tr>
      <w:tr w:rsidR="00931EC1" w:rsidRPr="00D65DDE" w14:paraId="70394231" w14:textId="77777777" w:rsidTr="00173E5A">
        <w:trPr>
          <w:trHeight w:val="62"/>
        </w:trPr>
        <w:tc>
          <w:tcPr>
            <w:tcW w:w="3603" w:type="dxa"/>
            <w:tcBorders>
              <w:top w:val="nil"/>
              <w:left w:val="nil"/>
              <w:bottom w:val="nil"/>
              <w:right w:val="nil"/>
            </w:tcBorders>
            <w:shd w:val="clear" w:color="auto" w:fill="auto"/>
            <w:noWrap/>
            <w:hideMark/>
          </w:tcPr>
          <w:p w14:paraId="6FF7D316" w14:textId="25D72DBF" w:rsidR="00931EC1" w:rsidRPr="00F21F54" w:rsidRDefault="00931EC1" w:rsidP="00931EC1">
            <w:pPr>
              <w:rPr>
                <w:rFonts w:ascii="Arial" w:hAnsi="Arial" w:cs="Arial"/>
                <w:bCs/>
                <w:color w:val="000000"/>
                <w:sz w:val="22"/>
                <w:szCs w:val="22"/>
              </w:rPr>
            </w:pPr>
            <w:r w:rsidRPr="00F21F54">
              <w:rPr>
                <w:rFonts w:ascii="Arial" w:hAnsi="Arial" w:cs="Arial"/>
                <w:sz w:val="22"/>
                <w:szCs w:val="22"/>
              </w:rPr>
              <w:t>Private Equity</w:t>
            </w:r>
          </w:p>
        </w:tc>
        <w:tc>
          <w:tcPr>
            <w:tcW w:w="1527" w:type="dxa"/>
            <w:tcBorders>
              <w:top w:val="nil"/>
              <w:left w:val="nil"/>
              <w:bottom w:val="nil"/>
              <w:right w:val="nil"/>
            </w:tcBorders>
            <w:shd w:val="clear" w:color="auto" w:fill="auto"/>
            <w:noWrap/>
          </w:tcPr>
          <w:p w14:paraId="1169D873" w14:textId="6203A11D" w:rsidR="00931EC1" w:rsidRPr="00DE6A93" w:rsidRDefault="00931EC1" w:rsidP="00931EC1">
            <w:pPr>
              <w:jc w:val="right"/>
              <w:rPr>
                <w:rFonts w:ascii="Arial" w:hAnsi="Arial" w:cs="Arial"/>
                <w:sz w:val="22"/>
                <w:szCs w:val="22"/>
              </w:rPr>
            </w:pPr>
            <w:r w:rsidRPr="00DE6A93">
              <w:rPr>
                <w:rFonts w:ascii="Arial" w:hAnsi="Arial" w:cs="Arial"/>
                <w:sz w:val="22"/>
                <w:szCs w:val="22"/>
              </w:rPr>
              <w:t xml:space="preserve"> 107,474 </w:t>
            </w:r>
          </w:p>
        </w:tc>
        <w:tc>
          <w:tcPr>
            <w:tcW w:w="1151" w:type="dxa"/>
            <w:tcBorders>
              <w:top w:val="nil"/>
              <w:left w:val="nil"/>
              <w:bottom w:val="nil"/>
              <w:right w:val="nil"/>
            </w:tcBorders>
            <w:shd w:val="clear" w:color="000000" w:fill="FFFFFF"/>
            <w:noWrap/>
            <w:vAlign w:val="center"/>
          </w:tcPr>
          <w:p w14:paraId="24A16528" w14:textId="191E8DA6" w:rsidR="00931EC1" w:rsidRPr="00DE6A93" w:rsidRDefault="00931EC1" w:rsidP="00931EC1">
            <w:pPr>
              <w:jc w:val="right"/>
              <w:rPr>
                <w:rFonts w:ascii="Arial" w:hAnsi="Arial" w:cs="Arial"/>
                <w:bCs/>
                <w:sz w:val="22"/>
                <w:szCs w:val="22"/>
              </w:rPr>
            </w:pPr>
            <w:r w:rsidRPr="00DE6A93">
              <w:rPr>
                <w:rFonts w:ascii="Arial" w:hAnsi="Arial" w:cs="Arial"/>
                <w:bCs/>
                <w:sz w:val="22"/>
                <w:szCs w:val="22"/>
              </w:rPr>
              <w:t>6.6</w:t>
            </w:r>
          </w:p>
        </w:tc>
        <w:tc>
          <w:tcPr>
            <w:tcW w:w="1687" w:type="dxa"/>
            <w:tcBorders>
              <w:top w:val="nil"/>
              <w:left w:val="nil"/>
              <w:bottom w:val="nil"/>
              <w:right w:val="nil"/>
            </w:tcBorders>
            <w:shd w:val="clear" w:color="auto" w:fill="auto"/>
            <w:noWrap/>
          </w:tcPr>
          <w:p w14:paraId="5EB27DE8" w14:textId="77529974"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114,567 </w:t>
            </w:r>
          </w:p>
        </w:tc>
        <w:tc>
          <w:tcPr>
            <w:tcW w:w="1195" w:type="dxa"/>
            <w:tcBorders>
              <w:top w:val="nil"/>
              <w:left w:val="nil"/>
              <w:bottom w:val="nil"/>
              <w:right w:val="nil"/>
            </w:tcBorders>
            <w:shd w:val="clear" w:color="auto" w:fill="auto"/>
            <w:noWrap/>
          </w:tcPr>
          <w:p w14:paraId="009506FA" w14:textId="1752A5B1"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100,381 </w:t>
            </w:r>
          </w:p>
        </w:tc>
      </w:tr>
      <w:tr w:rsidR="00931EC1" w:rsidRPr="00D65DDE" w14:paraId="571F604C" w14:textId="77777777" w:rsidTr="00173E5A">
        <w:trPr>
          <w:trHeight w:val="62"/>
        </w:trPr>
        <w:tc>
          <w:tcPr>
            <w:tcW w:w="3603" w:type="dxa"/>
            <w:tcBorders>
              <w:top w:val="nil"/>
              <w:left w:val="nil"/>
              <w:bottom w:val="nil"/>
              <w:right w:val="nil"/>
            </w:tcBorders>
            <w:shd w:val="clear" w:color="auto" w:fill="auto"/>
            <w:noWrap/>
            <w:hideMark/>
          </w:tcPr>
          <w:p w14:paraId="5FAD336F" w14:textId="45FD101B" w:rsidR="00931EC1" w:rsidRPr="00F21F54" w:rsidRDefault="00931EC1" w:rsidP="00931EC1">
            <w:pPr>
              <w:rPr>
                <w:rFonts w:ascii="Arial" w:hAnsi="Arial" w:cs="Arial"/>
                <w:bCs/>
                <w:color w:val="000000"/>
                <w:sz w:val="22"/>
                <w:szCs w:val="22"/>
              </w:rPr>
            </w:pPr>
            <w:r w:rsidRPr="00F21F54">
              <w:rPr>
                <w:rFonts w:ascii="Arial" w:hAnsi="Arial" w:cs="Arial"/>
                <w:sz w:val="22"/>
                <w:szCs w:val="22"/>
              </w:rPr>
              <w:t>Other Investments</w:t>
            </w:r>
          </w:p>
        </w:tc>
        <w:tc>
          <w:tcPr>
            <w:tcW w:w="1527" w:type="dxa"/>
            <w:tcBorders>
              <w:top w:val="nil"/>
              <w:left w:val="nil"/>
              <w:bottom w:val="nil"/>
              <w:right w:val="nil"/>
            </w:tcBorders>
            <w:shd w:val="clear" w:color="auto" w:fill="auto"/>
            <w:noWrap/>
          </w:tcPr>
          <w:p w14:paraId="129B026B" w14:textId="424B6737" w:rsidR="00931EC1" w:rsidRPr="00DE6A93" w:rsidRDefault="00931EC1" w:rsidP="00931EC1">
            <w:pPr>
              <w:jc w:val="right"/>
              <w:rPr>
                <w:rFonts w:ascii="Arial" w:hAnsi="Arial" w:cs="Arial"/>
                <w:sz w:val="22"/>
                <w:szCs w:val="22"/>
              </w:rPr>
            </w:pPr>
            <w:r w:rsidRPr="00DE6A93">
              <w:rPr>
                <w:rFonts w:ascii="Arial" w:hAnsi="Arial" w:cs="Arial"/>
                <w:sz w:val="22"/>
                <w:szCs w:val="22"/>
              </w:rPr>
              <w:t xml:space="preserve"> 123,533 </w:t>
            </w:r>
          </w:p>
        </w:tc>
        <w:tc>
          <w:tcPr>
            <w:tcW w:w="1151" w:type="dxa"/>
            <w:tcBorders>
              <w:top w:val="nil"/>
              <w:left w:val="nil"/>
              <w:bottom w:val="nil"/>
              <w:right w:val="nil"/>
            </w:tcBorders>
            <w:shd w:val="clear" w:color="000000" w:fill="FFFFFF"/>
            <w:noWrap/>
            <w:vAlign w:val="center"/>
          </w:tcPr>
          <w:p w14:paraId="5FB87539" w14:textId="0A4511F4" w:rsidR="00931EC1" w:rsidRPr="00DE6A93" w:rsidRDefault="00931EC1" w:rsidP="00931EC1">
            <w:pPr>
              <w:jc w:val="right"/>
              <w:rPr>
                <w:rFonts w:ascii="Arial" w:hAnsi="Arial" w:cs="Arial"/>
                <w:bCs/>
                <w:sz w:val="22"/>
                <w:szCs w:val="22"/>
              </w:rPr>
            </w:pPr>
            <w:r w:rsidRPr="00DE6A93">
              <w:rPr>
                <w:rFonts w:ascii="Arial" w:hAnsi="Arial" w:cs="Arial"/>
                <w:bCs/>
                <w:sz w:val="22"/>
                <w:szCs w:val="22"/>
              </w:rPr>
              <w:t>6.6</w:t>
            </w:r>
          </w:p>
        </w:tc>
        <w:tc>
          <w:tcPr>
            <w:tcW w:w="1687" w:type="dxa"/>
            <w:tcBorders>
              <w:top w:val="nil"/>
              <w:left w:val="nil"/>
              <w:bottom w:val="nil"/>
              <w:right w:val="nil"/>
            </w:tcBorders>
            <w:shd w:val="clear" w:color="auto" w:fill="auto"/>
            <w:noWrap/>
          </w:tcPr>
          <w:p w14:paraId="4275E7F2" w14:textId="457C8AF6"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131,687 </w:t>
            </w:r>
          </w:p>
        </w:tc>
        <w:tc>
          <w:tcPr>
            <w:tcW w:w="1195" w:type="dxa"/>
            <w:tcBorders>
              <w:top w:val="nil"/>
              <w:left w:val="nil"/>
              <w:bottom w:val="nil"/>
              <w:right w:val="nil"/>
            </w:tcBorders>
            <w:shd w:val="clear" w:color="auto" w:fill="auto"/>
            <w:noWrap/>
          </w:tcPr>
          <w:p w14:paraId="404FF965" w14:textId="38E58DDB"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115,380 </w:t>
            </w:r>
          </w:p>
        </w:tc>
      </w:tr>
      <w:tr w:rsidR="00931EC1" w:rsidRPr="00D65DDE" w14:paraId="349A4D01" w14:textId="77777777" w:rsidTr="00173E5A">
        <w:trPr>
          <w:trHeight w:val="62"/>
        </w:trPr>
        <w:tc>
          <w:tcPr>
            <w:tcW w:w="3603" w:type="dxa"/>
            <w:tcBorders>
              <w:top w:val="nil"/>
              <w:left w:val="nil"/>
              <w:bottom w:val="nil"/>
              <w:right w:val="nil"/>
            </w:tcBorders>
            <w:shd w:val="clear" w:color="auto" w:fill="auto"/>
            <w:noWrap/>
          </w:tcPr>
          <w:p w14:paraId="6303937B" w14:textId="29868176" w:rsidR="00931EC1" w:rsidRPr="00F21F54" w:rsidRDefault="00931EC1" w:rsidP="00931EC1">
            <w:pPr>
              <w:rPr>
                <w:rFonts w:ascii="Arial" w:hAnsi="Arial" w:cs="Arial"/>
                <w:bCs/>
                <w:color w:val="000000"/>
                <w:sz w:val="22"/>
                <w:szCs w:val="22"/>
              </w:rPr>
            </w:pPr>
            <w:r w:rsidRPr="00F21F54">
              <w:rPr>
                <w:rFonts w:ascii="Arial" w:hAnsi="Arial" w:cs="Arial"/>
                <w:sz w:val="22"/>
                <w:szCs w:val="22"/>
              </w:rPr>
              <w:t>Cash and cash equivalents</w:t>
            </w:r>
          </w:p>
        </w:tc>
        <w:tc>
          <w:tcPr>
            <w:tcW w:w="1527" w:type="dxa"/>
            <w:tcBorders>
              <w:top w:val="nil"/>
              <w:left w:val="nil"/>
              <w:bottom w:val="single" w:sz="8" w:space="0" w:color="auto"/>
              <w:right w:val="nil"/>
            </w:tcBorders>
            <w:shd w:val="clear" w:color="auto" w:fill="auto"/>
            <w:noWrap/>
          </w:tcPr>
          <w:p w14:paraId="1B3DBEBC" w14:textId="2541FB2B" w:rsidR="00931EC1" w:rsidRPr="00DE6A93" w:rsidRDefault="00931EC1" w:rsidP="00931EC1">
            <w:pPr>
              <w:jc w:val="right"/>
              <w:rPr>
                <w:rFonts w:ascii="Arial" w:hAnsi="Arial" w:cs="Arial"/>
                <w:sz w:val="22"/>
                <w:szCs w:val="22"/>
              </w:rPr>
            </w:pPr>
            <w:r w:rsidRPr="00DE6A93">
              <w:rPr>
                <w:rFonts w:ascii="Arial" w:hAnsi="Arial" w:cs="Arial"/>
                <w:sz w:val="22"/>
                <w:szCs w:val="22"/>
              </w:rPr>
              <w:t>9,417</w:t>
            </w:r>
          </w:p>
        </w:tc>
        <w:tc>
          <w:tcPr>
            <w:tcW w:w="1151" w:type="dxa"/>
            <w:tcBorders>
              <w:top w:val="nil"/>
              <w:left w:val="nil"/>
              <w:bottom w:val="nil"/>
              <w:right w:val="nil"/>
            </w:tcBorders>
            <w:shd w:val="clear" w:color="000000" w:fill="FFFFFF"/>
            <w:noWrap/>
            <w:vAlign w:val="center"/>
          </w:tcPr>
          <w:p w14:paraId="2ACAFF1A" w14:textId="0B9C5DA1" w:rsidR="00931EC1" w:rsidRPr="00DE6A93" w:rsidRDefault="00931EC1" w:rsidP="00931EC1">
            <w:pPr>
              <w:jc w:val="right"/>
              <w:rPr>
                <w:rFonts w:ascii="Arial" w:hAnsi="Arial" w:cs="Arial"/>
                <w:bCs/>
                <w:sz w:val="22"/>
                <w:szCs w:val="22"/>
              </w:rPr>
            </w:pPr>
            <w:r w:rsidRPr="00DE6A93">
              <w:rPr>
                <w:rFonts w:ascii="Arial" w:hAnsi="Arial" w:cs="Arial"/>
                <w:bCs/>
                <w:sz w:val="22"/>
                <w:szCs w:val="22"/>
              </w:rPr>
              <w:t>1.0</w:t>
            </w:r>
          </w:p>
        </w:tc>
        <w:tc>
          <w:tcPr>
            <w:tcW w:w="1687" w:type="dxa"/>
            <w:tcBorders>
              <w:top w:val="nil"/>
              <w:left w:val="nil"/>
              <w:bottom w:val="single" w:sz="8" w:space="0" w:color="auto"/>
              <w:right w:val="nil"/>
            </w:tcBorders>
            <w:shd w:val="clear" w:color="auto" w:fill="auto"/>
            <w:noWrap/>
          </w:tcPr>
          <w:p w14:paraId="48A942E4" w14:textId="5240CBB6"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9,511 </w:t>
            </w:r>
          </w:p>
        </w:tc>
        <w:tc>
          <w:tcPr>
            <w:tcW w:w="1195" w:type="dxa"/>
            <w:tcBorders>
              <w:top w:val="nil"/>
              <w:left w:val="nil"/>
              <w:bottom w:val="single" w:sz="4" w:space="0" w:color="auto"/>
              <w:right w:val="nil"/>
            </w:tcBorders>
            <w:shd w:val="clear" w:color="auto" w:fill="auto"/>
            <w:noWrap/>
          </w:tcPr>
          <w:p w14:paraId="2077F262" w14:textId="17C66D1F" w:rsidR="00931EC1" w:rsidRPr="00931EC1" w:rsidRDefault="00931EC1" w:rsidP="00931EC1">
            <w:pPr>
              <w:jc w:val="right"/>
              <w:rPr>
                <w:rFonts w:ascii="Arial" w:hAnsi="Arial" w:cs="Arial"/>
                <w:sz w:val="22"/>
                <w:szCs w:val="22"/>
              </w:rPr>
            </w:pPr>
            <w:r w:rsidRPr="00931EC1">
              <w:rPr>
                <w:rFonts w:ascii="Arial" w:hAnsi="Arial" w:cs="Arial"/>
                <w:sz w:val="22"/>
                <w:szCs w:val="22"/>
              </w:rPr>
              <w:t xml:space="preserve"> 9,323 </w:t>
            </w:r>
          </w:p>
        </w:tc>
      </w:tr>
      <w:tr w:rsidR="00931EC1" w:rsidRPr="00D65DDE" w14:paraId="17333396" w14:textId="77777777" w:rsidTr="00173E5A">
        <w:trPr>
          <w:trHeight w:val="122"/>
        </w:trPr>
        <w:tc>
          <w:tcPr>
            <w:tcW w:w="3603" w:type="dxa"/>
            <w:tcBorders>
              <w:top w:val="nil"/>
              <w:left w:val="nil"/>
              <w:bottom w:val="nil"/>
              <w:right w:val="nil"/>
            </w:tcBorders>
            <w:shd w:val="clear" w:color="auto" w:fill="auto"/>
            <w:noWrap/>
            <w:hideMark/>
          </w:tcPr>
          <w:p w14:paraId="4F78193F" w14:textId="24646122" w:rsidR="00931EC1" w:rsidRPr="00F21F54" w:rsidRDefault="00931EC1" w:rsidP="00931EC1">
            <w:pPr>
              <w:rPr>
                <w:rFonts w:ascii="Arial" w:hAnsi="Arial" w:cs="Arial"/>
                <w:bCs/>
                <w:color w:val="000000"/>
                <w:sz w:val="22"/>
                <w:szCs w:val="22"/>
              </w:rPr>
            </w:pPr>
            <w:r w:rsidRPr="00F21F54">
              <w:rPr>
                <w:rFonts w:ascii="Arial" w:hAnsi="Arial" w:cs="Arial"/>
                <w:sz w:val="22"/>
                <w:szCs w:val="22"/>
              </w:rPr>
              <w:t>Total</w:t>
            </w:r>
          </w:p>
        </w:tc>
        <w:tc>
          <w:tcPr>
            <w:tcW w:w="1527" w:type="dxa"/>
            <w:tcBorders>
              <w:top w:val="nil"/>
              <w:left w:val="nil"/>
              <w:bottom w:val="double" w:sz="6" w:space="0" w:color="auto"/>
              <w:right w:val="nil"/>
            </w:tcBorders>
            <w:shd w:val="clear" w:color="auto" w:fill="auto"/>
            <w:noWrap/>
          </w:tcPr>
          <w:p w14:paraId="4D6D7575" w14:textId="69035163" w:rsidR="00931EC1" w:rsidRPr="00DE6A93" w:rsidRDefault="00931EC1" w:rsidP="00931EC1">
            <w:pPr>
              <w:jc w:val="right"/>
              <w:rPr>
                <w:rFonts w:ascii="Arial" w:hAnsi="Arial" w:cs="Arial"/>
                <w:sz w:val="22"/>
                <w:szCs w:val="22"/>
              </w:rPr>
            </w:pPr>
            <w:r w:rsidRPr="00DE6A93">
              <w:rPr>
                <w:rFonts w:ascii="Arial" w:hAnsi="Arial" w:cs="Arial"/>
                <w:sz w:val="22"/>
                <w:szCs w:val="22"/>
              </w:rPr>
              <w:t>1,449,10</w:t>
            </w:r>
            <w:r w:rsidR="0056333A">
              <w:rPr>
                <w:rFonts w:ascii="Arial" w:hAnsi="Arial" w:cs="Arial"/>
                <w:sz w:val="22"/>
                <w:szCs w:val="22"/>
              </w:rPr>
              <w:t>7</w:t>
            </w:r>
          </w:p>
        </w:tc>
        <w:tc>
          <w:tcPr>
            <w:tcW w:w="1151" w:type="dxa"/>
            <w:tcBorders>
              <w:top w:val="single" w:sz="4" w:space="0" w:color="auto"/>
              <w:left w:val="nil"/>
              <w:bottom w:val="double" w:sz="4" w:space="0" w:color="auto"/>
              <w:right w:val="nil"/>
            </w:tcBorders>
            <w:shd w:val="clear" w:color="auto" w:fill="auto"/>
            <w:noWrap/>
          </w:tcPr>
          <w:p w14:paraId="7B3FDA33" w14:textId="4FE54C7D" w:rsidR="00931EC1" w:rsidRPr="00DE6A93" w:rsidRDefault="00931EC1" w:rsidP="00931EC1">
            <w:pPr>
              <w:jc w:val="right"/>
              <w:rPr>
                <w:rFonts w:ascii="Arial" w:hAnsi="Arial" w:cs="Arial"/>
                <w:bCs/>
                <w:sz w:val="22"/>
                <w:szCs w:val="22"/>
              </w:rPr>
            </w:pPr>
          </w:p>
        </w:tc>
        <w:tc>
          <w:tcPr>
            <w:tcW w:w="1687" w:type="dxa"/>
            <w:tcBorders>
              <w:top w:val="nil"/>
              <w:left w:val="nil"/>
              <w:bottom w:val="double" w:sz="6" w:space="0" w:color="auto"/>
              <w:right w:val="nil"/>
            </w:tcBorders>
            <w:shd w:val="clear" w:color="auto" w:fill="auto"/>
            <w:noWrap/>
          </w:tcPr>
          <w:p w14:paraId="5BA2C86B" w14:textId="4F8CF29D" w:rsidR="00931EC1" w:rsidRPr="00931EC1" w:rsidRDefault="00931EC1" w:rsidP="00931EC1">
            <w:pPr>
              <w:jc w:val="right"/>
              <w:rPr>
                <w:rFonts w:ascii="Arial" w:hAnsi="Arial" w:cs="Arial"/>
                <w:sz w:val="22"/>
                <w:szCs w:val="22"/>
              </w:rPr>
            </w:pPr>
            <w:r w:rsidRPr="00931EC1">
              <w:rPr>
                <w:rFonts w:ascii="Arial" w:hAnsi="Arial" w:cs="Arial"/>
                <w:sz w:val="22"/>
                <w:szCs w:val="22"/>
              </w:rPr>
              <w:t>1,575,205</w:t>
            </w:r>
          </w:p>
        </w:tc>
        <w:tc>
          <w:tcPr>
            <w:tcW w:w="1195" w:type="dxa"/>
            <w:tcBorders>
              <w:top w:val="single" w:sz="4" w:space="0" w:color="auto"/>
              <w:left w:val="nil"/>
              <w:bottom w:val="double" w:sz="4" w:space="0" w:color="auto"/>
              <w:right w:val="nil"/>
            </w:tcBorders>
            <w:shd w:val="clear" w:color="auto" w:fill="auto"/>
            <w:noWrap/>
          </w:tcPr>
          <w:p w14:paraId="0EEF8E4F" w14:textId="0120C1F2" w:rsidR="00931EC1" w:rsidRPr="00931EC1" w:rsidRDefault="00931EC1" w:rsidP="00931EC1">
            <w:pPr>
              <w:jc w:val="right"/>
              <w:rPr>
                <w:rFonts w:ascii="Arial" w:hAnsi="Arial" w:cs="Arial"/>
                <w:sz w:val="22"/>
                <w:szCs w:val="22"/>
              </w:rPr>
            </w:pPr>
            <w:r w:rsidRPr="00931EC1">
              <w:rPr>
                <w:rFonts w:ascii="Arial" w:hAnsi="Arial" w:cs="Arial"/>
                <w:sz w:val="22"/>
                <w:szCs w:val="22"/>
              </w:rPr>
              <w:t>1,323,008</w:t>
            </w:r>
          </w:p>
        </w:tc>
      </w:tr>
    </w:tbl>
    <w:p w14:paraId="14CB8CB6" w14:textId="77777777" w:rsidR="00E3237A" w:rsidRDefault="00E3237A" w:rsidP="003C45DA">
      <w:pPr>
        <w:ind w:left="426"/>
        <w:rPr>
          <w:rFonts w:ascii="Arial" w:hAnsi="Arial" w:cs="Arial"/>
          <w:b/>
          <w:sz w:val="22"/>
          <w:szCs w:val="22"/>
        </w:rPr>
      </w:pPr>
    </w:p>
    <w:p w14:paraId="0F065CD8" w14:textId="77777777" w:rsidR="004F15D8" w:rsidRDefault="004F15D8" w:rsidP="003C45DA">
      <w:pPr>
        <w:ind w:left="426"/>
        <w:rPr>
          <w:rFonts w:ascii="Arial" w:hAnsi="Arial" w:cs="Arial"/>
          <w:b/>
          <w:sz w:val="22"/>
          <w:szCs w:val="22"/>
        </w:rPr>
      </w:pPr>
    </w:p>
    <w:p w14:paraId="3F8A2AE3" w14:textId="545C20C9" w:rsidR="003C45DA" w:rsidRPr="008A0A4E" w:rsidRDefault="003C45DA" w:rsidP="003C45DA">
      <w:pPr>
        <w:ind w:left="426"/>
        <w:rPr>
          <w:rFonts w:ascii="Arial" w:hAnsi="Arial" w:cs="Arial"/>
          <w:b/>
          <w:sz w:val="22"/>
          <w:szCs w:val="22"/>
        </w:rPr>
      </w:pPr>
      <w:r w:rsidRPr="008A0A4E">
        <w:rPr>
          <w:rFonts w:ascii="Arial" w:hAnsi="Arial" w:cs="Arial"/>
          <w:b/>
          <w:sz w:val="22"/>
          <w:szCs w:val="22"/>
        </w:rPr>
        <w:t>Interest rate risk</w:t>
      </w:r>
    </w:p>
    <w:p w14:paraId="329C28FF" w14:textId="77777777" w:rsidR="003C45DA" w:rsidRPr="008A0A4E" w:rsidRDefault="003C45DA" w:rsidP="003C45DA">
      <w:pPr>
        <w:rPr>
          <w:rFonts w:ascii="Arial" w:hAnsi="Arial" w:cs="Arial"/>
          <w:sz w:val="22"/>
          <w:szCs w:val="22"/>
        </w:rPr>
      </w:pPr>
    </w:p>
    <w:p w14:paraId="2BDD9302"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The Fund invests in financial assets for the primary purpose of obtaining a return on investments.  These investments are subject to interest rate risks, which represent the risk that the fair value or future cash flows of a financial instrument will fluctuate because of changes in market interest rates.</w:t>
      </w:r>
    </w:p>
    <w:p w14:paraId="6E5D7B6E" w14:textId="77777777" w:rsidR="003C45DA" w:rsidRPr="008A0A4E" w:rsidRDefault="003C45DA" w:rsidP="003C45DA">
      <w:pPr>
        <w:jc w:val="both"/>
        <w:rPr>
          <w:rFonts w:ascii="Arial" w:hAnsi="Arial" w:cs="Arial"/>
          <w:sz w:val="22"/>
          <w:szCs w:val="22"/>
        </w:rPr>
      </w:pPr>
    </w:p>
    <w:p w14:paraId="135524A6"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The Fund’s interest rate risk is monitored by the Council and its investment advisors in accordance with the Fund’s risk management strategy, including monitoring the exposure to interest rates and assessment of actual interest rates against the relevant benchmarks.</w:t>
      </w:r>
    </w:p>
    <w:p w14:paraId="446BA72E" w14:textId="77777777" w:rsidR="003C45DA" w:rsidRPr="008A0A4E" w:rsidRDefault="003C45DA" w:rsidP="003C45DA">
      <w:pPr>
        <w:jc w:val="both"/>
        <w:rPr>
          <w:rFonts w:ascii="Arial" w:hAnsi="Arial" w:cs="Arial"/>
          <w:sz w:val="22"/>
          <w:szCs w:val="22"/>
        </w:rPr>
      </w:pPr>
    </w:p>
    <w:p w14:paraId="70F9765C" w14:textId="24EA64B3" w:rsidR="003C45DA" w:rsidRDefault="003C45DA" w:rsidP="003C45DA">
      <w:pPr>
        <w:ind w:left="426"/>
        <w:jc w:val="both"/>
        <w:rPr>
          <w:rFonts w:ascii="Arial" w:hAnsi="Arial" w:cs="Arial"/>
          <w:sz w:val="22"/>
          <w:szCs w:val="22"/>
        </w:rPr>
      </w:pPr>
      <w:r w:rsidRPr="008A0A4E">
        <w:rPr>
          <w:rFonts w:ascii="Arial" w:hAnsi="Arial" w:cs="Arial"/>
          <w:sz w:val="22"/>
          <w:szCs w:val="22"/>
        </w:rPr>
        <w:t xml:space="preserve">The Fund’s direct exposure to interest movements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3F24FB">
        <w:rPr>
          <w:rFonts w:ascii="Arial" w:hAnsi="Arial" w:cs="Arial"/>
          <w:sz w:val="22"/>
          <w:szCs w:val="22"/>
        </w:rPr>
        <w:t>2</w:t>
      </w:r>
      <w:r w:rsidR="005025AB">
        <w:rPr>
          <w:rFonts w:ascii="Arial" w:hAnsi="Arial" w:cs="Arial"/>
          <w:sz w:val="22"/>
          <w:szCs w:val="22"/>
        </w:rPr>
        <w:t>4</w:t>
      </w:r>
      <w:r w:rsidRPr="008A0A4E">
        <w:rPr>
          <w:rFonts w:ascii="Arial" w:hAnsi="Arial" w:cs="Arial"/>
          <w:sz w:val="22"/>
          <w:szCs w:val="22"/>
        </w:rPr>
        <w:t xml:space="preserve"> and 31 March 20</w:t>
      </w:r>
      <w:r w:rsidR="0057768D" w:rsidRPr="008A0A4E">
        <w:rPr>
          <w:rFonts w:ascii="Arial" w:hAnsi="Arial" w:cs="Arial"/>
          <w:sz w:val="22"/>
          <w:szCs w:val="22"/>
        </w:rPr>
        <w:t>2</w:t>
      </w:r>
      <w:r w:rsidR="005025AB">
        <w:rPr>
          <w:rFonts w:ascii="Arial" w:hAnsi="Arial" w:cs="Arial"/>
          <w:sz w:val="22"/>
          <w:szCs w:val="22"/>
        </w:rPr>
        <w:t>5</w:t>
      </w:r>
      <w:r w:rsidRPr="008A0A4E">
        <w:rPr>
          <w:rFonts w:ascii="Arial" w:hAnsi="Arial" w:cs="Arial"/>
          <w:sz w:val="22"/>
          <w:szCs w:val="22"/>
        </w:rPr>
        <w:t xml:space="preserve"> is set out below.  These disclosures present interest rate risk based on the underlying financial assets at fair value:</w:t>
      </w:r>
    </w:p>
    <w:p w14:paraId="75A42235" w14:textId="77777777" w:rsidR="00446CA2" w:rsidRDefault="00446CA2" w:rsidP="003C45DA">
      <w:pPr>
        <w:ind w:left="426"/>
        <w:jc w:val="both"/>
        <w:rPr>
          <w:rFonts w:ascii="Arial" w:hAnsi="Arial" w:cs="Arial"/>
          <w:sz w:val="22"/>
          <w:szCs w:val="22"/>
        </w:rPr>
      </w:pPr>
    </w:p>
    <w:p w14:paraId="72B2C4B4" w14:textId="77777777" w:rsidR="00446CA2" w:rsidRPr="008A0A4E" w:rsidRDefault="00446CA2" w:rsidP="003C45DA">
      <w:pPr>
        <w:ind w:left="426"/>
        <w:jc w:val="both"/>
        <w:rPr>
          <w:rFonts w:ascii="Arial" w:hAnsi="Arial" w:cs="Arial"/>
          <w:sz w:val="22"/>
          <w:szCs w:val="22"/>
        </w:rPr>
      </w:pPr>
    </w:p>
    <w:p w14:paraId="2D3EA1C8" w14:textId="77777777" w:rsidR="003C45DA" w:rsidRPr="008A0A4E" w:rsidRDefault="003C45DA" w:rsidP="00A6147C">
      <w:pPr>
        <w:jc w:val="both"/>
        <w:rPr>
          <w:rFonts w:ascii="Arial" w:hAnsi="Arial" w:cs="Arial"/>
          <w:sz w:val="22"/>
          <w:szCs w:val="22"/>
        </w:rPr>
      </w:pPr>
    </w:p>
    <w:tbl>
      <w:tblPr>
        <w:tblW w:w="8505" w:type="dxa"/>
        <w:tblInd w:w="534" w:type="dxa"/>
        <w:tblLook w:val="00A0" w:firstRow="1" w:lastRow="0" w:firstColumn="1" w:lastColumn="0" w:noHBand="0" w:noVBand="0"/>
      </w:tblPr>
      <w:tblGrid>
        <w:gridCol w:w="4323"/>
        <w:gridCol w:w="1745"/>
        <w:gridCol w:w="597"/>
        <w:gridCol w:w="1840"/>
      </w:tblGrid>
      <w:tr w:rsidR="003C45DA" w:rsidRPr="00B64150" w14:paraId="49AF18CC" w14:textId="77777777" w:rsidTr="00DF3ECC">
        <w:trPr>
          <w:trHeight w:val="352"/>
        </w:trPr>
        <w:tc>
          <w:tcPr>
            <w:tcW w:w="4323" w:type="dxa"/>
            <w:tcBorders>
              <w:top w:val="nil"/>
              <w:left w:val="nil"/>
              <w:bottom w:val="nil"/>
              <w:right w:val="nil"/>
            </w:tcBorders>
            <w:shd w:val="clear" w:color="000000" w:fill="FFFFFF"/>
            <w:noWrap/>
            <w:vAlign w:val="bottom"/>
          </w:tcPr>
          <w:p w14:paraId="56D140F5" w14:textId="77777777" w:rsidR="003C45DA" w:rsidRPr="008A0A4E" w:rsidRDefault="003C45DA" w:rsidP="00DF3ECC">
            <w:pPr>
              <w:ind w:left="-108"/>
              <w:rPr>
                <w:rFonts w:ascii="Arial" w:hAnsi="Arial" w:cs="Arial"/>
                <w:b/>
                <w:bCs/>
                <w:color w:val="000000"/>
                <w:sz w:val="22"/>
                <w:szCs w:val="22"/>
              </w:rPr>
            </w:pPr>
            <w:r w:rsidRPr="008A0A4E">
              <w:rPr>
                <w:rFonts w:ascii="Arial" w:hAnsi="Arial" w:cs="Arial"/>
                <w:b/>
                <w:bCs/>
                <w:color w:val="000000"/>
                <w:sz w:val="22"/>
                <w:szCs w:val="22"/>
              </w:rPr>
              <w:t>Asset type</w:t>
            </w:r>
          </w:p>
        </w:tc>
        <w:tc>
          <w:tcPr>
            <w:tcW w:w="1745" w:type="dxa"/>
            <w:tcBorders>
              <w:top w:val="nil"/>
              <w:left w:val="nil"/>
              <w:bottom w:val="nil"/>
              <w:right w:val="nil"/>
            </w:tcBorders>
            <w:shd w:val="clear" w:color="000000" w:fill="FFFFFF"/>
            <w:vAlign w:val="bottom"/>
          </w:tcPr>
          <w:p w14:paraId="34B5E5E6" w14:textId="2B2E074B" w:rsidR="003C45DA" w:rsidRPr="004A3AC2" w:rsidRDefault="003C45DA" w:rsidP="00DF3ECC">
            <w:pPr>
              <w:jc w:val="center"/>
              <w:rPr>
                <w:rFonts w:ascii="Arial" w:hAnsi="Arial" w:cs="Arial"/>
                <w:b/>
                <w:color w:val="000000"/>
                <w:sz w:val="22"/>
                <w:szCs w:val="22"/>
              </w:rPr>
            </w:pPr>
            <w:r w:rsidRPr="004A3AC2">
              <w:rPr>
                <w:rFonts w:ascii="Arial" w:hAnsi="Arial" w:cs="Arial"/>
                <w:b/>
                <w:color w:val="000000"/>
                <w:sz w:val="22"/>
                <w:szCs w:val="22"/>
              </w:rPr>
              <w:t xml:space="preserve">As </w:t>
            </w:r>
            <w:proofErr w:type="gramStart"/>
            <w:r w:rsidRPr="004A3AC2">
              <w:rPr>
                <w:rFonts w:ascii="Arial" w:hAnsi="Arial" w:cs="Arial"/>
                <w:b/>
                <w:color w:val="000000"/>
                <w:sz w:val="22"/>
                <w:szCs w:val="22"/>
              </w:rPr>
              <w:t>at</w:t>
            </w:r>
            <w:proofErr w:type="gramEnd"/>
            <w:r w:rsidRPr="004A3AC2">
              <w:rPr>
                <w:rFonts w:ascii="Arial" w:hAnsi="Arial" w:cs="Arial"/>
                <w:b/>
                <w:color w:val="000000"/>
                <w:sz w:val="22"/>
                <w:szCs w:val="22"/>
              </w:rPr>
              <w:t xml:space="preserve"> 31 March 20</w:t>
            </w:r>
            <w:r w:rsidR="003F24FB" w:rsidRPr="004A3AC2">
              <w:rPr>
                <w:rFonts w:ascii="Arial" w:hAnsi="Arial" w:cs="Arial"/>
                <w:b/>
                <w:color w:val="000000"/>
                <w:sz w:val="22"/>
                <w:szCs w:val="22"/>
              </w:rPr>
              <w:t>2</w:t>
            </w:r>
            <w:r w:rsidR="005025AB" w:rsidRPr="004A3AC2">
              <w:rPr>
                <w:rFonts w:ascii="Arial" w:hAnsi="Arial" w:cs="Arial"/>
                <w:b/>
                <w:color w:val="000000"/>
                <w:sz w:val="22"/>
                <w:szCs w:val="22"/>
              </w:rPr>
              <w:t>4</w:t>
            </w:r>
          </w:p>
        </w:tc>
        <w:tc>
          <w:tcPr>
            <w:tcW w:w="597" w:type="dxa"/>
            <w:tcBorders>
              <w:top w:val="nil"/>
              <w:left w:val="nil"/>
              <w:bottom w:val="nil"/>
              <w:right w:val="nil"/>
            </w:tcBorders>
            <w:shd w:val="clear" w:color="000000" w:fill="FFFFFF"/>
            <w:noWrap/>
            <w:vAlign w:val="bottom"/>
          </w:tcPr>
          <w:p w14:paraId="41417BCD" w14:textId="77777777" w:rsidR="003C45DA" w:rsidRPr="008A0A4E" w:rsidRDefault="003C45DA" w:rsidP="00DF3ECC">
            <w:pPr>
              <w:jc w:val="center"/>
              <w:rPr>
                <w:rFonts w:ascii="Arial" w:hAnsi="Arial" w:cs="Arial"/>
                <w:color w:val="000000"/>
                <w:sz w:val="22"/>
                <w:szCs w:val="22"/>
              </w:rPr>
            </w:pPr>
          </w:p>
        </w:tc>
        <w:tc>
          <w:tcPr>
            <w:tcW w:w="1840" w:type="dxa"/>
            <w:tcBorders>
              <w:top w:val="nil"/>
              <w:left w:val="nil"/>
              <w:bottom w:val="nil"/>
              <w:right w:val="nil"/>
            </w:tcBorders>
            <w:shd w:val="clear" w:color="000000" w:fill="FFFFFF"/>
            <w:vAlign w:val="bottom"/>
          </w:tcPr>
          <w:p w14:paraId="083739BF" w14:textId="205E051E"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 xml:space="preserve">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w:t>
            </w:r>
            <w:r w:rsidR="00E92932" w:rsidRPr="008A0A4E">
              <w:rPr>
                <w:rFonts w:ascii="Arial" w:hAnsi="Arial" w:cs="Arial"/>
                <w:b/>
                <w:bCs/>
                <w:color w:val="000000"/>
                <w:sz w:val="22"/>
                <w:szCs w:val="22"/>
              </w:rPr>
              <w:t>2</w:t>
            </w:r>
            <w:r w:rsidR="005025AB">
              <w:rPr>
                <w:rFonts w:ascii="Arial" w:hAnsi="Arial" w:cs="Arial"/>
                <w:b/>
                <w:bCs/>
                <w:color w:val="000000"/>
                <w:sz w:val="22"/>
                <w:szCs w:val="22"/>
              </w:rPr>
              <w:t>5</w:t>
            </w:r>
          </w:p>
        </w:tc>
      </w:tr>
      <w:tr w:rsidR="003C45DA" w:rsidRPr="00B64150" w14:paraId="7DAF5932" w14:textId="77777777" w:rsidTr="00DF3ECC">
        <w:trPr>
          <w:trHeight w:val="197"/>
        </w:trPr>
        <w:tc>
          <w:tcPr>
            <w:tcW w:w="4323" w:type="dxa"/>
            <w:tcBorders>
              <w:top w:val="nil"/>
              <w:left w:val="nil"/>
              <w:bottom w:val="nil"/>
              <w:right w:val="nil"/>
            </w:tcBorders>
            <w:shd w:val="clear" w:color="000000" w:fill="FFFFFF"/>
            <w:noWrap/>
            <w:vAlign w:val="bottom"/>
          </w:tcPr>
          <w:p w14:paraId="5D571DBA" w14:textId="77777777" w:rsidR="003C45DA" w:rsidRPr="008A0A4E" w:rsidRDefault="003C45DA" w:rsidP="00DF3ECC">
            <w:pPr>
              <w:rPr>
                <w:rFonts w:ascii="Arial" w:hAnsi="Arial" w:cs="Arial"/>
                <w:b/>
                <w:bCs/>
                <w:color w:val="000000"/>
                <w:sz w:val="22"/>
                <w:szCs w:val="22"/>
              </w:rPr>
            </w:pPr>
            <w:r w:rsidRPr="008A0A4E">
              <w:rPr>
                <w:rFonts w:ascii="Arial" w:hAnsi="Arial" w:cs="Arial"/>
                <w:b/>
                <w:bCs/>
                <w:color w:val="000000"/>
                <w:sz w:val="22"/>
                <w:szCs w:val="22"/>
              </w:rPr>
              <w:t> </w:t>
            </w:r>
          </w:p>
        </w:tc>
        <w:tc>
          <w:tcPr>
            <w:tcW w:w="1745" w:type="dxa"/>
            <w:tcBorders>
              <w:top w:val="nil"/>
              <w:left w:val="nil"/>
              <w:bottom w:val="nil"/>
              <w:right w:val="nil"/>
            </w:tcBorders>
            <w:shd w:val="clear" w:color="000000" w:fill="FFFFFF"/>
            <w:vAlign w:val="bottom"/>
          </w:tcPr>
          <w:p w14:paraId="721C5DAE" w14:textId="77777777" w:rsidR="003C45DA" w:rsidRPr="004A3AC2" w:rsidRDefault="003C45DA" w:rsidP="00DF3ECC">
            <w:pPr>
              <w:jc w:val="center"/>
              <w:rPr>
                <w:rFonts w:ascii="Arial" w:hAnsi="Arial" w:cs="Arial"/>
                <w:b/>
                <w:color w:val="000000"/>
                <w:sz w:val="22"/>
                <w:szCs w:val="22"/>
              </w:rPr>
            </w:pPr>
            <w:r w:rsidRPr="004A3AC2">
              <w:rPr>
                <w:rFonts w:ascii="Arial" w:hAnsi="Arial" w:cs="Arial"/>
                <w:b/>
                <w:sz w:val="22"/>
                <w:szCs w:val="22"/>
              </w:rPr>
              <w:t>£000</w:t>
            </w:r>
          </w:p>
        </w:tc>
        <w:tc>
          <w:tcPr>
            <w:tcW w:w="597" w:type="dxa"/>
            <w:tcBorders>
              <w:top w:val="nil"/>
              <w:left w:val="nil"/>
              <w:bottom w:val="nil"/>
              <w:right w:val="nil"/>
            </w:tcBorders>
            <w:shd w:val="clear" w:color="000000" w:fill="FFFFFF"/>
            <w:noWrap/>
            <w:vAlign w:val="bottom"/>
          </w:tcPr>
          <w:p w14:paraId="4542D8BE" w14:textId="77777777" w:rsidR="003C45DA" w:rsidRPr="008A0A4E" w:rsidRDefault="003C45DA" w:rsidP="00DF3ECC">
            <w:pPr>
              <w:jc w:val="center"/>
              <w:rPr>
                <w:rFonts w:ascii="Arial" w:hAnsi="Arial" w:cs="Arial"/>
                <w:color w:val="000000"/>
                <w:sz w:val="22"/>
                <w:szCs w:val="22"/>
              </w:rPr>
            </w:pPr>
          </w:p>
        </w:tc>
        <w:tc>
          <w:tcPr>
            <w:tcW w:w="1840" w:type="dxa"/>
            <w:tcBorders>
              <w:top w:val="nil"/>
              <w:left w:val="nil"/>
              <w:bottom w:val="nil"/>
              <w:right w:val="nil"/>
            </w:tcBorders>
            <w:shd w:val="clear" w:color="000000" w:fill="FFFFFF"/>
            <w:noWrap/>
            <w:vAlign w:val="bottom"/>
          </w:tcPr>
          <w:p w14:paraId="3081C6AB"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sz w:val="22"/>
                <w:szCs w:val="22"/>
              </w:rPr>
              <w:t>£000</w:t>
            </w:r>
          </w:p>
        </w:tc>
      </w:tr>
      <w:tr w:rsidR="00EE2D76" w:rsidRPr="00B64150" w14:paraId="74E6AF61" w14:textId="77777777" w:rsidTr="00DF3ECC">
        <w:trPr>
          <w:trHeight w:val="197"/>
        </w:trPr>
        <w:tc>
          <w:tcPr>
            <w:tcW w:w="4323" w:type="dxa"/>
            <w:tcBorders>
              <w:top w:val="nil"/>
              <w:left w:val="nil"/>
              <w:bottom w:val="nil"/>
              <w:right w:val="nil"/>
            </w:tcBorders>
            <w:shd w:val="clear" w:color="000000" w:fill="FFFFFF"/>
            <w:noWrap/>
            <w:vAlign w:val="bottom"/>
          </w:tcPr>
          <w:p w14:paraId="4AFDD384" w14:textId="6BE1F1EF" w:rsidR="00EE2D76" w:rsidRPr="008A0A4E" w:rsidRDefault="00EE2D76" w:rsidP="00EE2D76">
            <w:pPr>
              <w:ind w:left="-108"/>
              <w:rPr>
                <w:rFonts w:ascii="Arial" w:hAnsi="Arial" w:cs="Arial"/>
                <w:color w:val="000000"/>
                <w:sz w:val="22"/>
                <w:szCs w:val="22"/>
              </w:rPr>
            </w:pPr>
            <w:r w:rsidRPr="008A0A4E">
              <w:rPr>
                <w:rFonts w:ascii="Arial" w:hAnsi="Arial" w:cs="Arial"/>
                <w:color w:val="000000"/>
                <w:sz w:val="22"/>
                <w:szCs w:val="22"/>
              </w:rPr>
              <w:t>Cash and cash equivalent</w:t>
            </w:r>
            <w:r w:rsidR="00BC4237">
              <w:rPr>
                <w:rFonts w:ascii="Arial" w:hAnsi="Arial" w:cs="Arial"/>
                <w:color w:val="000000"/>
                <w:sz w:val="22"/>
                <w:szCs w:val="22"/>
              </w:rPr>
              <w:t>s</w:t>
            </w:r>
          </w:p>
        </w:tc>
        <w:tc>
          <w:tcPr>
            <w:tcW w:w="1745" w:type="dxa"/>
            <w:tcBorders>
              <w:top w:val="nil"/>
              <w:left w:val="nil"/>
              <w:bottom w:val="nil"/>
              <w:right w:val="nil"/>
            </w:tcBorders>
            <w:shd w:val="clear" w:color="000000" w:fill="FFFFFF"/>
            <w:vAlign w:val="center"/>
          </w:tcPr>
          <w:p w14:paraId="06A84EA4" w14:textId="4B6DAD36" w:rsidR="00EE2D76" w:rsidRPr="005025AB" w:rsidRDefault="00EE2D76" w:rsidP="00EE2D76">
            <w:pPr>
              <w:jc w:val="right"/>
              <w:rPr>
                <w:rFonts w:ascii="Arial" w:hAnsi="Arial" w:cs="Arial"/>
                <w:color w:val="000000"/>
                <w:sz w:val="22"/>
                <w:szCs w:val="22"/>
              </w:rPr>
            </w:pPr>
            <w:r w:rsidRPr="005025AB">
              <w:rPr>
                <w:rFonts w:ascii="Arial" w:hAnsi="Arial" w:cs="Arial"/>
                <w:color w:val="000000"/>
                <w:sz w:val="22"/>
                <w:szCs w:val="22"/>
              </w:rPr>
              <w:t>9,417</w:t>
            </w:r>
          </w:p>
        </w:tc>
        <w:tc>
          <w:tcPr>
            <w:tcW w:w="597" w:type="dxa"/>
            <w:tcBorders>
              <w:top w:val="nil"/>
              <w:left w:val="nil"/>
              <w:bottom w:val="nil"/>
              <w:right w:val="nil"/>
            </w:tcBorders>
            <w:shd w:val="clear" w:color="000000" w:fill="FFFFFF"/>
            <w:noWrap/>
          </w:tcPr>
          <w:p w14:paraId="01DD9B56" w14:textId="77777777" w:rsidR="00EE2D76" w:rsidRPr="008A0A4E" w:rsidRDefault="00EE2D76" w:rsidP="00EE2D76">
            <w:pPr>
              <w:jc w:val="right"/>
              <w:rPr>
                <w:rFonts w:ascii="Arial" w:hAnsi="Arial" w:cs="Arial"/>
                <w:sz w:val="22"/>
                <w:szCs w:val="22"/>
              </w:rPr>
            </w:pPr>
          </w:p>
        </w:tc>
        <w:tc>
          <w:tcPr>
            <w:tcW w:w="1840" w:type="dxa"/>
            <w:tcBorders>
              <w:top w:val="nil"/>
              <w:left w:val="nil"/>
              <w:bottom w:val="nil"/>
              <w:right w:val="nil"/>
            </w:tcBorders>
            <w:shd w:val="clear" w:color="000000" w:fill="FFFFFF"/>
            <w:noWrap/>
            <w:vAlign w:val="center"/>
          </w:tcPr>
          <w:p w14:paraId="2D9CD6BC" w14:textId="5E53736D" w:rsidR="00EE2D76" w:rsidRPr="00DB4FB9" w:rsidRDefault="00EE2D76" w:rsidP="00EE2D76">
            <w:pPr>
              <w:jc w:val="right"/>
              <w:rPr>
                <w:rFonts w:ascii="Arial" w:hAnsi="Arial" w:cs="Arial"/>
                <w:b/>
                <w:bCs/>
                <w:color w:val="000000"/>
                <w:sz w:val="22"/>
                <w:szCs w:val="22"/>
              </w:rPr>
            </w:pPr>
            <w:r>
              <w:rPr>
                <w:rFonts w:ascii="Arial" w:hAnsi="Arial" w:cs="Arial"/>
                <w:b/>
                <w:bCs/>
                <w:color w:val="000000"/>
                <w:sz w:val="22"/>
                <w:szCs w:val="22"/>
              </w:rPr>
              <w:t>60,990</w:t>
            </w:r>
          </w:p>
        </w:tc>
      </w:tr>
      <w:tr w:rsidR="00EE2D76" w:rsidRPr="00B64150" w14:paraId="5E0F1E9A" w14:textId="77777777" w:rsidTr="00C01F6A">
        <w:trPr>
          <w:trHeight w:val="197"/>
        </w:trPr>
        <w:tc>
          <w:tcPr>
            <w:tcW w:w="4323" w:type="dxa"/>
            <w:tcBorders>
              <w:top w:val="nil"/>
              <w:left w:val="nil"/>
              <w:bottom w:val="nil"/>
              <w:right w:val="nil"/>
            </w:tcBorders>
            <w:shd w:val="clear" w:color="000000" w:fill="FFFFFF"/>
            <w:noWrap/>
            <w:vAlign w:val="bottom"/>
          </w:tcPr>
          <w:p w14:paraId="50E31F36" w14:textId="0FE90CBA" w:rsidR="00EE2D76" w:rsidRPr="008A0A4E" w:rsidRDefault="00EE2D76" w:rsidP="00EE2D76">
            <w:pPr>
              <w:ind w:left="-108"/>
              <w:rPr>
                <w:rFonts w:ascii="Arial" w:hAnsi="Arial" w:cs="Arial"/>
                <w:color w:val="000000"/>
                <w:sz w:val="22"/>
                <w:szCs w:val="22"/>
              </w:rPr>
            </w:pPr>
            <w:r>
              <w:rPr>
                <w:rFonts w:ascii="Arial" w:hAnsi="Arial" w:cs="Arial"/>
                <w:color w:val="000000"/>
                <w:sz w:val="22"/>
                <w:szCs w:val="22"/>
              </w:rPr>
              <w:t>Bonds</w:t>
            </w:r>
          </w:p>
        </w:tc>
        <w:tc>
          <w:tcPr>
            <w:tcW w:w="1745" w:type="dxa"/>
            <w:tcBorders>
              <w:top w:val="nil"/>
              <w:left w:val="nil"/>
              <w:bottom w:val="single" w:sz="8" w:space="0" w:color="auto"/>
              <w:right w:val="nil"/>
            </w:tcBorders>
            <w:shd w:val="clear" w:color="000000" w:fill="FFFFFF"/>
            <w:vAlign w:val="center"/>
          </w:tcPr>
          <w:p w14:paraId="343147F0" w14:textId="51B4C36B" w:rsidR="00EE2D76" w:rsidRPr="005025AB" w:rsidRDefault="00EE2D76" w:rsidP="00EE2D76">
            <w:pPr>
              <w:jc w:val="right"/>
              <w:rPr>
                <w:rFonts w:ascii="Arial" w:hAnsi="Arial" w:cs="Arial"/>
                <w:color w:val="000000"/>
                <w:sz w:val="22"/>
                <w:szCs w:val="22"/>
              </w:rPr>
            </w:pPr>
            <w:r w:rsidRPr="005025AB">
              <w:rPr>
                <w:rFonts w:ascii="Arial" w:hAnsi="Arial" w:cs="Arial"/>
                <w:color w:val="000000"/>
                <w:sz w:val="22"/>
                <w:szCs w:val="22"/>
              </w:rPr>
              <w:t>119,346</w:t>
            </w:r>
          </w:p>
        </w:tc>
        <w:tc>
          <w:tcPr>
            <w:tcW w:w="597" w:type="dxa"/>
            <w:tcBorders>
              <w:top w:val="nil"/>
              <w:left w:val="nil"/>
              <w:right w:val="nil"/>
            </w:tcBorders>
            <w:shd w:val="clear" w:color="000000" w:fill="FFFFFF"/>
            <w:noWrap/>
          </w:tcPr>
          <w:p w14:paraId="61A19C8D" w14:textId="77777777" w:rsidR="00EE2D76" w:rsidRPr="008A0A4E" w:rsidRDefault="00EE2D76" w:rsidP="00EE2D76">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0FFFA950" w14:textId="46AFE3B9" w:rsidR="00EE2D76" w:rsidRPr="00DB4FB9" w:rsidRDefault="00EE2D76" w:rsidP="00EE2D76">
            <w:pPr>
              <w:jc w:val="right"/>
              <w:rPr>
                <w:rFonts w:ascii="Arial" w:hAnsi="Arial" w:cs="Arial"/>
                <w:b/>
                <w:bCs/>
                <w:color w:val="000000"/>
                <w:sz w:val="22"/>
                <w:szCs w:val="22"/>
              </w:rPr>
            </w:pPr>
            <w:r>
              <w:rPr>
                <w:rFonts w:ascii="Arial" w:hAnsi="Arial" w:cs="Arial"/>
                <w:b/>
                <w:bCs/>
                <w:color w:val="000000"/>
                <w:sz w:val="22"/>
                <w:szCs w:val="22"/>
              </w:rPr>
              <w:t>124,645</w:t>
            </w:r>
          </w:p>
        </w:tc>
      </w:tr>
      <w:tr w:rsidR="00EE2D76" w:rsidRPr="00B64150" w14:paraId="6B45DD71" w14:textId="77777777" w:rsidTr="00C01F6A">
        <w:trPr>
          <w:trHeight w:val="197"/>
        </w:trPr>
        <w:tc>
          <w:tcPr>
            <w:tcW w:w="4323" w:type="dxa"/>
            <w:tcBorders>
              <w:top w:val="nil"/>
              <w:left w:val="nil"/>
              <w:bottom w:val="nil"/>
              <w:right w:val="nil"/>
            </w:tcBorders>
            <w:shd w:val="clear" w:color="000000" w:fill="FFFFFF"/>
            <w:noWrap/>
            <w:vAlign w:val="bottom"/>
          </w:tcPr>
          <w:p w14:paraId="0515F129" w14:textId="77777777" w:rsidR="00EE2D76" w:rsidRPr="008A0A4E" w:rsidRDefault="00EE2D76" w:rsidP="00EE2D76">
            <w:pPr>
              <w:ind w:left="-108"/>
              <w:rPr>
                <w:rFonts w:ascii="Arial" w:hAnsi="Arial" w:cs="Arial"/>
                <w:b/>
                <w:bCs/>
                <w:color w:val="000000"/>
                <w:sz w:val="22"/>
                <w:szCs w:val="22"/>
              </w:rPr>
            </w:pPr>
            <w:r w:rsidRPr="008A0A4E">
              <w:rPr>
                <w:rFonts w:ascii="Arial" w:hAnsi="Arial" w:cs="Arial"/>
                <w:b/>
                <w:bCs/>
                <w:color w:val="000000"/>
                <w:sz w:val="22"/>
                <w:szCs w:val="22"/>
              </w:rPr>
              <w:t xml:space="preserve">Total </w:t>
            </w:r>
          </w:p>
        </w:tc>
        <w:tc>
          <w:tcPr>
            <w:tcW w:w="1745" w:type="dxa"/>
            <w:tcBorders>
              <w:top w:val="single" w:sz="8" w:space="0" w:color="auto"/>
              <w:left w:val="nil"/>
              <w:bottom w:val="double" w:sz="4" w:space="0" w:color="auto"/>
              <w:right w:val="nil"/>
            </w:tcBorders>
            <w:shd w:val="clear" w:color="000000" w:fill="FFFFFF"/>
            <w:vAlign w:val="center"/>
          </w:tcPr>
          <w:p w14:paraId="35D164FF" w14:textId="561C0C88" w:rsidR="00EE2D76" w:rsidRPr="005025AB" w:rsidRDefault="00EE2D76" w:rsidP="00EE2D76">
            <w:pPr>
              <w:jc w:val="right"/>
              <w:rPr>
                <w:rFonts w:ascii="Arial" w:hAnsi="Arial" w:cs="Arial"/>
                <w:color w:val="000000"/>
                <w:sz w:val="22"/>
                <w:szCs w:val="22"/>
              </w:rPr>
            </w:pPr>
            <w:r w:rsidRPr="005025AB">
              <w:rPr>
                <w:rFonts w:ascii="Arial" w:hAnsi="Arial" w:cs="Arial"/>
                <w:color w:val="000000"/>
                <w:sz w:val="22"/>
                <w:szCs w:val="22"/>
              </w:rPr>
              <w:t>128,763</w:t>
            </w:r>
          </w:p>
        </w:tc>
        <w:tc>
          <w:tcPr>
            <w:tcW w:w="597" w:type="dxa"/>
            <w:tcBorders>
              <w:left w:val="nil"/>
              <w:right w:val="nil"/>
            </w:tcBorders>
            <w:shd w:val="clear" w:color="000000" w:fill="FFFFFF"/>
            <w:noWrap/>
          </w:tcPr>
          <w:p w14:paraId="3D1C5FD5" w14:textId="77777777" w:rsidR="00EE2D76" w:rsidRPr="008A0A4E" w:rsidRDefault="00EE2D76" w:rsidP="00EE2D76">
            <w:pPr>
              <w:jc w:val="right"/>
              <w:rPr>
                <w:rFonts w:ascii="Arial" w:hAnsi="Arial" w:cs="Arial"/>
                <w:sz w:val="22"/>
                <w:szCs w:val="22"/>
              </w:rPr>
            </w:pPr>
          </w:p>
        </w:tc>
        <w:tc>
          <w:tcPr>
            <w:tcW w:w="1840" w:type="dxa"/>
            <w:tcBorders>
              <w:top w:val="single" w:sz="8" w:space="0" w:color="auto"/>
              <w:left w:val="nil"/>
              <w:bottom w:val="double" w:sz="4" w:space="0" w:color="auto"/>
              <w:right w:val="nil"/>
            </w:tcBorders>
            <w:shd w:val="clear" w:color="000000" w:fill="FFFFFF"/>
            <w:noWrap/>
            <w:vAlign w:val="center"/>
          </w:tcPr>
          <w:p w14:paraId="04953604" w14:textId="37D80E50" w:rsidR="00EE2D76" w:rsidRPr="00DB4FB9" w:rsidRDefault="00EE2D76" w:rsidP="00EE2D76">
            <w:pPr>
              <w:jc w:val="right"/>
              <w:rPr>
                <w:rFonts w:ascii="Arial" w:hAnsi="Arial" w:cs="Arial"/>
                <w:b/>
                <w:bCs/>
                <w:color w:val="000000"/>
                <w:sz w:val="22"/>
                <w:szCs w:val="22"/>
              </w:rPr>
            </w:pPr>
            <w:r>
              <w:rPr>
                <w:rFonts w:ascii="Arial" w:hAnsi="Arial" w:cs="Arial"/>
                <w:b/>
                <w:bCs/>
                <w:color w:val="000000"/>
                <w:sz w:val="22"/>
                <w:szCs w:val="22"/>
              </w:rPr>
              <w:t>185,635</w:t>
            </w:r>
          </w:p>
        </w:tc>
      </w:tr>
    </w:tbl>
    <w:p w14:paraId="724D1569" w14:textId="77777777" w:rsidR="003C45DA" w:rsidRPr="008A0A4E" w:rsidRDefault="003C45DA" w:rsidP="003C45DA">
      <w:pPr>
        <w:ind w:firstLine="426"/>
        <w:rPr>
          <w:rFonts w:ascii="Arial" w:hAnsi="Arial" w:cs="Arial"/>
          <w:b/>
          <w:sz w:val="22"/>
          <w:szCs w:val="22"/>
        </w:rPr>
      </w:pPr>
    </w:p>
    <w:p w14:paraId="123B4393" w14:textId="77777777" w:rsidR="003C45DA" w:rsidRPr="008A0A4E" w:rsidRDefault="003C45DA" w:rsidP="003C45DA">
      <w:pPr>
        <w:ind w:firstLine="426"/>
        <w:rPr>
          <w:rFonts w:ascii="Arial" w:hAnsi="Arial" w:cs="Arial"/>
          <w:sz w:val="22"/>
          <w:szCs w:val="22"/>
        </w:rPr>
      </w:pPr>
      <w:r w:rsidRPr="008A0A4E">
        <w:rPr>
          <w:rFonts w:ascii="Arial" w:hAnsi="Arial" w:cs="Arial"/>
          <w:b/>
          <w:sz w:val="22"/>
          <w:szCs w:val="22"/>
        </w:rPr>
        <w:t>Interest rate risk sensitivity analysis</w:t>
      </w:r>
      <w:r w:rsidRPr="008A0A4E">
        <w:rPr>
          <w:rFonts w:ascii="Arial" w:hAnsi="Arial" w:cs="Arial"/>
          <w:color w:val="000000"/>
          <w:sz w:val="22"/>
          <w:szCs w:val="22"/>
        </w:rPr>
        <w:t xml:space="preserve">           </w:t>
      </w:r>
    </w:p>
    <w:p w14:paraId="069C1D92" w14:textId="77777777" w:rsidR="003C45DA" w:rsidRPr="00DB4FB9" w:rsidRDefault="003C45DA" w:rsidP="00DB4FB9">
      <w:r w:rsidRPr="008A0A4E">
        <w:rPr>
          <w:rFonts w:ascii="Arial" w:hAnsi="Arial" w:cs="Arial"/>
          <w:color w:val="000000"/>
          <w:sz w:val="22"/>
          <w:szCs w:val="22"/>
        </w:rPr>
        <w:t xml:space="preserve">          </w:t>
      </w:r>
    </w:p>
    <w:p w14:paraId="2E27223D"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The Council recognises that interest rates can vary and can affect both income to the Fund and the value of the net assets available to pay benefits. A 100-basis point (BPS) movement in interest rates in consistent with the level of sensitivity applied as part of the Fund’s risk management strategy. </w:t>
      </w:r>
    </w:p>
    <w:p w14:paraId="2E593A7B" w14:textId="77777777" w:rsidR="003C45DA" w:rsidRPr="008A0A4E" w:rsidRDefault="003C45DA" w:rsidP="003C45DA">
      <w:pPr>
        <w:ind w:left="426"/>
        <w:jc w:val="both"/>
        <w:rPr>
          <w:rFonts w:ascii="Arial" w:hAnsi="Arial" w:cs="Arial"/>
          <w:sz w:val="22"/>
          <w:szCs w:val="22"/>
        </w:rPr>
      </w:pPr>
    </w:p>
    <w:p w14:paraId="5701A1D0" w14:textId="4C34ABD8" w:rsidR="0015027E" w:rsidRDefault="003C45DA" w:rsidP="009B55FC">
      <w:pPr>
        <w:ind w:left="426"/>
        <w:jc w:val="both"/>
        <w:rPr>
          <w:rFonts w:ascii="Arial" w:hAnsi="Arial" w:cs="Arial"/>
          <w:sz w:val="22"/>
          <w:szCs w:val="22"/>
        </w:rPr>
      </w:pPr>
      <w:r w:rsidRPr="008A0A4E">
        <w:rPr>
          <w:rFonts w:ascii="Arial" w:hAnsi="Arial" w:cs="Arial"/>
          <w:sz w:val="22"/>
          <w:szCs w:val="22"/>
        </w:rPr>
        <w:t>The Fund’s investment advisor has advised that long-term average rates are expected to move less than 100 BPS from one year to the next and experience suggests that such movements are likely. The analysis that follows assumes that all other variables, in particular exchange rates, remain constant, and shows the effect in the year on the net assets available to pay benefits of a +/- 100 BPS change in interest rates:</w:t>
      </w:r>
    </w:p>
    <w:p w14:paraId="6E29B2FF" w14:textId="77777777" w:rsidR="00315A04" w:rsidRDefault="00315A04" w:rsidP="009B55FC">
      <w:pPr>
        <w:ind w:left="426"/>
        <w:jc w:val="both"/>
        <w:rPr>
          <w:rFonts w:ascii="Arial" w:hAnsi="Arial" w:cs="Arial"/>
          <w:sz w:val="22"/>
          <w:szCs w:val="22"/>
        </w:rPr>
      </w:pPr>
    </w:p>
    <w:p w14:paraId="7EB153F3" w14:textId="77777777" w:rsidR="00034162" w:rsidRDefault="00034162" w:rsidP="009B55FC">
      <w:pPr>
        <w:ind w:left="426"/>
        <w:jc w:val="both"/>
        <w:rPr>
          <w:rFonts w:ascii="Arial" w:hAnsi="Arial" w:cs="Arial"/>
          <w:sz w:val="22"/>
          <w:szCs w:val="22"/>
        </w:rPr>
      </w:pPr>
    </w:p>
    <w:tbl>
      <w:tblPr>
        <w:tblW w:w="8764" w:type="dxa"/>
        <w:jc w:val="center"/>
        <w:tblLook w:val="00A0" w:firstRow="1" w:lastRow="0" w:firstColumn="1" w:lastColumn="0" w:noHBand="0" w:noVBand="0"/>
      </w:tblPr>
      <w:tblGrid>
        <w:gridCol w:w="2835"/>
        <w:gridCol w:w="2515"/>
        <w:gridCol w:w="1856"/>
        <w:gridCol w:w="1558"/>
      </w:tblGrid>
      <w:tr w:rsidR="00034162" w:rsidRPr="00B64150" w14:paraId="652BDA13" w14:textId="77777777" w:rsidTr="009F4CF0">
        <w:trPr>
          <w:trHeight w:val="326"/>
          <w:jc w:val="center"/>
        </w:trPr>
        <w:tc>
          <w:tcPr>
            <w:tcW w:w="2835" w:type="dxa"/>
            <w:tcBorders>
              <w:top w:val="nil"/>
              <w:left w:val="nil"/>
              <w:bottom w:val="nil"/>
              <w:right w:val="nil"/>
            </w:tcBorders>
            <w:shd w:val="clear" w:color="000000" w:fill="FFFFFF"/>
            <w:noWrap/>
            <w:vAlign w:val="bottom"/>
          </w:tcPr>
          <w:p w14:paraId="4FFDBE67" w14:textId="77777777" w:rsidR="00034162" w:rsidRPr="008A0A4E" w:rsidRDefault="00034162" w:rsidP="009F4CF0">
            <w:pPr>
              <w:ind w:left="-93"/>
              <w:jc w:val="center"/>
              <w:rPr>
                <w:rFonts w:ascii="Arial" w:hAnsi="Arial" w:cs="Arial"/>
                <w:b/>
                <w:bCs/>
                <w:color w:val="000000"/>
                <w:sz w:val="22"/>
                <w:szCs w:val="22"/>
              </w:rPr>
            </w:pPr>
            <w:r w:rsidRPr="008A0A4E">
              <w:rPr>
                <w:rFonts w:ascii="Arial" w:hAnsi="Arial" w:cs="Arial"/>
                <w:b/>
                <w:bCs/>
                <w:color w:val="000000"/>
                <w:sz w:val="22"/>
                <w:szCs w:val="22"/>
              </w:rPr>
              <w:t>Asset type</w:t>
            </w:r>
          </w:p>
        </w:tc>
        <w:tc>
          <w:tcPr>
            <w:tcW w:w="2515" w:type="dxa"/>
            <w:tcBorders>
              <w:top w:val="nil"/>
              <w:left w:val="nil"/>
              <w:bottom w:val="nil"/>
              <w:right w:val="nil"/>
            </w:tcBorders>
            <w:shd w:val="clear" w:color="000000" w:fill="FFFFFF"/>
            <w:vAlign w:val="bottom"/>
          </w:tcPr>
          <w:p w14:paraId="547E5F71" w14:textId="77777777" w:rsidR="00034162" w:rsidRPr="008A0A4E" w:rsidRDefault="00034162" w:rsidP="009F4CF0">
            <w:pPr>
              <w:ind w:left="34"/>
              <w:jc w:val="center"/>
              <w:rPr>
                <w:rFonts w:ascii="Arial" w:hAnsi="Arial" w:cs="Arial"/>
                <w:b/>
                <w:bCs/>
                <w:color w:val="000000"/>
                <w:sz w:val="22"/>
                <w:szCs w:val="22"/>
              </w:rPr>
            </w:pPr>
            <w:r w:rsidRPr="008A0A4E">
              <w:rPr>
                <w:rFonts w:ascii="Arial" w:hAnsi="Arial" w:cs="Arial"/>
                <w:b/>
                <w:bCs/>
                <w:color w:val="000000"/>
                <w:sz w:val="22"/>
                <w:szCs w:val="22"/>
              </w:rPr>
              <w:t xml:space="preserve">Carrying amount 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202</w:t>
            </w:r>
            <w:r>
              <w:rPr>
                <w:rFonts w:ascii="Arial" w:hAnsi="Arial" w:cs="Arial"/>
                <w:b/>
                <w:bCs/>
                <w:color w:val="000000"/>
                <w:sz w:val="22"/>
                <w:szCs w:val="22"/>
              </w:rPr>
              <w:t>5</w:t>
            </w:r>
          </w:p>
        </w:tc>
        <w:tc>
          <w:tcPr>
            <w:tcW w:w="3414" w:type="dxa"/>
            <w:gridSpan w:val="2"/>
            <w:tcBorders>
              <w:top w:val="nil"/>
              <w:left w:val="nil"/>
              <w:bottom w:val="nil"/>
              <w:right w:val="nil"/>
            </w:tcBorders>
            <w:shd w:val="clear" w:color="000000" w:fill="FFFFFF"/>
            <w:vAlign w:val="bottom"/>
          </w:tcPr>
          <w:p w14:paraId="0F204CB8" w14:textId="77777777" w:rsidR="00034162" w:rsidRPr="008A0A4E" w:rsidRDefault="00034162" w:rsidP="009F4CF0">
            <w:pPr>
              <w:ind w:left="-108"/>
              <w:jc w:val="center"/>
              <w:rPr>
                <w:rFonts w:ascii="Arial" w:hAnsi="Arial" w:cs="Arial"/>
                <w:b/>
                <w:bCs/>
                <w:color w:val="000000"/>
                <w:sz w:val="22"/>
                <w:szCs w:val="22"/>
              </w:rPr>
            </w:pPr>
            <w:r w:rsidRPr="008A0A4E">
              <w:rPr>
                <w:rFonts w:ascii="Arial" w:hAnsi="Arial" w:cs="Arial"/>
                <w:b/>
                <w:bCs/>
                <w:color w:val="000000"/>
                <w:sz w:val="22"/>
                <w:szCs w:val="22"/>
              </w:rPr>
              <w:t>Change in year in the net assets available to pay benefits</w:t>
            </w:r>
          </w:p>
        </w:tc>
      </w:tr>
      <w:tr w:rsidR="00034162" w:rsidRPr="00B64150" w14:paraId="4AFBF336" w14:textId="77777777" w:rsidTr="009F4CF0">
        <w:trPr>
          <w:trHeight w:val="275"/>
          <w:jc w:val="center"/>
        </w:trPr>
        <w:tc>
          <w:tcPr>
            <w:tcW w:w="2835" w:type="dxa"/>
            <w:tcBorders>
              <w:top w:val="nil"/>
              <w:left w:val="nil"/>
              <w:bottom w:val="nil"/>
              <w:right w:val="nil"/>
            </w:tcBorders>
            <w:shd w:val="clear" w:color="000000" w:fill="FFFFFF"/>
            <w:noWrap/>
            <w:vAlign w:val="bottom"/>
          </w:tcPr>
          <w:p w14:paraId="5E5A03AF" w14:textId="77777777" w:rsidR="00034162" w:rsidRPr="008A0A4E" w:rsidRDefault="00034162" w:rsidP="009F4CF0">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vAlign w:val="bottom"/>
          </w:tcPr>
          <w:p w14:paraId="3E4C4949" w14:textId="77777777" w:rsidR="00034162" w:rsidRPr="008A0A4E" w:rsidRDefault="00034162" w:rsidP="009F4CF0">
            <w:pPr>
              <w:ind w:left="426"/>
              <w:rPr>
                <w:rFonts w:ascii="Arial" w:hAnsi="Arial" w:cs="Arial"/>
                <w:b/>
                <w:bCs/>
                <w:color w:val="000000"/>
                <w:sz w:val="22"/>
                <w:szCs w:val="22"/>
              </w:rPr>
            </w:pPr>
            <w:r w:rsidRPr="008A0A4E">
              <w:rPr>
                <w:rFonts w:ascii="Arial" w:hAnsi="Arial" w:cs="Arial"/>
                <w:b/>
                <w:bCs/>
                <w:color w:val="000000"/>
                <w:sz w:val="22"/>
                <w:szCs w:val="22"/>
              </w:rPr>
              <w:t> </w:t>
            </w:r>
          </w:p>
        </w:tc>
        <w:tc>
          <w:tcPr>
            <w:tcW w:w="1856" w:type="dxa"/>
            <w:tcBorders>
              <w:top w:val="nil"/>
              <w:left w:val="nil"/>
              <w:bottom w:val="nil"/>
              <w:right w:val="nil"/>
            </w:tcBorders>
            <w:shd w:val="clear" w:color="000000" w:fill="FFFFFF"/>
            <w:noWrap/>
            <w:vAlign w:val="bottom"/>
          </w:tcPr>
          <w:p w14:paraId="0FA440E7" w14:textId="77777777" w:rsidR="00034162" w:rsidRPr="008A0A4E" w:rsidRDefault="00034162" w:rsidP="009F4CF0">
            <w:pPr>
              <w:ind w:left="-129"/>
              <w:jc w:val="center"/>
              <w:rPr>
                <w:rFonts w:ascii="Arial" w:hAnsi="Arial" w:cs="Arial"/>
                <w:b/>
                <w:bCs/>
                <w:color w:val="000000"/>
                <w:sz w:val="22"/>
                <w:szCs w:val="22"/>
              </w:rPr>
            </w:pPr>
            <w:r w:rsidRPr="008A0A4E">
              <w:rPr>
                <w:rFonts w:ascii="Arial" w:hAnsi="Arial" w:cs="Arial"/>
                <w:b/>
                <w:bCs/>
                <w:color w:val="000000"/>
                <w:sz w:val="22"/>
                <w:szCs w:val="22"/>
              </w:rPr>
              <w:t>+100 BPS</w:t>
            </w:r>
          </w:p>
        </w:tc>
        <w:tc>
          <w:tcPr>
            <w:tcW w:w="1558" w:type="dxa"/>
            <w:tcBorders>
              <w:top w:val="nil"/>
              <w:left w:val="nil"/>
              <w:bottom w:val="nil"/>
              <w:right w:val="nil"/>
            </w:tcBorders>
            <w:shd w:val="clear" w:color="000000" w:fill="FFFFFF"/>
            <w:noWrap/>
            <w:vAlign w:val="bottom"/>
          </w:tcPr>
          <w:p w14:paraId="2B5A870E" w14:textId="77777777" w:rsidR="00034162" w:rsidRPr="008A0A4E" w:rsidRDefault="00034162" w:rsidP="009F4CF0">
            <w:pPr>
              <w:ind w:left="39"/>
              <w:jc w:val="center"/>
              <w:rPr>
                <w:rFonts w:ascii="Arial" w:hAnsi="Arial" w:cs="Arial"/>
                <w:b/>
                <w:bCs/>
                <w:color w:val="000000"/>
                <w:sz w:val="22"/>
                <w:szCs w:val="22"/>
              </w:rPr>
            </w:pPr>
            <w:r w:rsidRPr="008A0A4E">
              <w:rPr>
                <w:rFonts w:ascii="Arial" w:hAnsi="Arial" w:cs="Arial"/>
                <w:b/>
                <w:bCs/>
                <w:color w:val="000000"/>
                <w:sz w:val="22"/>
                <w:szCs w:val="22"/>
              </w:rPr>
              <w:t>-100 BPS</w:t>
            </w:r>
          </w:p>
        </w:tc>
      </w:tr>
      <w:tr w:rsidR="00034162" w:rsidRPr="00B64150" w14:paraId="2A16B5CC" w14:textId="77777777" w:rsidTr="009F4CF0">
        <w:trPr>
          <w:trHeight w:val="263"/>
          <w:jc w:val="center"/>
        </w:trPr>
        <w:tc>
          <w:tcPr>
            <w:tcW w:w="2835" w:type="dxa"/>
            <w:tcBorders>
              <w:top w:val="nil"/>
              <w:left w:val="nil"/>
              <w:bottom w:val="nil"/>
              <w:right w:val="nil"/>
            </w:tcBorders>
            <w:shd w:val="clear" w:color="000000" w:fill="FFFFFF"/>
            <w:noWrap/>
            <w:vAlign w:val="bottom"/>
          </w:tcPr>
          <w:p w14:paraId="3EAE3143" w14:textId="77777777" w:rsidR="00034162" w:rsidRPr="008A0A4E" w:rsidRDefault="00034162" w:rsidP="009F4CF0">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tcPr>
          <w:p w14:paraId="3BA4BE97" w14:textId="77777777" w:rsidR="00034162" w:rsidRPr="008A0A4E" w:rsidRDefault="00034162" w:rsidP="009F4CF0">
            <w:pPr>
              <w:ind w:left="426"/>
              <w:jc w:val="right"/>
              <w:rPr>
                <w:rFonts w:ascii="Arial" w:hAnsi="Arial" w:cs="Arial"/>
                <w:b/>
                <w:sz w:val="22"/>
                <w:szCs w:val="22"/>
              </w:rPr>
            </w:pPr>
            <w:r w:rsidRPr="008A0A4E">
              <w:rPr>
                <w:rFonts w:ascii="Arial" w:hAnsi="Arial" w:cs="Arial"/>
                <w:b/>
                <w:bCs/>
                <w:sz w:val="22"/>
                <w:szCs w:val="22"/>
              </w:rPr>
              <w:t>£000</w:t>
            </w:r>
          </w:p>
        </w:tc>
        <w:tc>
          <w:tcPr>
            <w:tcW w:w="1856" w:type="dxa"/>
            <w:tcBorders>
              <w:top w:val="nil"/>
              <w:left w:val="nil"/>
              <w:bottom w:val="nil"/>
              <w:right w:val="nil"/>
            </w:tcBorders>
            <w:shd w:val="clear" w:color="000000" w:fill="FFFFFF"/>
            <w:noWrap/>
          </w:tcPr>
          <w:p w14:paraId="3A308C3C" w14:textId="77777777" w:rsidR="00034162" w:rsidRPr="008A0A4E" w:rsidRDefault="00034162" w:rsidP="009F4CF0">
            <w:pPr>
              <w:ind w:left="426"/>
              <w:jc w:val="right"/>
              <w:rPr>
                <w:rFonts w:ascii="Arial" w:hAnsi="Arial" w:cs="Arial"/>
                <w:b/>
                <w:sz w:val="22"/>
                <w:szCs w:val="22"/>
              </w:rPr>
            </w:pPr>
            <w:r w:rsidRPr="008A0A4E">
              <w:rPr>
                <w:rFonts w:ascii="Arial" w:hAnsi="Arial" w:cs="Arial"/>
                <w:b/>
                <w:bCs/>
                <w:sz w:val="22"/>
                <w:szCs w:val="22"/>
              </w:rPr>
              <w:t>£000</w:t>
            </w:r>
          </w:p>
        </w:tc>
        <w:tc>
          <w:tcPr>
            <w:tcW w:w="1558" w:type="dxa"/>
            <w:tcBorders>
              <w:top w:val="nil"/>
              <w:left w:val="nil"/>
              <w:bottom w:val="nil"/>
              <w:right w:val="nil"/>
            </w:tcBorders>
            <w:shd w:val="clear" w:color="000000" w:fill="FFFFFF"/>
            <w:noWrap/>
          </w:tcPr>
          <w:p w14:paraId="7380AA6B" w14:textId="77777777" w:rsidR="00034162" w:rsidRPr="008A0A4E" w:rsidRDefault="00034162" w:rsidP="009F4CF0">
            <w:pPr>
              <w:ind w:left="426"/>
              <w:jc w:val="right"/>
              <w:rPr>
                <w:rFonts w:ascii="Arial" w:hAnsi="Arial" w:cs="Arial"/>
                <w:b/>
                <w:sz w:val="22"/>
                <w:szCs w:val="22"/>
              </w:rPr>
            </w:pPr>
            <w:r w:rsidRPr="008A0A4E">
              <w:rPr>
                <w:rFonts w:ascii="Arial" w:hAnsi="Arial" w:cs="Arial"/>
                <w:b/>
                <w:bCs/>
                <w:sz w:val="22"/>
                <w:szCs w:val="22"/>
              </w:rPr>
              <w:t>£000</w:t>
            </w:r>
          </w:p>
        </w:tc>
      </w:tr>
      <w:tr w:rsidR="00A21856" w:rsidRPr="00B50AA3" w14:paraId="20B0878A" w14:textId="77777777" w:rsidTr="009F4CF0">
        <w:trPr>
          <w:trHeight w:val="275"/>
          <w:jc w:val="center"/>
        </w:trPr>
        <w:tc>
          <w:tcPr>
            <w:tcW w:w="2835" w:type="dxa"/>
            <w:tcBorders>
              <w:top w:val="nil"/>
              <w:left w:val="nil"/>
              <w:bottom w:val="nil"/>
              <w:right w:val="nil"/>
            </w:tcBorders>
            <w:shd w:val="clear" w:color="000000" w:fill="FFFFFF"/>
            <w:noWrap/>
            <w:vAlign w:val="bottom"/>
          </w:tcPr>
          <w:p w14:paraId="44490E61" w14:textId="765775C7" w:rsidR="00A21856" w:rsidRPr="00B50AA3" w:rsidRDefault="00A21856" w:rsidP="00A21856">
            <w:pPr>
              <w:ind w:left="-93"/>
              <w:rPr>
                <w:rFonts w:ascii="Arial" w:hAnsi="Arial" w:cs="Arial"/>
                <w:bCs/>
                <w:color w:val="000000"/>
                <w:sz w:val="22"/>
                <w:szCs w:val="22"/>
              </w:rPr>
            </w:pPr>
            <w:r w:rsidRPr="00B50AA3">
              <w:rPr>
                <w:rFonts w:ascii="Arial" w:hAnsi="Arial" w:cs="Arial"/>
                <w:bCs/>
                <w:color w:val="000000"/>
                <w:sz w:val="22"/>
                <w:szCs w:val="22"/>
              </w:rPr>
              <w:t>Cash and cash equivalent</w:t>
            </w:r>
            <w:r w:rsidR="00321BD2">
              <w:rPr>
                <w:rFonts w:ascii="Arial" w:hAnsi="Arial" w:cs="Arial"/>
                <w:bCs/>
                <w:color w:val="000000"/>
                <w:sz w:val="22"/>
                <w:szCs w:val="22"/>
              </w:rPr>
              <w:t>s</w:t>
            </w:r>
          </w:p>
        </w:tc>
        <w:tc>
          <w:tcPr>
            <w:tcW w:w="2515" w:type="dxa"/>
            <w:tcBorders>
              <w:top w:val="nil"/>
              <w:left w:val="nil"/>
              <w:bottom w:val="nil"/>
              <w:right w:val="nil"/>
            </w:tcBorders>
            <w:shd w:val="clear" w:color="000000" w:fill="FFFFFF"/>
            <w:noWrap/>
            <w:vAlign w:val="center"/>
          </w:tcPr>
          <w:p w14:paraId="41B96CB7" w14:textId="7553C5F9" w:rsidR="00A21856" w:rsidRPr="00B50AA3" w:rsidRDefault="00A21856" w:rsidP="00A21856">
            <w:pPr>
              <w:jc w:val="right"/>
              <w:rPr>
                <w:rFonts w:ascii="Arial" w:hAnsi="Arial" w:cs="Arial"/>
                <w:bCs/>
                <w:sz w:val="22"/>
                <w:szCs w:val="22"/>
              </w:rPr>
            </w:pPr>
            <w:r>
              <w:rPr>
                <w:rFonts w:ascii="Arial" w:hAnsi="Arial" w:cs="Arial"/>
                <w:bCs/>
                <w:color w:val="000000"/>
                <w:sz w:val="22"/>
                <w:szCs w:val="22"/>
              </w:rPr>
              <w:t>60,990</w:t>
            </w:r>
          </w:p>
        </w:tc>
        <w:tc>
          <w:tcPr>
            <w:tcW w:w="1856" w:type="dxa"/>
            <w:tcBorders>
              <w:top w:val="nil"/>
              <w:left w:val="nil"/>
              <w:bottom w:val="nil"/>
              <w:right w:val="nil"/>
            </w:tcBorders>
            <w:shd w:val="clear" w:color="000000" w:fill="FFFFFF"/>
            <w:noWrap/>
            <w:vAlign w:val="center"/>
          </w:tcPr>
          <w:p w14:paraId="018C7B48" w14:textId="6AEDEC2F" w:rsidR="00A21856" w:rsidRPr="00B50AA3" w:rsidRDefault="00A21856" w:rsidP="00A21856">
            <w:pPr>
              <w:jc w:val="right"/>
              <w:rPr>
                <w:rFonts w:ascii="Arial" w:hAnsi="Arial" w:cs="Arial"/>
                <w:bCs/>
                <w:sz w:val="22"/>
                <w:szCs w:val="22"/>
              </w:rPr>
            </w:pPr>
            <w:r>
              <w:rPr>
                <w:rFonts w:ascii="Arial" w:hAnsi="Arial" w:cs="Arial"/>
                <w:bCs/>
                <w:color w:val="000000"/>
                <w:sz w:val="22"/>
                <w:szCs w:val="22"/>
              </w:rPr>
              <w:t>610</w:t>
            </w:r>
          </w:p>
        </w:tc>
        <w:tc>
          <w:tcPr>
            <w:tcW w:w="1558" w:type="dxa"/>
            <w:tcBorders>
              <w:top w:val="nil"/>
              <w:left w:val="nil"/>
              <w:bottom w:val="nil"/>
              <w:right w:val="nil"/>
            </w:tcBorders>
            <w:shd w:val="clear" w:color="000000" w:fill="FFFFFF"/>
            <w:noWrap/>
            <w:vAlign w:val="center"/>
          </w:tcPr>
          <w:p w14:paraId="0562219F" w14:textId="76D4ED49" w:rsidR="00A21856" w:rsidRPr="00B50AA3" w:rsidRDefault="00A21856" w:rsidP="00A21856">
            <w:pPr>
              <w:jc w:val="right"/>
              <w:rPr>
                <w:rFonts w:ascii="Arial" w:hAnsi="Arial" w:cs="Arial"/>
                <w:bCs/>
                <w:sz w:val="22"/>
                <w:szCs w:val="22"/>
              </w:rPr>
            </w:pPr>
            <w:r>
              <w:rPr>
                <w:rFonts w:ascii="Arial" w:hAnsi="Arial" w:cs="Arial"/>
                <w:bCs/>
                <w:color w:val="000000"/>
                <w:sz w:val="22"/>
                <w:szCs w:val="22"/>
              </w:rPr>
              <w:t>(610)</w:t>
            </w:r>
          </w:p>
        </w:tc>
      </w:tr>
      <w:tr w:rsidR="00A21856" w:rsidRPr="00B50AA3" w14:paraId="2255740B" w14:textId="77777777" w:rsidTr="009F4CF0">
        <w:trPr>
          <w:trHeight w:val="275"/>
          <w:jc w:val="center"/>
        </w:trPr>
        <w:tc>
          <w:tcPr>
            <w:tcW w:w="2835" w:type="dxa"/>
            <w:tcBorders>
              <w:top w:val="nil"/>
              <w:left w:val="nil"/>
              <w:bottom w:val="nil"/>
              <w:right w:val="nil"/>
            </w:tcBorders>
            <w:shd w:val="clear" w:color="000000" w:fill="FFFFFF"/>
            <w:noWrap/>
            <w:vAlign w:val="bottom"/>
          </w:tcPr>
          <w:p w14:paraId="2F4C6FA4" w14:textId="77777777" w:rsidR="00A21856" w:rsidRPr="00B50AA3" w:rsidRDefault="00A21856" w:rsidP="00A21856">
            <w:pPr>
              <w:ind w:left="-93"/>
              <w:rPr>
                <w:rFonts w:ascii="Arial" w:hAnsi="Arial" w:cs="Arial"/>
                <w:bCs/>
                <w:color w:val="000000"/>
                <w:sz w:val="22"/>
                <w:szCs w:val="22"/>
              </w:rPr>
            </w:pPr>
            <w:r w:rsidRPr="00B50AA3">
              <w:rPr>
                <w:rFonts w:ascii="Arial" w:hAnsi="Arial" w:cs="Arial"/>
                <w:bCs/>
                <w:color w:val="000000"/>
                <w:sz w:val="22"/>
                <w:szCs w:val="22"/>
              </w:rPr>
              <w:t>Bonds</w:t>
            </w:r>
          </w:p>
        </w:tc>
        <w:tc>
          <w:tcPr>
            <w:tcW w:w="2515" w:type="dxa"/>
            <w:tcBorders>
              <w:top w:val="nil"/>
              <w:left w:val="nil"/>
              <w:bottom w:val="single" w:sz="8" w:space="0" w:color="auto"/>
              <w:right w:val="nil"/>
            </w:tcBorders>
            <w:shd w:val="clear" w:color="000000" w:fill="FFFFFF"/>
            <w:noWrap/>
            <w:vAlign w:val="center"/>
          </w:tcPr>
          <w:p w14:paraId="2263AB1A" w14:textId="67053C3F" w:rsidR="00A21856" w:rsidRPr="00B50AA3" w:rsidRDefault="00A21856" w:rsidP="00A21856">
            <w:pPr>
              <w:jc w:val="right"/>
              <w:rPr>
                <w:rFonts w:ascii="Arial" w:hAnsi="Arial" w:cs="Arial"/>
                <w:bCs/>
                <w:sz w:val="22"/>
                <w:szCs w:val="22"/>
              </w:rPr>
            </w:pPr>
            <w:r>
              <w:rPr>
                <w:rFonts w:ascii="Arial" w:hAnsi="Arial" w:cs="Arial"/>
                <w:bCs/>
                <w:color w:val="000000"/>
                <w:sz w:val="22"/>
                <w:szCs w:val="22"/>
              </w:rPr>
              <w:t>124,645</w:t>
            </w:r>
          </w:p>
        </w:tc>
        <w:tc>
          <w:tcPr>
            <w:tcW w:w="1856" w:type="dxa"/>
            <w:tcBorders>
              <w:top w:val="nil"/>
              <w:left w:val="nil"/>
              <w:bottom w:val="single" w:sz="8" w:space="0" w:color="auto"/>
              <w:right w:val="nil"/>
            </w:tcBorders>
            <w:shd w:val="clear" w:color="000000" w:fill="FFFFFF"/>
            <w:noWrap/>
            <w:vAlign w:val="center"/>
          </w:tcPr>
          <w:p w14:paraId="64A7CF56" w14:textId="18769E4A" w:rsidR="00A21856" w:rsidRPr="00B50AA3" w:rsidRDefault="00A21856" w:rsidP="00A21856">
            <w:pPr>
              <w:jc w:val="right"/>
              <w:rPr>
                <w:rFonts w:ascii="Arial" w:hAnsi="Arial" w:cs="Arial"/>
                <w:bCs/>
                <w:sz w:val="22"/>
                <w:szCs w:val="22"/>
              </w:rPr>
            </w:pPr>
            <w:r>
              <w:rPr>
                <w:rFonts w:ascii="Arial" w:hAnsi="Arial" w:cs="Arial"/>
                <w:bCs/>
                <w:color w:val="000000"/>
                <w:sz w:val="22"/>
                <w:szCs w:val="22"/>
              </w:rPr>
              <w:t>1,246</w:t>
            </w:r>
          </w:p>
        </w:tc>
        <w:tc>
          <w:tcPr>
            <w:tcW w:w="1558" w:type="dxa"/>
            <w:tcBorders>
              <w:top w:val="nil"/>
              <w:left w:val="nil"/>
              <w:bottom w:val="single" w:sz="8" w:space="0" w:color="auto"/>
              <w:right w:val="nil"/>
            </w:tcBorders>
            <w:shd w:val="clear" w:color="000000" w:fill="FFFFFF"/>
            <w:noWrap/>
            <w:vAlign w:val="center"/>
          </w:tcPr>
          <w:p w14:paraId="14C9F1FF" w14:textId="4AA2DD7A" w:rsidR="00A21856" w:rsidRPr="00B50AA3" w:rsidRDefault="00A21856" w:rsidP="00A21856">
            <w:pPr>
              <w:jc w:val="right"/>
              <w:rPr>
                <w:rFonts w:ascii="Arial" w:hAnsi="Arial" w:cs="Arial"/>
                <w:bCs/>
                <w:sz w:val="22"/>
                <w:szCs w:val="22"/>
              </w:rPr>
            </w:pPr>
            <w:r>
              <w:rPr>
                <w:rFonts w:ascii="Arial" w:hAnsi="Arial" w:cs="Arial"/>
                <w:bCs/>
                <w:color w:val="000000"/>
                <w:sz w:val="22"/>
                <w:szCs w:val="22"/>
              </w:rPr>
              <w:t>(1,246)</w:t>
            </w:r>
          </w:p>
        </w:tc>
      </w:tr>
      <w:tr w:rsidR="00A21856" w:rsidRPr="00B64150" w14:paraId="2449CFB1" w14:textId="77777777" w:rsidTr="009F4CF0">
        <w:trPr>
          <w:trHeight w:val="275"/>
          <w:jc w:val="center"/>
        </w:trPr>
        <w:tc>
          <w:tcPr>
            <w:tcW w:w="2835" w:type="dxa"/>
            <w:tcBorders>
              <w:top w:val="nil"/>
              <w:left w:val="nil"/>
              <w:bottom w:val="nil"/>
              <w:right w:val="nil"/>
            </w:tcBorders>
            <w:shd w:val="clear" w:color="000000" w:fill="FFFFFF"/>
            <w:noWrap/>
            <w:vAlign w:val="bottom"/>
          </w:tcPr>
          <w:p w14:paraId="43518A82" w14:textId="77777777" w:rsidR="00A21856" w:rsidRPr="008A0A4E" w:rsidRDefault="00A21856" w:rsidP="00A21856">
            <w:pPr>
              <w:ind w:left="-93"/>
              <w:rPr>
                <w:rFonts w:ascii="Arial" w:hAnsi="Arial" w:cs="Arial"/>
                <w:b/>
                <w:bCs/>
                <w:color w:val="000000"/>
                <w:sz w:val="22"/>
                <w:szCs w:val="22"/>
              </w:rPr>
            </w:pPr>
            <w:r w:rsidRPr="008A0A4E">
              <w:rPr>
                <w:rFonts w:ascii="Arial" w:hAnsi="Arial" w:cs="Arial"/>
                <w:b/>
                <w:bCs/>
                <w:color w:val="000000"/>
                <w:sz w:val="22"/>
                <w:szCs w:val="22"/>
              </w:rPr>
              <w:t>Total</w:t>
            </w:r>
          </w:p>
        </w:tc>
        <w:tc>
          <w:tcPr>
            <w:tcW w:w="2515" w:type="dxa"/>
            <w:tcBorders>
              <w:top w:val="nil"/>
              <w:left w:val="nil"/>
              <w:bottom w:val="single" w:sz="8" w:space="0" w:color="auto"/>
              <w:right w:val="nil"/>
            </w:tcBorders>
            <w:shd w:val="clear" w:color="000000" w:fill="FFFFFF"/>
            <w:noWrap/>
            <w:vAlign w:val="center"/>
          </w:tcPr>
          <w:p w14:paraId="2A3B8621" w14:textId="4688C506" w:rsidR="00A21856" w:rsidRPr="00F80F64" w:rsidRDefault="00A21856" w:rsidP="00A21856">
            <w:pPr>
              <w:jc w:val="right"/>
              <w:rPr>
                <w:rFonts w:ascii="Arial" w:hAnsi="Arial" w:cs="Arial"/>
                <w:b/>
                <w:bCs/>
                <w:sz w:val="22"/>
                <w:szCs w:val="22"/>
              </w:rPr>
            </w:pPr>
            <w:r>
              <w:rPr>
                <w:rFonts w:ascii="Arial" w:hAnsi="Arial" w:cs="Arial"/>
                <w:b/>
                <w:bCs/>
                <w:sz w:val="22"/>
                <w:szCs w:val="22"/>
              </w:rPr>
              <w:t>185,635</w:t>
            </w:r>
          </w:p>
        </w:tc>
        <w:tc>
          <w:tcPr>
            <w:tcW w:w="1856" w:type="dxa"/>
            <w:tcBorders>
              <w:top w:val="nil"/>
              <w:left w:val="nil"/>
              <w:bottom w:val="single" w:sz="8" w:space="0" w:color="auto"/>
              <w:right w:val="nil"/>
            </w:tcBorders>
            <w:shd w:val="clear" w:color="000000" w:fill="FFFFFF"/>
            <w:noWrap/>
            <w:vAlign w:val="center"/>
          </w:tcPr>
          <w:p w14:paraId="48955EDA" w14:textId="23CDF33E" w:rsidR="00A21856" w:rsidRPr="00F80F64" w:rsidRDefault="00A21856" w:rsidP="00A21856">
            <w:pPr>
              <w:jc w:val="right"/>
              <w:rPr>
                <w:rFonts w:ascii="Arial" w:hAnsi="Arial" w:cs="Arial"/>
                <w:b/>
                <w:bCs/>
                <w:sz w:val="22"/>
                <w:szCs w:val="22"/>
              </w:rPr>
            </w:pPr>
            <w:r>
              <w:rPr>
                <w:rFonts w:ascii="Arial" w:hAnsi="Arial" w:cs="Arial"/>
                <w:b/>
                <w:bCs/>
                <w:sz w:val="22"/>
                <w:szCs w:val="22"/>
              </w:rPr>
              <w:t>1,856</w:t>
            </w:r>
          </w:p>
        </w:tc>
        <w:tc>
          <w:tcPr>
            <w:tcW w:w="1558" w:type="dxa"/>
            <w:tcBorders>
              <w:top w:val="nil"/>
              <w:left w:val="nil"/>
              <w:bottom w:val="single" w:sz="8" w:space="0" w:color="auto"/>
              <w:right w:val="nil"/>
            </w:tcBorders>
            <w:shd w:val="clear" w:color="000000" w:fill="FFFFFF"/>
            <w:noWrap/>
            <w:vAlign w:val="center"/>
          </w:tcPr>
          <w:p w14:paraId="2564BA3F" w14:textId="05B5466F" w:rsidR="00A21856" w:rsidRPr="00F80F64" w:rsidRDefault="00A21856" w:rsidP="00A21856">
            <w:pPr>
              <w:jc w:val="right"/>
              <w:rPr>
                <w:rFonts w:ascii="Arial" w:hAnsi="Arial" w:cs="Arial"/>
                <w:b/>
                <w:bCs/>
                <w:sz w:val="22"/>
                <w:szCs w:val="22"/>
              </w:rPr>
            </w:pPr>
            <w:r>
              <w:rPr>
                <w:rFonts w:ascii="Arial" w:hAnsi="Arial" w:cs="Arial"/>
                <w:b/>
                <w:bCs/>
                <w:color w:val="000000"/>
                <w:sz w:val="22"/>
                <w:szCs w:val="22"/>
              </w:rPr>
              <w:t>(1,856)</w:t>
            </w:r>
          </w:p>
        </w:tc>
      </w:tr>
    </w:tbl>
    <w:p w14:paraId="240D7976" w14:textId="77777777" w:rsidR="00034162" w:rsidRDefault="00034162" w:rsidP="009B55FC">
      <w:pPr>
        <w:ind w:left="426"/>
        <w:jc w:val="both"/>
        <w:rPr>
          <w:rFonts w:ascii="Arial" w:hAnsi="Arial" w:cs="Arial"/>
          <w:sz w:val="22"/>
          <w:szCs w:val="22"/>
        </w:rPr>
      </w:pPr>
    </w:p>
    <w:p w14:paraId="67217950" w14:textId="77777777" w:rsidR="00034162" w:rsidRDefault="00034162" w:rsidP="009B55FC">
      <w:pPr>
        <w:ind w:left="426"/>
        <w:jc w:val="both"/>
        <w:rPr>
          <w:rFonts w:ascii="Arial" w:hAnsi="Arial" w:cs="Arial"/>
          <w:sz w:val="22"/>
          <w:szCs w:val="22"/>
        </w:rPr>
      </w:pPr>
    </w:p>
    <w:p w14:paraId="1F93ABF4" w14:textId="77777777" w:rsidR="003C45DA" w:rsidRPr="008A0A4E" w:rsidRDefault="003C45DA" w:rsidP="003C45DA">
      <w:pPr>
        <w:ind w:left="426"/>
        <w:jc w:val="both"/>
        <w:rPr>
          <w:rFonts w:ascii="Arial" w:hAnsi="Arial" w:cs="Arial"/>
          <w:sz w:val="22"/>
          <w:szCs w:val="22"/>
        </w:rPr>
      </w:pPr>
    </w:p>
    <w:tbl>
      <w:tblPr>
        <w:tblW w:w="8764" w:type="dxa"/>
        <w:jc w:val="center"/>
        <w:tblLook w:val="00A0" w:firstRow="1" w:lastRow="0" w:firstColumn="1" w:lastColumn="0" w:noHBand="0" w:noVBand="0"/>
      </w:tblPr>
      <w:tblGrid>
        <w:gridCol w:w="2835"/>
        <w:gridCol w:w="2515"/>
        <w:gridCol w:w="1856"/>
        <w:gridCol w:w="1558"/>
      </w:tblGrid>
      <w:tr w:rsidR="003C45DA" w:rsidRPr="00750CE2" w14:paraId="141FC343" w14:textId="77777777" w:rsidTr="00980C56">
        <w:trPr>
          <w:trHeight w:val="326"/>
          <w:jc w:val="center"/>
        </w:trPr>
        <w:tc>
          <w:tcPr>
            <w:tcW w:w="2835" w:type="dxa"/>
            <w:tcBorders>
              <w:top w:val="nil"/>
              <w:left w:val="nil"/>
              <w:bottom w:val="nil"/>
              <w:right w:val="nil"/>
            </w:tcBorders>
            <w:shd w:val="clear" w:color="000000" w:fill="FFFFFF"/>
            <w:noWrap/>
            <w:vAlign w:val="bottom"/>
          </w:tcPr>
          <w:p w14:paraId="7F3883B5" w14:textId="77777777" w:rsidR="003C45DA" w:rsidRPr="004A3AC2" w:rsidRDefault="003C45DA" w:rsidP="00DF3ECC">
            <w:pPr>
              <w:ind w:left="-93"/>
              <w:jc w:val="center"/>
              <w:rPr>
                <w:rFonts w:ascii="Arial" w:hAnsi="Arial" w:cs="Arial"/>
                <w:b/>
                <w:bCs/>
                <w:color w:val="000000"/>
                <w:sz w:val="22"/>
                <w:szCs w:val="22"/>
              </w:rPr>
            </w:pPr>
            <w:r w:rsidRPr="004A3AC2">
              <w:rPr>
                <w:rFonts w:ascii="Arial" w:hAnsi="Arial" w:cs="Arial"/>
                <w:b/>
                <w:bCs/>
                <w:color w:val="000000"/>
                <w:sz w:val="22"/>
                <w:szCs w:val="22"/>
              </w:rPr>
              <w:t>Asset type</w:t>
            </w:r>
          </w:p>
        </w:tc>
        <w:tc>
          <w:tcPr>
            <w:tcW w:w="2515" w:type="dxa"/>
            <w:tcBorders>
              <w:top w:val="nil"/>
              <w:left w:val="nil"/>
              <w:bottom w:val="nil"/>
              <w:right w:val="nil"/>
            </w:tcBorders>
            <w:shd w:val="clear" w:color="000000" w:fill="FFFFFF"/>
            <w:vAlign w:val="bottom"/>
          </w:tcPr>
          <w:p w14:paraId="3621AF51" w14:textId="38B233F0" w:rsidR="003C45DA" w:rsidRPr="004A3AC2" w:rsidRDefault="003C45DA" w:rsidP="00DF3ECC">
            <w:pPr>
              <w:ind w:left="34"/>
              <w:jc w:val="center"/>
              <w:rPr>
                <w:rFonts w:ascii="Arial" w:hAnsi="Arial" w:cs="Arial"/>
                <w:b/>
                <w:bCs/>
                <w:color w:val="000000"/>
                <w:sz w:val="22"/>
                <w:szCs w:val="22"/>
              </w:rPr>
            </w:pPr>
            <w:r w:rsidRPr="004A3AC2">
              <w:rPr>
                <w:rFonts w:ascii="Arial" w:hAnsi="Arial" w:cs="Arial"/>
                <w:b/>
                <w:bCs/>
                <w:color w:val="000000"/>
                <w:sz w:val="22"/>
                <w:szCs w:val="22"/>
              </w:rPr>
              <w:t xml:space="preserve">Carrying amount as </w:t>
            </w:r>
            <w:proofErr w:type="gramStart"/>
            <w:r w:rsidRPr="004A3AC2">
              <w:rPr>
                <w:rFonts w:ascii="Arial" w:hAnsi="Arial" w:cs="Arial"/>
                <w:b/>
                <w:bCs/>
                <w:color w:val="000000"/>
                <w:sz w:val="22"/>
                <w:szCs w:val="22"/>
              </w:rPr>
              <w:t>at</w:t>
            </w:r>
            <w:proofErr w:type="gramEnd"/>
            <w:r w:rsidRPr="004A3AC2">
              <w:rPr>
                <w:rFonts w:ascii="Arial" w:hAnsi="Arial" w:cs="Arial"/>
                <w:b/>
                <w:bCs/>
                <w:color w:val="000000"/>
                <w:sz w:val="22"/>
                <w:szCs w:val="22"/>
              </w:rPr>
              <w:t xml:space="preserve"> 31 March 20</w:t>
            </w:r>
            <w:r w:rsidR="00D51DE3" w:rsidRPr="004A3AC2">
              <w:rPr>
                <w:rFonts w:ascii="Arial" w:hAnsi="Arial" w:cs="Arial"/>
                <w:b/>
                <w:bCs/>
                <w:color w:val="000000"/>
                <w:sz w:val="22"/>
                <w:szCs w:val="22"/>
              </w:rPr>
              <w:t>2</w:t>
            </w:r>
            <w:r w:rsidR="00034162" w:rsidRPr="004A3AC2">
              <w:rPr>
                <w:rFonts w:ascii="Arial" w:hAnsi="Arial" w:cs="Arial"/>
                <w:b/>
                <w:bCs/>
                <w:color w:val="000000"/>
                <w:sz w:val="22"/>
                <w:szCs w:val="22"/>
              </w:rPr>
              <w:t>4</w:t>
            </w:r>
          </w:p>
        </w:tc>
        <w:tc>
          <w:tcPr>
            <w:tcW w:w="3414" w:type="dxa"/>
            <w:gridSpan w:val="2"/>
            <w:tcBorders>
              <w:top w:val="nil"/>
              <w:left w:val="nil"/>
              <w:bottom w:val="nil"/>
              <w:right w:val="nil"/>
            </w:tcBorders>
            <w:shd w:val="clear" w:color="000000" w:fill="FFFFFF"/>
            <w:vAlign w:val="bottom"/>
          </w:tcPr>
          <w:p w14:paraId="454F73F1" w14:textId="77777777" w:rsidR="003C45DA" w:rsidRPr="004A3AC2" w:rsidRDefault="003C45DA" w:rsidP="00DF3ECC">
            <w:pPr>
              <w:ind w:left="-108"/>
              <w:jc w:val="center"/>
              <w:rPr>
                <w:rFonts w:ascii="Arial" w:hAnsi="Arial" w:cs="Arial"/>
                <w:b/>
                <w:bCs/>
                <w:color w:val="000000"/>
                <w:sz w:val="22"/>
                <w:szCs w:val="22"/>
              </w:rPr>
            </w:pPr>
            <w:r w:rsidRPr="004A3AC2">
              <w:rPr>
                <w:rFonts w:ascii="Arial" w:hAnsi="Arial" w:cs="Arial"/>
                <w:b/>
                <w:bCs/>
                <w:color w:val="000000"/>
                <w:sz w:val="22"/>
                <w:szCs w:val="22"/>
              </w:rPr>
              <w:t>Change in year in the net assets available to pay benefits</w:t>
            </w:r>
          </w:p>
        </w:tc>
      </w:tr>
      <w:tr w:rsidR="00C442D7" w:rsidRPr="00750CE2" w14:paraId="7C7FA47F" w14:textId="77777777" w:rsidTr="00980C56">
        <w:trPr>
          <w:trHeight w:val="275"/>
          <w:jc w:val="center"/>
        </w:trPr>
        <w:tc>
          <w:tcPr>
            <w:tcW w:w="2835" w:type="dxa"/>
            <w:tcBorders>
              <w:top w:val="nil"/>
              <w:left w:val="nil"/>
              <w:bottom w:val="nil"/>
              <w:right w:val="nil"/>
            </w:tcBorders>
            <w:shd w:val="clear" w:color="000000" w:fill="FFFFFF"/>
            <w:noWrap/>
            <w:vAlign w:val="bottom"/>
          </w:tcPr>
          <w:p w14:paraId="2192AB99" w14:textId="77777777" w:rsidR="003C45DA" w:rsidRPr="00750CE2" w:rsidRDefault="003C45DA" w:rsidP="00DF3ECC">
            <w:pPr>
              <w:ind w:left="-93"/>
              <w:rPr>
                <w:rFonts w:ascii="Arial" w:hAnsi="Arial" w:cs="Arial"/>
                <w:color w:val="000000"/>
                <w:sz w:val="22"/>
                <w:szCs w:val="22"/>
              </w:rPr>
            </w:pPr>
            <w:r w:rsidRPr="00750CE2">
              <w:rPr>
                <w:rFonts w:ascii="Arial" w:hAnsi="Arial" w:cs="Arial"/>
                <w:color w:val="000000"/>
                <w:sz w:val="22"/>
                <w:szCs w:val="22"/>
              </w:rPr>
              <w:t> </w:t>
            </w:r>
          </w:p>
        </w:tc>
        <w:tc>
          <w:tcPr>
            <w:tcW w:w="2515" w:type="dxa"/>
            <w:tcBorders>
              <w:top w:val="nil"/>
              <w:left w:val="nil"/>
              <w:bottom w:val="nil"/>
              <w:right w:val="nil"/>
            </w:tcBorders>
            <w:shd w:val="clear" w:color="000000" w:fill="FFFFFF"/>
            <w:noWrap/>
            <w:vAlign w:val="bottom"/>
          </w:tcPr>
          <w:p w14:paraId="12CDC049" w14:textId="77777777" w:rsidR="003C45DA" w:rsidRPr="004A3AC2" w:rsidRDefault="003C45DA" w:rsidP="00DF3ECC">
            <w:pPr>
              <w:ind w:left="426"/>
              <w:rPr>
                <w:rFonts w:ascii="Arial" w:hAnsi="Arial" w:cs="Arial"/>
                <w:b/>
                <w:bCs/>
                <w:color w:val="000000"/>
                <w:sz w:val="22"/>
                <w:szCs w:val="22"/>
              </w:rPr>
            </w:pPr>
            <w:r w:rsidRPr="004A3AC2">
              <w:rPr>
                <w:rFonts w:ascii="Arial" w:hAnsi="Arial" w:cs="Arial"/>
                <w:b/>
                <w:bCs/>
                <w:color w:val="000000"/>
                <w:sz w:val="22"/>
                <w:szCs w:val="22"/>
              </w:rPr>
              <w:t> </w:t>
            </w:r>
          </w:p>
        </w:tc>
        <w:tc>
          <w:tcPr>
            <w:tcW w:w="1856" w:type="dxa"/>
            <w:tcBorders>
              <w:top w:val="nil"/>
              <w:left w:val="nil"/>
              <w:bottom w:val="nil"/>
              <w:right w:val="nil"/>
            </w:tcBorders>
            <w:shd w:val="clear" w:color="000000" w:fill="FFFFFF"/>
            <w:noWrap/>
            <w:vAlign w:val="bottom"/>
          </w:tcPr>
          <w:p w14:paraId="7A5670BB" w14:textId="77777777" w:rsidR="003C45DA" w:rsidRPr="004A3AC2" w:rsidRDefault="003C45DA" w:rsidP="00DF3ECC">
            <w:pPr>
              <w:ind w:left="-129"/>
              <w:jc w:val="center"/>
              <w:rPr>
                <w:rFonts w:ascii="Arial" w:hAnsi="Arial" w:cs="Arial"/>
                <w:b/>
                <w:bCs/>
                <w:color w:val="000000"/>
                <w:sz w:val="22"/>
                <w:szCs w:val="22"/>
              </w:rPr>
            </w:pPr>
            <w:r w:rsidRPr="004A3AC2">
              <w:rPr>
                <w:rFonts w:ascii="Arial" w:hAnsi="Arial" w:cs="Arial"/>
                <w:b/>
                <w:bCs/>
                <w:color w:val="000000"/>
                <w:sz w:val="22"/>
                <w:szCs w:val="22"/>
              </w:rPr>
              <w:t>+100 BPS</w:t>
            </w:r>
          </w:p>
        </w:tc>
        <w:tc>
          <w:tcPr>
            <w:tcW w:w="1558" w:type="dxa"/>
            <w:tcBorders>
              <w:top w:val="nil"/>
              <w:left w:val="nil"/>
              <w:bottom w:val="nil"/>
              <w:right w:val="nil"/>
            </w:tcBorders>
            <w:shd w:val="clear" w:color="000000" w:fill="FFFFFF"/>
            <w:noWrap/>
            <w:vAlign w:val="bottom"/>
          </w:tcPr>
          <w:p w14:paraId="612FA952" w14:textId="77777777" w:rsidR="003C45DA" w:rsidRPr="004A3AC2" w:rsidRDefault="003C45DA" w:rsidP="00DF3ECC">
            <w:pPr>
              <w:ind w:left="39"/>
              <w:jc w:val="center"/>
              <w:rPr>
                <w:rFonts w:ascii="Arial" w:hAnsi="Arial" w:cs="Arial"/>
                <w:b/>
                <w:bCs/>
                <w:color w:val="000000"/>
                <w:sz w:val="22"/>
                <w:szCs w:val="22"/>
              </w:rPr>
            </w:pPr>
            <w:r w:rsidRPr="004A3AC2">
              <w:rPr>
                <w:rFonts w:ascii="Arial" w:hAnsi="Arial" w:cs="Arial"/>
                <w:b/>
                <w:bCs/>
                <w:color w:val="000000"/>
                <w:sz w:val="22"/>
                <w:szCs w:val="22"/>
              </w:rPr>
              <w:t>-100 BPS</w:t>
            </w:r>
          </w:p>
        </w:tc>
      </w:tr>
      <w:tr w:rsidR="00C442D7" w:rsidRPr="00750CE2" w14:paraId="416387A8" w14:textId="77777777" w:rsidTr="00980C56">
        <w:trPr>
          <w:trHeight w:val="263"/>
          <w:jc w:val="center"/>
        </w:trPr>
        <w:tc>
          <w:tcPr>
            <w:tcW w:w="2835" w:type="dxa"/>
            <w:tcBorders>
              <w:top w:val="nil"/>
              <w:left w:val="nil"/>
              <w:bottom w:val="nil"/>
              <w:right w:val="nil"/>
            </w:tcBorders>
            <w:shd w:val="clear" w:color="000000" w:fill="FFFFFF"/>
            <w:noWrap/>
            <w:vAlign w:val="bottom"/>
          </w:tcPr>
          <w:p w14:paraId="47D6AA0D" w14:textId="77777777" w:rsidR="003C45DA" w:rsidRPr="00750CE2" w:rsidRDefault="003C45DA" w:rsidP="00DF3ECC">
            <w:pPr>
              <w:ind w:left="-93"/>
              <w:rPr>
                <w:rFonts w:ascii="Arial" w:hAnsi="Arial" w:cs="Arial"/>
                <w:color w:val="000000"/>
                <w:sz w:val="22"/>
                <w:szCs w:val="22"/>
              </w:rPr>
            </w:pPr>
            <w:r w:rsidRPr="00750CE2">
              <w:rPr>
                <w:rFonts w:ascii="Arial" w:hAnsi="Arial" w:cs="Arial"/>
                <w:color w:val="000000"/>
                <w:sz w:val="22"/>
                <w:szCs w:val="22"/>
              </w:rPr>
              <w:t> </w:t>
            </w:r>
          </w:p>
        </w:tc>
        <w:tc>
          <w:tcPr>
            <w:tcW w:w="2515" w:type="dxa"/>
            <w:tcBorders>
              <w:top w:val="nil"/>
              <w:left w:val="nil"/>
              <w:bottom w:val="nil"/>
              <w:right w:val="nil"/>
            </w:tcBorders>
            <w:shd w:val="clear" w:color="000000" w:fill="FFFFFF"/>
            <w:noWrap/>
          </w:tcPr>
          <w:p w14:paraId="11468FC4" w14:textId="77777777" w:rsidR="003C45DA" w:rsidRPr="004A3AC2" w:rsidRDefault="003C45DA" w:rsidP="00DF3ECC">
            <w:pPr>
              <w:ind w:left="426"/>
              <w:jc w:val="right"/>
              <w:rPr>
                <w:rFonts w:ascii="Arial" w:hAnsi="Arial" w:cs="Arial"/>
                <w:b/>
                <w:bCs/>
                <w:sz w:val="22"/>
                <w:szCs w:val="22"/>
              </w:rPr>
            </w:pPr>
            <w:r w:rsidRPr="004A3AC2">
              <w:rPr>
                <w:rFonts w:ascii="Arial" w:hAnsi="Arial" w:cs="Arial"/>
                <w:b/>
                <w:bCs/>
                <w:sz w:val="22"/>
                <w:szCs w:val="22"/>
              </w:rPr>
              <w:t>£000</w:t>
            </w:r>
          </w:p>
        </w:tc>
        <w:tc>
          <w:tcPr>
            <w:tcW w:w="1856" w:type="dxa"/>
            <w:tcBorders>
              <w:top w:val="nil"/>
              <w:left w:val="nil"/>
              <w:bottom w:val="nil"/>
              <w:right w:val="nil"/>
            </w:tcBorders>
            <w:shd w:val="clear" w:color="000000" w:fill="FFFFFF"/>
            <w:noWrap/>
          </w:tcPr>
          <w:p w14:paraId="5B05F9EA" w14:textId="77777777" w:rsidR="003C45DA" w:rsidRPr="004A3AC2" w:rsidRDefault="003C45DA" w:rsidP="00DF3ECC">
            <w:pPr>
              <w:ind w:left="426"/>
              <w:jc w:val="right"/>
              <w:rPr>
                <w:rFonts w:ascii="Arial" w:hAnsi="Arial" w:cs="Arial"/>
                <w:b/>
                <w:bCs/>
                <w:sz w:val="22"/>
                <w:szCs w:val="22"/>
              </w:rPr>
            </w:pPr>
            <w:r w:rsidRPr="004A3AC2">
              <w:rPr>
                <w:rFonts w:ascii="Arial" w:hAnsi="Arial" w:cs="Arial"/>
                <w:b/>
                <w:bCs/>
                <w:sz w:val="22"/>
                <w:szCs w:val="22"/>
              </w:rPr>
              <w:t>£000</w:t>
            </w:r>
          </w:p>
        </w:tc>
        <w:tc>
          <w:tcPr>
            <w:tcW w:w="1558" w:type="dxa"/>
            <w:tcBorders>
              <w:top w:val="nil"/>
              <w:left w:val="nil"/>
              <w:bottom w:val="nil"/>
              <w:right w:val="nil"/>
            </w:tcBorders>
            <w:shd w:val="clear" w:color="000000" w:fill="FFFFFF"/>
            <w:noWrap/>
          </w:tcPr>
          <w:p w14:paraId="0F516A31" w14:textId="77777777" w:rsidR="003C45DA" w:rsidRPr="004A3AC2" w:rsidRDefault="003C45DA" w:rsidP="00DF3ECC">
            <w:pPr>
              <w:ind w:left="426"/>
              <w:jc w:val="right"/>
              <w:rPr>
                <w:rFonts w:ascii="Arial" w:hAnsi="Arial" w:cs="Arial"/>
                <w:b/>
                <w:bCs/>
                <w:sz w:val="22"/>
                <w:szCs w:val="22"/>
              </w:rPr>
            </w:pPr>
            <w:r w:rsidRPr="004A3AC2">
              <w:rPr>
                <w:rFonts w:ascii="Arial" w:hAnsi="Arial" w:cs="Arial"/>
                <w:b/>
                <w:bCs/>
                <w:sz w:val="22"/>
                <w:szCs w:val="22"/>
              </w:rPr>
              <w:t>£000</w:t>
            </w:r>
          </w:p>
        </w:tc>
      </w:tr>
      <w:tr w:rsidR="0059361D" w:rsidRPr="00750CE2" w14:paraId="599249C0" w14:textId="77777777" w:rsidTr="00980C56">
        <w:trPr>
          <w:trHeight w:val="275"/>
          <w:jc w:val="center"/>
        </w:trPr>
        <w:tc>
          <w:tcPr>
            <w:tcW w:w="2835" w:type="dxa"/>
            <w:tcBorders>
              <w:top w:val="nil"/>
              <w:left w:val="nil"/>
              <w:bottom w:val="nil"/>
              <w:right w:val="nil"/>
            </w:tcBorders>
            <w:shd w:val="clear" w:color="000000" w:fill="FFFFFF"/>
            <w:noWrap/>
            <w:vAlign w:val="bottom"/>
          </w:tcPr>
          <w:p w14:paraId="2258182B" w14:textId="144E590B" w:rsidR="0059361D" w:rsidRPr="00750CE2" w:rsidRDefault="0059361D" w:rsidP="0059361D">
            <w:pPr>
              <w:ind w:left="-93"/>
              <w:rPr>
                <w:rFonts w:ascii="Arial" w:hAnsi="Arial" w:cs="Arial"/>
                <w:color w:val="000000"/>
                <w:sz w:val="22"/>
                <w:szCs w:val="22"/>
              </w:rPr>
            </w:pPr>
            <w:r w:rsidRPr="00750CE2">
              <w:rPr>
                <w:rFonts w:ascii="Arial" w:hAnsi="Arial" w:cs="Arial"/>
                <w:color w:val="000000"/>
                <w:sz w:val="22"/>
                <w:szCs w:val="22"/>
              </w:rPr>
              <w:t>Cash and cash equivalent</w:t>
            </w:r>
            <w:r w:rsidR="00321BD2" w:rsidRPr="00750CE2">
              <w:rPr>
                <w:rFonts w:ascii="Arial" w:hAnsi="Arial" w:cs="Arial"/>
                <w:color w:val="000000"/>
                <w:sz w:val="22"/>
                <w:szCs w:val="22"/>
              </w:rPr>
              <w:t>s</w:t>
            </w:r>
          </w:p>
        </w:tc>
        <w:tc>
          <w:tcPr>
            <w:tcW w:w="2515" w:type="dxa"/>
            <w:tcBorders>
              <w:top w:val="nil"/>
              <w:left w:val="nil"/>
              <w:bottom w:val="nil"/>
              <w:right w:val="nil"/>
            </w:tcBorders>
            <w:shd w:val="clear" w:color="000000" w:fill="FFFFFF"/>
            <w:noWrap/>
            <w:vAlign w:val="center"/>
          </w:tcPr>
          <w:p w14:paraId="28A3DED2" w14:textId="45AEAE39" w:rsidR="0059361D" w:rsidRPr="00750CE2" w:rsidRDefault="0059361D" w:rsidP="0059361D">
            <w:pPr>
              <w:jc w:val="right"/>
              <w:rPr>
                <w:rFonts w:ascii="Arial" w:hAnsi="Arial" w:cs="Arial"/>
                <w:sz w:val="22"/>
                <w:szCs w:val="22"/>
              </w:rPr>
            </w:pPr>
            <w:r w:rsidRPr="00750CE2">
              <w:rPr>
                <w:rFonts w:ascii="Arial" w:hAnsi="Arial" w:cs="Arial"/>
                <w:color w:val="000000"/>
                <w:sz w:val="22"/>
                <w:szCs w:val="22"/>
              </w:rPr>
              <w:t>9,417</w:t>
            </w:r>
          </w:p>
        </w:tc>
        <w:tc>
          <w:tcPr>
            <w:tcW w:w="1856" w:type="dxa"/>
            <w:tcBorders>
              <w:top w:val="nil"/>
              <w:left w:val="nil"/>
              <w:bottom w:val="nil"/>
              <w:right w:val="nil"/>
            </w:tcBorders>
            <w:shd w:val="clear" w:color="000000" w:fill="FFFFFF"/>
            <w:noWrap/>
            <w:vAlign w:val="center"/>
          </w:tcPr>
          <w:p w14:paraId="31A7F6C8" w14:textId="595E96A6" w:rsidR="0059361D" w:rsidRPr="00750CE2" w:rsidRDefault="0059361D" w:rsidP="0059361D">
            <w:pPr>
              <w:jc w:val="right"/>
              <w:rPr>
                <w:rFonts w:ascii="Arial" w:hAnsi="Arial" w:cs="Arial"/>
                <w:sz w:val="22"/>
                <w:szCs w:val="22"/>
              </w:rPr>
            </w:pPr>
            <w:r w:rsidRPr="00750CE2">
              <w:rPr>
                <w:rFonts w:ascii="Arial" w:hAnsi="Arial" w:cs="Arial"/>
                <w:color w:val="000000"/>
                <w:sz w:val="22"/>
                <w:szCs w:val="22"/>
              </w:rPr>
              <w:t>94</w:t>
            </w:r>
          </w:p>
        </w:tc>
        <w:tc>
          <w:tcPr>
            <w:tcW w:w="1558" w:type="dxa"/>
            <w:tcBorders>
              <w:top w:val="nil"/>
              <w:left w:val="nil"/>
              <w:bottom w:val="nil"/>
              <w:right w:val="nil"/>
            </w:tcBorders>
            <w:shd w:val="clear" w:color="000000" w:fill="FFFFFF"/>
            <w:noWrap/>
            <w:vAlign w:val="center"/>
          </w:tcPr>
          <w:p w14:paraId="13B31DFE" w14:textId="233ABC32" w:rsidR="0059361D" w:rsidRPr="00750CE2" w:rsidRDefault="00BC5861" w:rsidP="0059361D">
            <w:pPr>
              <w:jc w:val="right"/>
              <w:rPr>
                <w:rFonts w:ascii="Arial" w:hAnsi="Arial" w:cs="Arial"/>
                <w:sz w:val="22"/>
                <w:szCs w:val="22"/>
              </w:rPr>
            </w:pPr>
            <w:r w:rsidRPr="00750CE2">
              <w:rPr>
                <w:rFonts w:ascii="Arial" w:hAnsi="Arial" w:cs="Arial"/>
                <w:color w:val="000000"/>
                <w:sz w:val="22"/>
                <w:szCs w:val="22"/>
              </w:rPr>
              <w:t>(</w:t>
            </w:r>
            <w:r w:rsidR="0059361D" w:rsidRPr="00750CE2">
              <w:rPr>
                <w:rFonts w:ascii="Arial" w:hAnsi="Arial" w:cs="Arial"/>
                <w:color w:val="000000"/>
                <w:sz w:val="22"/>
                <w:szCs w:val="22"/>
              </w:rPr>
              <w:t>94</w:t>
            </w:r>
            <w:r w:rsidRPr="00750CE2">
              <w:rPr>
                <w:rFonts w:ascii="Arial" w:hAnsi="Arial" w:cs="Arial"/>
                <w:color w:val="000000"/>
                <w:sz w:val="22"/>
                <w:szCs w:val="22"/>
              </w:rPr>
              <w:t>)</w:t>
            </w:r>
          </w:p>
        </w:tc>
      </w:tr>
      <w:tr w:rsidR="0059361D" w:rsidRPr="00750CE2" w14:paraId="54AF8E7F" w14:textId="77777777" w:rsidTr="00980C56">
        <w:trPr>
          <w:trHeight w:val="275"/>
          <w:jc w:val="center"/>
        </w:trPr>
        <w:tc>
          <w:tcPr>
            <w:tcW w:w="2835" w:type="dxa"/>
            <w:tcBorders>
              <w:top w:val="nil"/>
              <w:left w:val="nil"/>
              <w:bottom w:val="nil"/>
              <w:right w:val="nil"/>
            </w:tcBorders>
            <w:shd w:val="clear" w:color="000000" w:fill="FFFFFF"/>
            <w:noWrap/>
            <w:vAlign w:val="bottom"/>
          </w:tcPr>
          <w:p w14:paraId="5C243898" w14:textId="5509F104" w:rsidR="0059361D" w:rsidRPr="00750CE2" w:rsidRDefault="008B5F2E" w:rsidP="0059361D">
            <w:pPr>
              <w:ind w:left="-93"/>
              <w:rPr>
                <w:rFonts w:ascii="Arial" w:hAnsi="Arial" w:cs="Arial"/>
                <w:color w:val="000000"/>
                <w:sz w:val="22"/>
                <w:szCs w:val="22"/>
              </w:rPr>
            </w:pPr>
            <w:r w:rsidRPr="00750CE2">
              <w:rPr>
                <w:rFonts w:ascii="Arial" w:hAnsi="Arial" w:cs="Arial"/>
                <w:color w:val="000000"/>
                <w:sz w:val="22"/>
                <w:szCs w:val="22"/>
              </w:rPr>
              <w:t>Bonds</w:t>
            </w:r>
          </w:p>
        </w:tc>
        <w:tc>
          <w:tcPr>
            <w:tcW w:w="2515" w:type="dxa"/>
            <w:tcBorders>
              <w:top w:val="nil"/>
              <w:left w:val="nil"/>
              <w:bottom w:val="single" w:sz="8" w:space="0" w:color="auto"/>
              <w:right w:val="nil"/>
            </w:tcBorders>
            <w:shd w:val="clear" w:color="000000" w:fill="FFFFFF"/>
            <w:noWrap/>
            <w:vAlign w:val="center"/>
          </w:tcPr>
          <w:p w14:paraId="749C03FF" w14:textId="1C404203" w:rsidR="0059361D" w:rsidRPr="00750CE2" w:rsidRDefault="0059361D" w:rsidP="0059361D">
            <w:pPr>
              <w:jc w:val="right"/>
              <w:rPr>
                <w:rFonts w:ascii="Arial" w:hAnsi="Arial" w:cs="Arial"/>
                <w:sz w:val="22"/>
                <w:szCs w:val="22"/>
              </w:rPr>
            </w:pPr>
            <w:r w:rsidRPr="00750CE2">
              <w:rPr>
                <w:rFonts w:ascii="Arial" w:hAnsi="Arial" w:cs="Arial"/>
                <w:color w:val="000000"/>
                <w:sz w:val="22"/>
                <w:szCs w:val="22"/>
              </w:rPr>
              <w:t>1</w:t>
            </w:r>
            <w:r w:rsidR="00962AEC" w:rsidRPr="00750CE2">
              <w:rPr>
                <w:rFonts w:ascii="Arial" w:hAnsi="Arial" w:cs="Arial"/>
                <w:color w:val="000000"/>
                <w:sz w:val="22"/>
                <w:szCs w:val="22"/>
              </w:rPr>
              <w:t>19,346</w:t>
            </w:r>
          </w:p>
        </w:tc>
        <w:tc>
          <w:tcPr>
            <w:tcW w:w="1856" w:type="dxa"/>
            <w:tcBorders>
              <w:top w:val="nil"/>
              <w:left w:val="nil"/>
              <w:bottom w:val="single" w:sz="8" w:space="0" w:color="auto"/>
              <w:right w:val="nil"/>
            </w:tcBorders>
            <w:shd w:val="clear" w:color="000000" w:fill="FFFFFF"/>
            <w:noWrap/>
            <w:vAlign w:val="center"/>
          </w:tcPr>
          <w:p w14:paraId="2052333E" w14:textId="7F1D642F" w:rsidR="0059361D" w:rsidRPr="00750CE2" w:rsidRDefault="0059361D" w:rsidP="0059361D">
            <w:pPr>
              <w:jc w:val="right"/>
              <w:rPr>
                <w:rFonts w:ascii="Arial" w:hAnsi="Arial" w:cs="Arial"/>
                <w:sz w:val="22"/>
                <w:szCs w:val="22"/>
              </w:rPr>
            </w:pPr>
            <w:r w:rsidRPr="00750CE2">
              <w:rPr>
                <w:rFonts w:ascii="Arial" w:hAnsi="Arial" w:cs="Arial"/>
                <w:color w:val="000000"/>
                <w:sz w:val="22"/>
                <w:szCs w:val="22"/>
              </w:rPr>
              <w:t>1,</w:t>
            </w:r>
            <w:r w:rsidR="000928BC" w:rsidRPr="00750CE2">
              <w:rPr>
                <w:rFonts w:ascii="Arial" w:hAnsi="Arial" w:cs="Arial"/>
                <w:color w:val="000000"/>
                <w:sz w:val="22"/>
                <w:szCs w:val="22"/>
              </w:rPr>
              <w:t>193</w:t>
            </w:r>
          </w:p>
        </w:tc>
        <w:tc>
          <w:tcPr>
            <w:tcW w:w="1558" w:type="dxa"/>
            <w:tcBorders>
              <w:top w:val="nil"/>
              <w:left w:val="nil"/>
              <w:bottom w:val="single" w:sz="8" w:space="0" w:color="auto"/>
              <w:right w:val="nil"/>
            </w:tcBorders>
            <w:shd w:val="clear" w:color="000000" w:fill="FFFFFF"/>
            <w:noWrap/>
            <w:vAlign w:val="center"/>
          </w:tcPr>
          <w:p w14:paraId="0C8490B1" w14:textId="4C958DBC" w:rsidR="0059361D" w:rsidRPr="00750CE2" w:rsidRDefault="00BC5861" w:rsidP="0059361D">
            <w:pPr>
              <w:jc w:val="right"/>
              <w:rPr>
                <w:rFonts w:ascii="Arial" w:hAnsi="Arial" w:cs="Arial"/>
                <w:sz w:val="22"/>
                <w:szCs w:val="22"/>
              </w:rPr>
            </w:pPr>
            <w:r w:rsidRPr="00750CE2">
              <w:rPr>
                <w:rFonts w:ascii="Arial" w:hAnsi="Arial" w:cs="Arial"/>
                <w:color w:val="000000"/>
                <w:sz w:val="22"/>
                <w:szCs w:val="22"/>
              </w:rPr>
              <w:t>(</w:t>
            </w:r>
            <w:r w:rsidR="0059361D" w:rsidRPr="00750CE2">
              <w:rPr>
                <w:rFonts w:ascii="Arial" w:hAnsi="Arial" w:cs="Arial"/>
                <w:color w:val="000000"/>
                <w:sz w:val="22"/>
                <w:szCs w:val="22"/>
              </w:rPr>
              <w:t>1,</w:t>
            </w:r>
            <w:r w:rsidR="000928BC" w:rsidRPr="00750CE2">
              <w:rPr>
                <w:rFonts w:ascii="Arial" w:hAnsi="Arial" w:cs="Arial"/>
                <w:color w:val="000000"/>
                <w:sz w:val="22"/>
                <w:szCs w:val="22"/>
              </w:rPr>
              <w:t>193</w:t>
            </w:r>
            <w:r w:rsidRPr="00750CE2">
              <w:rPr>
                <w:rFonts w:ascii="Arial" w:hAnsi="Arial" w:cs="Arial"/>
                <w:color w:val="000000"/>
                <w:sz w:val="22"/>
                <w:szCs w:val="22"/>
              </w:rPr>
              <w:t>)</w:t>
            </w:r>
          </w:p>
        </w:tc>
      </w:tr>
      <w:tr w:rsidR="0059361D" w:rsidRPr="00750CE2" w14:paraId="2A791D58" w14:textId="77777777" w:rsidTr="00980C56">
        <w:trPr>
          <w:trHeight w:val="275"/>
          <w:jc w:val="center"/>
        </w:trPr>
        <w:tc>
          <w:tcPr>
            <w:tcW w:w="2835" w:type="dxa"/>
            <w:tcBorders>
              <w:top w:val="nil"/>
              <w:left w:val="nil"/>
              <w:bottom w:val="nil"/>
              <w:right w:val="nil"/>
            </w:tcBorders>
            <w:shd w:val="clear" w:color="000000" w:fill="FFFFFF"/>
            <w:noWrap/>
            <w:vAlign w:val="bottom"/>
          </w:tcPr>
          <w:p w14:paraId="6DFA80D1" w14:textId="77777777" w:rsidR="0059361D" w:rsidRPr="0090046D" w:rsidRDefault="0059361D" w:rsidP="0059361D">
            <w:pPr>
              <w:ind w:left="-93"/>
              <w:rPr>
                <w:rFonts w:ascii="Arial" w:hAnsi="Arial" w:cs="Arial"/>
                <w:b/>
                <w:bCs/>
                <w:color w:val="000000"/>
                <w:sz w:val="22"/>
                <w:szCs w:val="22"/>
              </w:rPr>
            </w:pPr>
            <w:r w:rsidRPr="0090046D">
              <w:rPr>
                <w:rFonts w:ascii="Arial" w:hAnsi="Arial" w:cs="Arial"/>
                <w:b/>
                <w:bCs/>
                <w:color w:val="000000"/>
                <w:sz w:val="22"/>
                <w:szCs w:val="22"/>
              </w:rPr>
              <w:t>Total</w:t>
            </w:r>
          </w:p>
        </w:tc>
        <w:tc>
          <w:tcPr>
            <w:tcW w:w="2515" w:type="dxa"/>
            <w:tcBorders>
              <w:top w:val="nil"/>
              <w:left w:val="nil"/>
              <w:bottom w:val="single" w:sz="8" w:space="0" w:color="auto"/>
              <w:right w:val="nil"/>
            </w:tcBorders>
            <w:shd w:val="clear" w:color="000000" w:fill="FFFFFF"/>
            <w:noWrap/>
            <w:vAlign w:val="center"/>
          </w:tcPr>
          <w:p w14:paraId="3E2CB43B" w14:textId="662D88A8" w:rsidR="0059361D" w:rsidRPr="0090046D" w:rsidRDefault="00962AEC" w:rsidP="0059361D">
            <w:pPr>
              <w:jc w:val="right"/>
              <w:rPr>
                <w:rFonts w:ascii="Arial" w:hAnsi="Arial" w:cs="Arial"/>
                <w:b/>
                <w:bCs/>
                <w:sz w:val="22"/>
                <w:szCs w:val="22"/>
              </w:rPr>
            </w:pPr>
            <w:r w:rsidRPr="0090046D">
              <w:rPr>
                <w:rFonts w:ascii="Arial" w:hAnsi="Arial" w:cs="Arial"/>
                <w:b/>
                <w:bCs/>
                <w:sz w:val="22"/>
                <w:szCs w:val="22"/>
              </w:rPr>
              <w:t>128,763</w:t>
            </w:r>
          </w:p>
        </w:tc>
        <w:tc>
          <w:tcPr>
            <w:tcW w:w="1856" w:type="dxa"/>
            <w:tcBorders>
              <w:top w:val="nil"/>
              <w:left w:val="nil"/>
              <w:bottom w:val="single" w:sz="8" w:space="0" w:color="auto"/>
              <w:right w:val="nil"/>
            </w:tcBorders>
            <w:shd w:val="clear" w:color="000000" w:fill="FFFFFF"/>
            <w:noWrap/>
            <w:vAlign w:val="center"/>
          </w:tcPr>
          <w:p w14:paraId="540B2143" w14:textId="69284553" w:rsidR="0059361D" w:rsidRPr="0090046D" w:rsidRDefault="00265837" w:rsidP="0059361D">
            <w:pPr>
              <w:jc w:val="right"/>
              <w:rPr>
                <w:rFonts w:ascii="Arial" w:hAnsi="Arial" w:cs="Arial"/>
                <w:b/>
                <w:bCs/>
                <w:sz w:val="22"/>
                <w:szCs w:val="22"/>
              </w:rPr>
            </w:pPr>
            <w:r w:rsidRPr="0090046D">
              <w:rPr>
                <w:rFonts w:ascii="Arial" w:hAnsi="Arial" w:cs="Arial"/>
                <w:b/>
                <w:bCs/>
                <w:sz w:val="22"/>
                <w:szCs w:val="22"/>
              </w:rPr>
              <w:t>1,287</w:t>
            </w:r>
          </w:p>
        </w:tc>
        <w:tc>
          <w:tcPr>
            <w:tcW w:w="1558" w:type="dxa"/>
            <w:tcBorders>
              <w:top w:val="nil"/>
              <w:left w:val="nil"/>
              <w:bottom w:val="single" w:sz="8" w:space="0" w:color="auto"/>
              <w:right w:val="nil"/>
            </w:tcBorders>
            <w:shd w:val="clear" w:color="000000" w:fill="FFFFFF"/>
            <w:noWrap/>
            <w:vAlign w:val="center"/>
          </w:tcPr>
          <w:p w14:paraId="4A07DB69" w14:textId="65ECB4A6" w:rsidR="0059361D" w:rsidRPr="0090046D" w:rsidRDefault="00145DF1" w:rsidP="0059361D">
            <w:pPr>
              <w:jc w:val="right"/>
              <w:rPr>
                <w:rFonts w:ascii="Arial" w:hAnsi="Arial" w:cs="Arial"/>
                <w:b/>
                <w:bCs/>
                <w:sz w:val="22"/>
                <w:szCs w:val="22"/>
              </w:rPr>
            </w:pPr>
            <w:r w:rsidRPr="0090046D">
              <w:rPr>
                <w:rFonts w:ascii="Arial" w:hAnsi="Arial" w:cs="Arial"/>
                <w:b/>
                <w:bCs/>
                <w:color w:val="000000"/>
                <w:sz w:val="22"/>
                <w:szCs w:val="22"/>
              </w:rPr>
              <w:t>(</w:t>
            </w:r>
            <w:r w:rsidR="00265837" w:rsidRPr="0090046D">
              <w:rPr>
                <w:rFonts w:ascii="Arial" w:hAnsi="Arial" w:cs="Arial"/>
                <w:b/>
                <w:bCs/>
                <w:color w:val="000000"/>
                <w:sz w:val="22"/>
                <w:szCs w:val="22"/>
              </w:rPr>
              <w:t>1,287</w:t>
            </w:r>
            <w:r w:rsidRPr="0090046D">
              <w:rPr>
                <w:rFonts w:ascii="Arial" w:hAnsi="Arial" w:cs="Arial"/>
                <w:b/>
                <w:bCs/>
                <w:color w:val="000000"/>
                <w:sz w:val="22"/>
                <w:szCs w:val="22"/>
              </w:rPr>
              <w:t>)</w:t>
            </w:r>
          </w:p>
        </w:tc>
      </w:tr>
    </w:tbl>
    <w:p w14:paraId="0367766A" w14:textId="2FF3D8FE" w:rsidR="003C45DA" w:rsidRPr="00750CE2" w:rsidRDefault="003C45DA" w:rsidP="003C45DA">
      <w:pPr>
        <w:jc w:val="both"/>
        <w:rPr>
          <w:rFonts w:ascii="Arial" w:hAnsi="Arial" w:cs="Arial"/>
          <w:sz w:val="22"/>
          <w:szCs w:val="22"/>
        </w:rPr>
      </w:pPr>
    </w:p>
    <w:p w14:paraId="38D85D3E" w14:textId="77777777" w:rsidR="00FD69DC" w:rsidRPr="008A0A4E" w:rsidRDefault="00FD69DC" w:rsidP="003C45DA">
      <w:pPr>
        <w:jc w:val="both"/>
        <w:rPr>
          <w:rFonts w:ascii="Arial" w:hAnsi="Arial" w:cs="Arial"/>
          <w:b/>
          <w:sz w:val="22"/>
          <w:szCs w:val="22"/>
        </w:rPr>
      </w:pPr>
    </w:p>
    <w:p w14:paraId="0E24254D" w14:textId="0AB6AD25" w:rsidR="004F15D8" w:rsidRDefault="003C45DA" w:rsidP="00310918">
      <w:pPr>
        <w:tabs>
          <w:tab w:val="left" w:pos="885"/>
        </w:tabs>
        <w:ind w:left="426"/>
        <w:jc w:val="both"/>
        <w:rPr>
          <w:rFonts w:ascii="Arial" w:hAnsi="Arial" w:cs="Arial"/>
          <w:b/>
          <w:sz w:val="22"/>
          <w:szCs w:val="22"/>
        </w:rPr>
      </w:pPr>
      <w:r w:rsidRPr="008A0A4E">
        <w:rPr>
          <w:rFonts w:ascii="Arial" w:hAnsi="Arial" w:cs="Arial"/>
          <w:b/>
          <w:sz w:val="22"/>
          <w:szCs w:val="22"/>
        </w:rPr>
        <w:tab/>
      </w:r>
    </w:p>
    <w:p w14:paraId="047C474B" w14:textId="77777777" w:rsidR="00F5370F" w:rsidRDefault="00F5370F" w:rsidP="00310918">
      <w:pPr>
        <w:tabs>
          <w:tab w:val="left" w:pos="885"/>
        </w:tabs>
        <w:ind w:left="426"/>
        <w:jc w:val="both"/>
        <w:rPr>
          <w:rFonts w:ascii="Arial" w:hAnsi="Arial" w:cs="Arial"/>
          <w:b/>
          <w:sz w:val="22"/>
          <w:szCs w:val="22"/>
        </w:rPr>
      </w:pPr>
    </w:p>
    <w:p w14:paraId="419BA14F" w14:textId="77777777" w:rsidR="00F5370F" w:rsidRDefault="00F5370F" w:rsidP="00310918">
      <w:pPr>
        <w:tabs>
          <w:tab w:val="left" w:pos="885"/>
        </w:tabs>
        <w:ind w:left="426"/>
        <w:jc w:val="both"/>
        <w:rPr>
          <w:rFonts w:ascii="Arial" w:hAnsi="Arial" w:cs="Arial"/>
          <w:b/>
          <w:sz w:val="22"/>
          <w:szCs w:val="22"/>
        </w:rPr>
      </w:pPr>
    </w:p>
    <w:p w14:paraId="22DAF4BE" w14:textId="77777777" w:rsidR="00F5370F" w:rsidRDefault="00F5370F" w:rsidP="00310918">
      <w:pPr>
        <w:tabs>
          <w:tab w:val="left" w:pos="885"/>
        </w:tabs>
        <w:ind w:left="426"/>
        <w:jc w:val="both"/>
        <w:rPr>
          <w:rFonts w:ascii="Arial" w:hAnsi="Arial" w:cs="Arial"/>
          <w:b/>
          <w:sz w:val="22"/>
          <w:szCs w:val="22"/>
        </w:rPr>
      </w:pPr>
    </w:p>
    <w:p w14:paraId="5EA3CF37" w14:textId="77777777" w:rsidR="004A7AF6" w:rsidRDefault="004A7AF6" w:rsidP="00310918">
      <w:pPr>
        <w:tabs>
          <w:tab w:val="left" w:pos="885"/>
        </w:tabs>
        <w:ind w:left="426"/>
        <w:jc w:val="both"/>
        <w:rPr>
          <w:rFonts w:ascii="Arial" w:hAnsi="Arial" w:cs="Arial"/>
          <w:b/>
          <w:sz w:val="22"/>
          <w:szCs w:val="22"/>
        </w:rPr>
      </w:pPr>
    </w:p>
    <w:p w14:paraId="40C8EE83" w14:textId="5ADA921C" w:rsidR="003C45DA" w:rsidRPr="008A0A4E" w:rsidRDefault="003C45DA" w:rsidP="008A5809">
      <w:pPr>
        <w:ind w:left="284"/>
        <w:jc w:val="both"/>
        <w:rPr>
          <w:rFonts w:ascii="Arial" w:hAnsi="Arial" w:cs="Arial"/>
          <w:b/>
          <w:sz w:val="22"/>
          <w:szCs w:val="22"/>
        </w:rPr>
      </w:pPr>
      <w:r w:rsidRPr="008A0A4E">
        <w:rPr>
          <w:rFonts w:ascii="Arial" w:hAnsi="Arial" w:cs="Arial"/>
          <w:b/>
          <w:sz w:val="22"/>
          <w:szCs w:val="22"/>
        </w:rPr>
        <w:t xml:space="preserve">  Currency risk</w:t>
      </w:r>
    </w:p>
    <w:p w14:paraId="7772F552" w14:textId="77777777" w:rsidR="003C45DA" w:rsidRPr="008A0A4E" w:rsidRDefault="003C45DA" w:rsidP="003C45DA">
      <w:pPr>
        <w:ind w:left="426"/>
        <w:jc w:val="both"/>
        <w:rPr>
          <w:rFonts w:ascii="Arial" w:hAnsi="Arial" w:cs="Arial"/>
          <w:b/>
          <w:sz w:val="22"/>
          <w:szCs w:val="22"/>
        </w:rPr>
      </w:pPr>
    </w:p>
    <w:p w14:paraId="103A53E9"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(sterling).  The Fund holds both monetary and non-monetary assets denominated in currencies other than sterling.</w:t>
      </w:r>
    </w:p>
    <w:p w14:paraId="28B1D4B5" w14:textId="77777777" w:rsidR="003C45DA" w:rsidRPr="008A0A4E" w:rsidRDefault="003C45DA" w:rsidP="003C45DA">
      <w:pPr>
        <w:ind w:left="426"/>
        <w:jc w:val="both"/>
        <w:rPr>
          <w:rFonts w:ascii="Arial" w:hAnsi="Arial" w:cs="Arial"/>
          <w:sz w:val="22"/>
          <w:szCs w:val="22"/>
        </w:rPr>
      </w:pPr>
    </w:p>
    <w:p w14:paraId="4939ED09" w14:textId="56952900" w:rsidR="003C45DA" w:rsidRDefault="003C45DA" w:rsidP="003C45DA">
      <w:pPr>
        <w:ind w:left="426"/>
        <w:jc w:val="both"/>
        <w:rPr>
          <w:rFonts w:ascii="Arial" w:hAnsi="Arial" w:cs="Arial"/>
          <w:sz w:val="22"/>
          <w:szCs w:val="22"/>
        </w:rPr>
      </w:pPr>
      <w:r w:rsidRPr="008A0A4E">
        <w:rPr>
          <w:rFonts w:ascii="Arial" w:hAnsi="Arial" w:cs="Arial"/>
          <w:sz w:val="22"/>
          <w:szCs w:val="22"/>
        </w:rPr>
        <w:t xml:space="preserve">The Fund’s currency rate risk is routinely monitored by the Council and its investment advisors in accordance with Fund’s risk management strategy, including monitoring the range of exposure to currency fluctuations. </w:t>
      </w:r>
      <w:r w:rsidR="00D76921">
        <w:rPr>
          <w:rFonts w:ascii="Arial" w:hAnsi="Arial" w:cs="Arial"/>
          <w:sz w:val="22"/>
          <w:szCs w:val="22"/>
        </w:rPr>
        <w:t xml:space="preserve"> The following table</w:t>
      </w:r>
      <w:r w:rsidR="008F1D54">
        <w:rPr>
          <w:rFonts w:ascii="Arial" w:hAnsi="Arial" w:cs="Arial"/>
          <w:sz w:val="22"/>
          <w:szCs w:val="22"/>
        </w:rPr>
        <w:t>s</w:t>
      </w:r>
      <w:r w:rsidR="00D76921">
        <w:rPr>
          <w:rFonts w:ascii="Arial" w:hAnsi="Arial" w:cs="Arial"/>
          <w:sz w:val="22"/>
          <w:szCs w:val="22"/>
        </w:rPr>
        <w:t xml:space="preserve"> </w:t>
      </w:r>
      <w:r w:rsidR="00CE2880">
        <w:rPr>
          <w:rFonts w:ascii="Arial" w:hAnsi="Arial" w:cs="Arial"/>
          <w:sz w:val="22"/>
          <w:szCs w:val="22"/>
        </w:rPr>
        <w:t>summarise the Fund’s currency exposure</w:t>
      </w:r>
      <w:r w:rsidR="008F1D54">
        <w:rPr>
          <w:rFonts w:ascii="Arial" w:hAnsi="Arial" w:cs="Arial"/>
          <w:sz w:val="22"/>
          <w:szCs w:val="22"/>
        </w:rPr>
        <w:t>.</w:t>
      </w:r>
    </w:p>
    <w:p w14:paraId="31167A57" w14:textId="77777777" w:rsidR="0014690B" w:rsidRDefault="0014690B" w:rsidP="003C45DA">
      <w:pPr>
        <w:ind w:left="426"/>
        <w:jc w:val="both"/>
        <w:rPr>
          <w:rFonts w:ascii="Arial" w:hAnsi="Arial" w:cs="Arial"/>
          <w:sz w:val="22"/>
          <w:szCs w:val="22"/>
        </w:rPr>
      </w:pPr>
    </w:p>
    <w:p w14:paraId="3DB7B754" w14:textId="77777777" w:rsidR="0014690B" w:rsidRDefault="0014690B" w:rsidP="003C45DA">
      <w:pPr>
        <w:ind w:left="426"/>
        <w:jc w:val="both"/>
        <w:rPr>
          <w:rFonts w:ascii="Arial" w:hAnsi="Arial" w:cs="Arial"/>
          <w:sz w:val="22"/>
          <w:szCs w:val="22"/>
        </w:rPr>
      </w:pPr>
    </w:p>
    <w:tbl>
      <w:tblPr>
        <w:tblW w:w="8647" w:type="dxa"/>
        <w:tblLook w:val="04A0" w:firstRow="1" w:lastRow="0" w:firstColumn="1" w:lastColumn="0" w:noHBand="0" w:noVBand="1"/>
      </w:tblPr>
      <w:tblGrid>
        <w:gridCol w:w="5260"/>
        <w:gridCol w:w="1119"/>
        <w:gridCol w:w="1134"/>
        <w:gridCol w:w="1134"/>
      </w:tblGrid>
      <w:tr w:rsidR="0014690B" w14:paraId="2F875EC7" w14:textId="77777777" w:rsidTr="0014690B">
        <w:trPr>
          <w:trHeight w:val="300"/>
        </w:trPr>
        <w:tc>
          <w:tcPr>
            <w:tcW w:w="5260" w:type="dxa"/>
            <w:tcBorders>
              <w:top w:val="nil"/>
              <w:left w:val="nil"/>
              <w:bottom w:val="nil"/>
              <w:right w:val="nil"/>
            </w:tcBorders>
            <w:shd w:val="clear" w:color="auto" w:fill="auto"/>
            <w:noWrap/>
            <w:vAlign w:val="center"/>
            <w:hideMark/>
          </w:tcPr>
          <w:p w14:paraId="62205EBE" w14:textId="1F4709DB" w:rsidR="0014690B" w:rsidRPr="001F3E93" w:rsidRDefault="0014690B">
            <w:pPr>
              <w:jc w:val="both"/>
              <w:rPr>
                <w:rFonts w:ascii="Arial" w:hAnsi="Arial" w:cs="Arial"/>
                <w:b/>
                <w:bCs/>
                <w:color w:val="000000"/>
                <w:sz w:val="22"/>
                <w:szCs w:val="22"/>
              </w:rPr>
            </w:pPr>
            <w:r w:rsidRPr="001F3E93">
              <w:rPr>
                <w:rFonts w:ascii="Arial" w:hAnsi="Arial" w:cs="Arial"/>
                <w:b/>
                <w:bCs/>
                <w:color w:val="000000"/>
                <w:sz w:val="22"/>
                <w:szCs w:val="22"/>
              </w:rPr>
              <w:t>31 March 2025</w:t>
            </w:r>
          </w:p>
        </w:tc>
        <w:tc>
          <w:tcPr>
            <w:tcW w:w="1119" w:type="dxa"/>
            <w:tcBorders>
              <w:top w:val="nil"/>
              <w:left w:val="nil"/>
              <w:bottom w:val="nil"/>
              <w:right w:val="nil"/>
            </w:tcBorders>
            <w:shd w:val="clear" w:color="auto" w:fill="auto"/>
            <w:noWrap/>
            <w:vAlign w:val="bottom"/>
            <w:hideMark/>
          </w:tcPr>
          <w:p w14:paraId="0EDF9018" w14:textId="77777777" w:rsidR="0014690B" w:rsidRDefault="0014690B">
            <w:pPr>
              <w:jc w:val="both"/>
              <w:rPr>
                <w:rFonts w:ascii="Arial" w:hAnsi="Arial" w:cs="Arial"/>
                <w:color w:val="000000"/>
                <w:sz w:val="22"/>
                <w:szCs w:val="22"/>
              </w:rPr>
            </w:pPr>
          </w:p>
        </w:tc>
        <w:tc>
          <w:tcPr>
            <w:tcW w:w="1134" w:type="dxa"/>
            <w:tcBorders>
              <w:top w:val="nil"/>
              <w:left w:val="nil"/>
              <w:bottom w:val="nil"/>
              <w:right w:val="nil"/>
            </w:tcBorders>
            <w:shd w:val="clear" w:color="auto" w:fill="auto"/>
            <w:noWrap/>
            <w:vAlign w:val="bottom"/>
            <w:hideMark/>
          </w:tcPr>
          <w:p w14:paraId="31A79FDE"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06ACD581" w14:textId="77777777" w:rsidR="0014690B" w:rsidRDefault="0014690B">
            <w:pPr>
              <w:rPr>
                <w:sz w:val="20"/>
                <w:szCs w:val="20"/>
              </w:rPr>
            </w:pPr>
          </w:p>
        </w:tc>
      </w:tr>
      <w:tr w:rsidR="0014690B" w14:paraId="1EE384BE" w14:textId="77777777" w:rsidTr="0014690B">
        <w:trPr>
          <w:trHeight w:val="300"/>
        </w:trPr>
        <w:tc>
          <w:tcPr>
            <w:tcW w:w="5260" w:type="dxa"/>
            <w:tcBorders>
              <w:top w:val="nil"/>
              <w:left w:val="nil"/>
              <w:bottom w:val="nil"/>
              <w:right w:val="nil"/>
            </w:tcBorders>
            <w:shd w:val="clear" w:color="auto" w:fill="auto"/>
            <w:noWrap/>
            <w:vAlign w:val="bottom"/>
            <w:hideMark/>
          </w:tcPr>
          <w:p w14:paraId="774BB282" w14:textId="77777777" w:rsidR="0014690B" w:rsidRDefault="0014690B">
            <w:pPr>
              <w:rPr>
                <w:sz w:val="20"/>
                <w:szCs w:val="20"/>
              </w:rPr>
            </w:pPr>
          </w:p>
        </w:tc>
        <w:tc>
          <w:tcPr>
            <w:tcW w:w="1119" w:type="dxa"/>
            <w:tcBorders>
              <w:top w:val="nil"/>
              <w:left w:val="nil"/>
              <w:bottom w:val="nil"/>
              <w:right w:val="nil"/>
            </w:tcBorders>
            <w:shd w:val="clear" w:color="auto" w:fill="auto"/>
            <w:noWrap/>
            <w:vAlign w:val="center"/>
            <w:hideMark/>
          </w:tcPr>
          <w:p w14:paraId="2E0C2A9A" w14:textId="77777777"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USD</w:t>
            </w:r>
          </w:p>
        </w:tc>
        <w:tc>
          <w:tcPr>
            <w:tcW w:w="1134" w:type="dxa"/>
            <w:tcBorders>
              <w:top w:val="nil"/>
              <w:left w:val="nil"/>
              <w:bottom w:val="nil"/>
              <w:right w:val="nil"/>
            </w:tcBorders>
            <w:shd w:val="clear" w:color="auto" w:fill="auto"/>
            <w:noWrap/>
            <w:vAlign w:val="center"/>
            <w:hideMark/>
          </w:tcPr>
          <w:p w14:paraId="23CB15B6" w14:textId="77777777"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EUR</w:t>
            </w:r>
          </w:p>
        </w:tc>
        <w:tc>
          <w:tcPr>
            <w:tcW w:w="1134" w:type="dxa"/>
            <w:tcBorders>
              <w:top w:val="nil"/>
              <w:left w:val="nil"/>
              <w:bottom w:val="nil"/>
              <w:right w:val="nil"/>
            </w:tcBorders>
            <w:shd w:val="clear" w:color="auto" w:fill="auto"/>
            <w:noWrap/>
            <w:vAlign w:val="center"/>
            <w:hideMark/>
          </w:tcPr>
          <w:p w14:paraId="410CB0B2" w14:textId="77777777"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TOTAL</w:t>
            </w:r>
          </w:p>
        </w:tc>
      </w:tr>
      <w:tr w:rsidR="0014690B" w14:paraId="098B0EA8" w14:textId="77777777" w:rsidTr="0014690B">
        <w:trPr>
          <w:trHeight w:val="300"/>
        </w:trPr>
        <w:tc>
          <w:tcPr>
            <w:tcW w:w="5260" w:type="dxa"/>
            <w:tcBorders>
              <w:top w:val="nil"/>
              <w:left w:val="nil"/>
              <w:bottom w:val="nil"/>
              <w:right w:val="nil"/>
            </w:tcBorders>
            <w:shd w:val="clear" w:color="auto" w:fill="auto"/>
            <w:noWrap/>
            <w:vAlign w:val="bottom"/>
            <w:hideMark/>
          </w:tcPr>
          <w:p w14:paraId="19682BF7" w14:textId="77777777" w:rsidR="0014690B" w:rsidRDefault="0014690B">
            <w:pPr>
              <w:jc w:val="both"/>
              <w:rPr>
                <w:rFonts w:ascii="Arial" w:hAnsi="Arial" w:cs="Arial"/>
                <w:b/>
                <w:bCs/>
                <w:color w:val="000000"/>
                <w:sz w:val="22"/>
                <w:szCs w:val="22"/>
              </w:rPr>
            </w:pPr>
          </w:p>
        </w:tc>
        <w:tc>
          <w:tcPr>
            <w:tcW w:w="1119" w:type="dxa"/>
            <w:tcBorders>
              <w:top w:val="nil"/>
              <w:left w:val="nil"/>
              <w:bottom w:val="nil"/>
              <w:right w:val="nil"/>
            </w:tcBorders>
            <w:shd w:val="clear" w:color="auto" w:fill="auto"/>
            <w:noWrap/>
            <w:vAlign w:val="center"/>
            <w:hideMark/>
          </w:tcPr>
          <w:p w14:paraId="4C6B6C62" w14:textId="50C4E483"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£m</w:t>
            </w:r>
          </w:p>
        </w:tc>
        <w:tc>
          <w:tcPr>
            <w:tcW w:w="1134" w:type="dxa"/>
            <w:tcBorders>
              <w:top w:val="nil"/>
              <w:left w:val="nil"/>
              <w:bottom w:val="nil"/>
              <w:right w:val="nil"/>
            </w:tcBorders>
            <w:shd w:val="clear" w:color="auto" w:fill="auto"/>
            <w:noWrap/>
            <w:vAlign w:val="center"/>
            <w:hideMark/>
          </w:tcPr>
          <w:p w14:paraId="5029DAA5" w14:textId="77777777"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£m</w:t>
            </w:r>
          </w:p>
        </w:tc>
        <w:tc>
          <w:tcPr>
            <w:tcW w:w="1134" w:type="dxa"/>
            <w:tcBorders>
              <w:top w:val="nil"/>
              <w:left w:val="nil"/>
              <w:bottom w:val="nil"/>
              <w:right w:val="nil"/>
            </w:tcBorders>
            <w:shd w:val="clear" w:color="auto" w:fill="auto"/>
            <w:noWrap/>
            <w:vAlign w:val="center"/>
            <w:hideMark/>
          </w:tcPr>
          <w:p w14:paraId="70B5CD1F" w14:textId="2C7F4371" w:rsidR="0014690B" w:rsidRDefault="0014690B" w:rsidP="00315A04">
            <w:pPr>
              <w:jc w:val="center"/>
              <w:rPr>
                <w:rFonts w:ascii="Arial" w:hAnsi="Arial" w:cs="Arial"/>
                <w:b/>
                <w:bCs/>
                <w:color w:val="000000"/>
                <w:sz w:val="22"/>
                <w:szCs w:val="22"/>
              </w:rPr>
            </w:pPr>
            <w:r>
              <w:rPr>
                <w:rFonts w:ascii="Arial" w:hAnsi="Arial" w:cs="Arial"/>
                <w:b/>
                <w:bCs/>
                <w:color w:val="000000"/>
                <w:sz w:val="22"/>
                <w:szCs w:val="22"/>
              </w:rPr>
              <w:t>£m</w:t>
            </w:r>
          </w:p>
        </w:tc>
      </w:tr>
      <w:tr w:rsidR="0014690B" w14:paraId="1D1F67EB" w14:textId="77777777" w:rsidTr="0014690B">
        <w:trPr>
          <w:trHeight w:val="300"/>
        </w:trPr>
        <w:tc>
          <w:tcPr>
            <w:tcW w:w="5260" w:type="dxa"/>
            <w:tcBorders>
              <w:top w:val="nil"/>
              <w:left w:val="nil"/>
              <w:bottom w:val="nil"/>
              <w:right w:val="nil"/>
            </w:tcBorders>
            <w:shd w:val="clear" w:color="auto" w:fill="auto"/>
            <w:noWrap/>
            <w:vAlign w:val="center"/>
            <w:hideMark/>
          </w:tcPr>
          <w:p w14:paraId="36BE0831" w14:textId="77777777" w:rsidR="0014690B" w:rsidRDefault="0014690B">
            <w:pPr>
              <w:jc w:val="both"/>
              <w:rPr>
                <w:rFonts w:ascii="Arial" w:hAnsi="Arial" w:cs="Arial"/>
                <w:b/>
                <w:bCs/>
                <w:color w:val="000000"/>
                <w:sz w:val="22"/>
                <w:szCs w:val="22"/>
              </w:rPr>
            </w:pPr>
          </w:p>
        </w:tc>
        <w:tc>
          <w:tcPr>
            <w:tcW w:w="1119" w:type="dxa"/>
            <w:tcBorders>
              <w:top w:val="nil"/>
              <w:left w:val="nil"/>
              <w:bottom w:val="nil"/>
              <w:right w:val="nil"/>
            </w:tcBorders>
            <w:shd w:val="clear" w:color="auto" w:fill="auto"/>
            <w:noWrap/>
            <w:vAlign w:val="bottom"/>
            <w:hideMark/>
          </w:tcPr>
          <w:p w14:paraId="334D0C61" w14:textId="77777777" w:rsidR="0014690B" w:rsidRDefault="0014690B">
            <w:pPr>
              <w:jc w:val="both"/>
              <w:rPr>
                <w:sz w:val="20"/>
                <w:szCs w:val="20"/>
              </w:rPr>
            </w:pPr>
          </w:p>
        </w:tc>
        <w:tc>
          <w:tcPr>
            <w:tcW w:w="1134" w:type="dxa"/>
            <w:tcBorders>
              <w:top w:val="nil"/>
              <w:left w:val="nil"/>
              <w:bottom w:val="nil"/>
              <w:right w:val="nil"/>
            </w:tcBorders>
            <w:shd w:val="clear" w:color="auto" w:fill="auto"/>
            <w:noWrap/>
            <w:vAlign w:val="bottom"/>
            <w:hideMark/>
          </w:tcPr>
          <w:p w14:paraId="2DE0B124"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1FF88BFF" w14:textId="77777777" w:rsidR="0014690B" w:rsidRDefault="0014690B">
            <w:pPr>
              <w:rPr>
                <w:sz w:val="20"/>
                <w:szCs w:val="20"/>
              </w:rPr>
            </w:pPr>
          </w:p>
        </w:tc>
      </w:tr>
      <w:tr w:rsidR="0014690B" w14:paraId="2CF3625A" w14:textId="77777777" w:rsidTr="0014690B">
        <w:trPr>
          <w:trHeight w:val="300"/>
        </w:trPr>
        <w:tc>
          <w:tcPr>
            <w:tcW w:w="5260" w:type="dxa"/>
            <w:tcBorders>
              <w:top w:val="nil"/>
              <w:left w:val="nil"/>
              <w:bottom w:val="nil"/>
              <w:right w:val="nil"/>
            </w:tcBorders>
            <w:shd w:val="clear" w:color="auto" w:fill="auto"/>
            <w:noWrap/>
            <w:vAlign w:val="center"/>
            <w:hideMark/>
          </w:tcPr>
          <w:p w14:paraId="58E25146" w14:textId="77777777" w:rsidR="0014690B" w:rsidRDefault="0014690B">
            <w:pPr>
              <w:jc w:val="both"/>
              <w:rPr>
                <w:rFonts w:ascii="Arial" w:hAnsi="Arial" w:cs="Arial"/>
                <w:color w:val="000000"/>
                <w:sz w:val="22"/>
                <w:szCs w:val="22"/>
              </w:rPr>
            </w:pPr>
            <w:r>
              <w:rPr>
                <w:rFonts w:ascii="Arial" w:hAnsi="Arial" w:cs="Arial"/>
                <w:color w:val="000000"/>
                <w:sz w:val="22"/>
                <w:szCs w:val="22"/>
              </w:rPr>
              <w:t>Overseas Unit Trusts</w:t>
            </w:r>
          </w:p>
        </w:tc>
        <w:tc>
          <w:tcPr>
            <w:tcW w:w="1119" w:type="dxa"/>
            <w:tcBorders>
              <w:top w:val="nil"/>
              <w:left w:val="nil"/>
              <w:bottom w:val="nil"/>
              <w:right w:val="nil"/>
            </w:tcBorders>
            <w:shd w:val="clear" w:color="auto" w:fill="auto"/>
            <w:noWrap/>
            <w:vAlign w:val="center"/>
            <w:hideMark/>
          </w:tcPr>
          <w:p w14:paraId="7D54DF64" w14:textId="0955E20D" w:rsidR="0014690B" w:rsidRDefault="0014690B">
            <w:pPr>
              <w:jc w:val="both"/>
              <w:rPr>
                <w:rFonts w:ascii="Arial" w:hAnsi="Arial" w:cs="Arial"/>
                <w:color w:val="000000"/>
                <w:sz w:val="22"/>
                <w:szCs w:val="22"/>
              </w:rPr>
            </w:pPr>
            <w:r>
              <w:rPr>
                <w:rFonts w:ascii="Arial" w:hAnsi="Arial" w:cs="Arial"/>
                <w:color w:val="000000"/>
                <w:sz w:val="22"/>
                <w:szCs w:val="22"/>
              </w:rPr>
              <w:t xml:space="preserve">  343.1 </w:t>
            </w:r>
          </w:p>
        </w:tc>
        <w:tc>
          <w:tcPr>
            <w:tcW w:w="1134" w:type="dxa"/>
            <w:tcBorders>
              <w:top w:val="nil"/>
              <w:left w:val="nil"/>
              <w:bottom w:val="nil"/>
              <w:right w:val="nil"/>
            </w:tcBorders>
            <w:shd w:val="clear" w:color="auto" w:fill="auto"/>
            <w:noWrap/>
            <w:vAlign w:val="center"/>
            <w:hideMark/>
          </w:tcPr>
          <w:p w14:paraId="3C0AEDEC" w14:textId="76FFAE70" w:rsidR="0014690B" w:rsidRDefault="0014690B">
            <w:pPr>
              <w:jc w:val="both"/>
              <w:rPr>
                <w:rFonts w:ascii="Arial" w:hAnsi="Arial" w:cs="Arial"/>
                <w:color w:val="000000"/>
                <w:sz w:val="22"/>
                <w:szCs w:val="22"/>
              </w:rPr>
            </w:pPr>
            <w:r>
              <w:rPr>
                <w:rFonts w:ascii="Arial" w:hAnsi="Arial" w:cs="Arial"/>
                <w:color w:val="000000"/>
                <w:sz w:val="22"/>
                <w:szCs w:val="22"/>
              </w:rPr>
              <w:t xml:space="preserve">  233.1 </w:t>
            </w:r>
          </w:p>
        </w:tc>
        <w:tc>
          <w:tcPr>
            <w:tcW w:w="1134" w:type="dxa"/>
            <w:tcBorders>
              <w:top w:val="nil"/>
              <w:left w:val="nil"/>
              <w:bottom w:val="nil"/>
              <w:right w:val="nil"/>
            </w:tcBorders>
            <w:shd w:val="clear" w:color="auto" w:fill="auto"/>
            <w:noWrap/>
            <w:vAlign w:val="center"/>
            <w:hideMark/>
          </w:tcPr>
          <w:p w14:paraId="0A565479" w14:textId="6245A0D6" w:rsidR="0014690B" w:rsidRPr="001F3E93" w:rsidRDefault="0014690B">
            <w:pPr>
              <w:jc w:val="both"/>
              <w:rPr>
                <w:rFonts w:ascii="Arial" w:hAnsi="Arial" w:cs="Arial"/>
                <w:b/>
                <w:bCs/>
                <w:color w:val="000000"/>
                <w:sz w:val="22"/>
                <w:szCs w:val="22"/>
              </w:rPr>
            </w:pPr>
            <w:r w:rsidRPr="001F3E93">
              <w:rPr>
                <w:rFonts w:ascii="Arial" w:hAnsi="Arial" w:cs="Arial"/>
                <w:b/>
                <w:bCs/>
                <w:color w:val="000000"/>
                <w:sz w:val="22"/>
                <w:szCs w:val="22"/>
              </w:rPr>
              <w:t xml:space="preserve">  576.2 </w:t>
            </w:r>
          </w:p>
        </w:tc>
      </w:tr>
      <w:tr w:rsidR="0014690B" w14:paraId="50513E81" w14:textId="77777777" w:rsidTr="0014690B">
        <w:trPr>
          <w:trHeight w:val="300"/>
        </w:trPr>
        <w:tc>
          <w:tcPr>
            <w:tcW w:w="5260" w:type="dxa"/>
            <w:tcBorders>
              <w:top w:val="nil"/>
              <w:left w:val="nil"/>
              <w:bottom w:val="nil"/>
              <w:right w:val="nil"/>
            </w:tcBorders>
            <w:shd w:val="clear" w:color="auto" w:fill="auto"/>
            <w:noWrap/>
            <w:vAlign w:val="center"/>
            <w:hideMark/>
          </w:tcPr>
          <w:p w14:paraId="1010D99C" w14:textId="77777777" w:rsidR="0014690B" w:rsidRDefault="0014690B">
            <w:pPr>
              <w:rPr>
                <w:rFonts w:ascii="Arial" w:hAnsi="Arial" w:cs="Arial"/>
                <w:color w:val="000000"/>
                <w:sz w:val="22"/>
                <w:szCs w:val="22"/>
              </w:rPr>
            </w:pPr>
            <w:r>
              <w:rPr>
                <w:rFonts w:ascii="Arial" w:hAnsi="Arial" w:cs="Arial"/>
                <w:color w:val="000000"/>
                <w:sz w:val="22"/>
                <w:szCs w:val="22"/>
              </w:rPr>
              <w:t>Overseas Private Equity/Infrastructure/Private debt</w:t>
            </w:r>
          </w:p>
        </w:tc>
        <w:tc>
          <w:tcPr>
            <w:tcW w:w="1119" w:type="dxa"/>
            <w:tcBorders>
              <w:top w:val="nil"/>
              <w:left w:val="nil"/>
              <w:bottom w:val="nil"/>
              <w:right w:val="nil"/>
            </w:tcBorders>
            <w:shd w:val="clear" w:color="auto" w:fill="auto"/>
            <w:noWrap/>
            <w:vAlign w:val="center"/>
            <w:hideMark/>
          </w:tcPr>
          <w:p w14:paraId="7178F103" w14:textId="3ECDC4B2" w:rsidR="0014690B" w:rsidRDefault="0014690B">
            <w:pPr>
              <w:jc w:val="both"/>
              <w:rPr>
                <w:rFonts w:ascii="Arial" w:hAnsi="Arial" w:cs="Arial"/>
                <w:color w:val="000000"/>
                <w:sz w:val="22"/>
                <w:szCs w:val="22"/>
              </w:rPr>
            </w:pPr>
            <w:r>
              <w:rPr>
                <w:rFonts w:ascii="Arial" w:hAnsi="Arial" w:cs="Arial"/>
                <w:color w:val="000000"/>
                <w:sz w:val="22"/>
                <w:szCs w:val="22"/>
              </w:rPr>
              <w:t xml:space="preserve">    66.5 </w:t>
            </w:r>
          </w:p>
        </w:tc>
        <w:tc>
          <w:tcPr>
            <w:tcW w:w="1134" w:type="dxa"/>
            <w:tcBorders>
              <w:top w:val="nil"/>
              <w:left w:val="nil"/>
              <w:bottom w:val="nil"/>
              <w:right w:val="nil"/>
            </w:tcBorders>
            <w:shd w:val="clear" w:color="auto" w:fill="auto"/>
            <w:noWrap/>
            <w:vAlign w:val="center"/>
            <w:hideMark/>
          </w:tcPr>
          <w:p w14:paraId="47C2FAE6" w14:textId="49D3ED5B" w:rsidR="0014690B" w:rsidRDefault="0014690B">
            <w:pPr>
              <w:jc w:val="both"/>
              <w:rPr>
                <w:rFonts w:ascii="Arial" w:hAnsi="Arial" w:cs="Arial"/>
                <w:color w:val="000000"/>
                <w:sz w:val="22"/>
                <w:szCs w:val="22"/>
              </w:rPr>
            </w:pPr>
            <w:r>
              <w:rPr>
                <w:rFonts w:ascii="Arial" w:hAnsi="Arial" w:cs="Arial"/>
                <w:color w:val="000000"/>
                <w:sz w:val="22"/>
                <w:szCs w:val="22"/>
              </w:rPr>
              <w:t xml:space="preserve">    64.6 </w:t>
            </w:r>
          </w:p>
        </w:tc>
        <w:tc>
          <w:tcPr>
            <w:tcW w:w="1134" w:type="dxa"/>
            <w:tcBorders>
              <w:top w:val="nil"/>
              <w:left w:val="nil"/>
              <w:bottom w:val="single" w:sz="4" w:space="0" w:color="auto"/>
              <w:right w:val="nil"/>
            </w:tcBorders>
            <w:shd w:val="clear" w:color="auto" w:fill="auto"/>
            <w:noWrap/>
            <w:vAlign w:val="center"/>
            <w:hideMark/>
          </w:tcPr>
          <w:p w14:paraId="1E20184F" w14:textId="24381759" w:rsidR="0014690B" w:rsidRPr="001F3E93" w:rsidRDefault="0014690B">
            <w:pPr>
              <w:jc w:val="both"/>
              <w:rPr>
                <w:rFonts w:ascii="Arial" w:hAnsi="Arial" w:cs="Arial"/>
                <w:b/>
                <w:bCs/>
                <w:color w:val="000000"/>
                <w:sz w:val="22"/>
                <w:szCs w:val="22"/>
              </w:rPr>
            </w:pPr>
            <w:r w:rsidRPr="001F3E93">
              <w:rPr>
                <w:rFonts w:ascii="Arial" w:hAnsi="Arial" w:cs="Arial"/>
                <w:b/>
                <w:bCs/>
                <w:color w:val="000000"/>
                <w:sz w:val="22"/>
                <w:szCs w:val="22"/>
              </w:rPr>
              <w:t xml:space="preserve">  131.1 </w:t>
            </w:r>
          </w:p>
        </w:tc>
      </w:tr>
      <w:tr w:rsidR="0014690B" w14:paraId="7132763F" w14:textId="77777777" w:rsidTr="0014690B">
        <w:trPr>
          <w:trHeight w:val="300"/>
        </w:trPr>
        <w:tc>
          <w:tcPr>
            <w:tcW w:w="5260" w:type="dxa"/>
            <w:tcBorders>
              <w:top w:val="nil"/>
              <w:left w:val="nil"/>
              <w:bottom w:val="nil"/>
              <w:right w:val="nil"/>
            </w:tcBorders>
            <w:shd w:val="clear" w:color="auto" w:fill="auto"/>
            <w:noWrap/>
            <w:vAlign w:val="center"/>
            <w:hideMark/>
          </w:tcPr>
          <w:p w14:paraId="57D7B05B" w14:textId="77777777" w:rsidR="0014690B" w:rsidRDefault="0014690B">
            <w:pPr>
              <w:jc w:val="both"/>
              <w:rPr>
                <w:rFonts w:ascii="Arial" w:hAnsi="Arial" w:cs="Arial"/>
                <w:b/>
                <w:bCs/>
                <w:color w:val="000000"/>
                <w:sz w:val="22"/>
                <w:szCs w:val="22"/>
              </w:rPr>
            </w:pPr>
            <w:r>
              <w:rPr>
                <w:rFonts w:ascii="Arial" w:hAnsi="Arial" w:cs="Arial"/>
                <w:b/>
                <w:bCs/>
                <w:color w:val="000000"/>
                <w:sz w:val="22"/>
                <w:szCs w:val="22"/>
              </w:rPr>
              <w:t>Total</w:t>
            </w:r>
          </w:p>
        </w:tc>
        <w:tc>
          <w:tcPr>
            <w:tcW w:w="1119" w:type="dxa"/>
            <w:tcBorders>
              <w:top w:val="nil"/>
              <w:left w:val="nil"/>
              <w:bottom w:val="nil"/>
              <w:right w:val="nil"/>
            </w:tcBorders>
            <w:shd w:val="clear" w:color="auto" w:fill="auto"/>
            <w:noWrap/>
            <w:vAlign w:val="bottom"/>
            <w:hideMark/>
          </w:tcPr>
          <w:p w14:paraId="08957691" w14:textId="77777777" w:rsidR="0014690B" w:rsidRDefault="0014690B">
            <w:pPr>
              <w:jc w:val="both"/>
              <w:rPr>
                <w:rFonts w:ascii="Arial" w:hAnsi="Arial" w:cs="Arial"/>
                <w:b/>
                <w:bCs/>
                <w:color w:val="000000"/>
                <w:sz w:val="22"/>
                <w:szCs w:val="22"/>
              </w:rPr>
            </w:pPr>
          </w:p>
        </w:tc>
        <w:tc>
          <w:tcPr>
            <w:tcW w:w="1134" w:type="dxa"/>
            <w:tcBorders>
              <w:top w:val="nil"/>
              <w:left w:val="nil"/>
              <w:bottom w:val="nil"/>
              <w:right w:val="nil"/>
            </w:tcBorders>
            <w:shd w:val="clear" w:color="auto" w:fill="auto"/>
            <w:noWrap/>
            <w:vAlign w:val="bottom"/>
            <w:hideMark/>
          </w:tcPr>
          <w:p w14:paraId="68F2548B" w14:textId="77777777" w:rsidR="0014690B" w:rsidRDefault="0014690B">
            <w:pPr>
              <w:rPr>
                <w:sz w:val="20"/>
                <w:szCs w:val="20"/>
              </w:rPr>
            </w:pPr>
          </w:p>
        </w:tc>
        <w:tc>
          <w:tcPr>
            <w:tcW w:w="1134" w:type="dxa"/>
            <w:tcBorders>
              <w:top w:val="nil"/>
              <w:left w:val="nil"/>
              <w:bottom w:val="nil"/>
              <w:right w:val="nil"/>
            </w:tcBorders>
            <w:shd w:val="clear" w:color="auto" w:fill="auto"/>
            <w:noWrap/>
            <w:vAlign w:val="center"/>
            <w:hideMark/>
          </w:tcPr>
          <w:p w14:paraId="33A2375B" w14:textId="16E47080" w:rsidR="0014690B" w:rsidRPr="001F3E93" w:rsidRDefault="0014690B">
            <w:pPr>
              <w:jc w:val="both"/>
              <w:rPr>
                <w:rFonts w:ascii="Arial" w:hAnsi="Arial" w:cs="Arial"/>
                <w:b/>
                <w:bCs/>
                <w:color w:val="000000"/>
                <w:sz w:val="22"/>
                <w:szCs w:val="22"/>
              </w:rPr>
            </w:pPr>
            <w:r w:rsidRPr="001F3E93">
              <w:rPr>
                <w:rFonts w:ascii="Arial" w:hAnsi="Arial" w:cs="Arial"/>
                <w:b/>
                <w:bCs/>
                <w:color w:val="000000"/>
                <w:sz w:val="22"/>
                <w:szCs w:val="22"/>
              </w:rPr>
              <w:t xml:space="preserve">  707.3 </w:t>
            </w:r>
          </w:p>
        </w:tc>
      </w:tr>
      <w:tr w:rsidR="0014690B" w14:paraId="64B1DCBB" w14:textId="77777777" w:rsidTr="0014690B">
        <w:trPr>
          <w:trHeight w:val="300"/>
        </w:trPr>
        <w:tc>
          <w:tcPr>
            <w:tcW w:w="5260" w:type="dxa"/>
            <w:tcBorders>
              <w:top w:val="nil"/>
              <w:left w:val="nil"/>
              <w:bottom w:val="nil"/>
              <w:right w:val="nil"/>
            </w:tcBorders>
            <w:shd w:val="clear" w:color="auto" w:fill="auto"/>
            <w:noWrap/>
            <w:vAlign w:val="bottom"/>
            <w:hideMark/>
          </w:tcPr>
          <w:p w14:paraId="37EF4713" w14:textId="77777777" w:rsidR="0014690B" w:rsidRDefault="0014690B">
            <w:pPr>
              <w:jc w:val="both"/>
              <w:rPr>
                <w:rFonts w:ascii="Arial" w:hAnsi="Arial" w:cs="Arial"/>
                <w:b/>
                <w:bCs/>
                <w:color w:val="000000"/>
                <w:sz w:val="22"/>
                <w:szCs w:val="22"/>
              </w:rPr>
            </w:pPr>
          </w:p>
        </w:tc>
        <w:tc>
          <w:tcPr>
            <w:tcW w:w="1119" w:type="dxa"/>
            <w:tcBorders>
              <w:top w:val="nil"/>
              <w:left w:val="nil"/>
              <w:bottom w:val="nil"/>
              <w:right w:val="nil"/>
            </w:tcBorders>
            <w:shd w:val="clear" w:color="auto" w:fill="auto"/>
            <w:noWrap/>
            <w:vAlign w:val="bottom"/>
            <w:hideMark/>
          </w:tcPr>
          <w:p w14:paraId="718664DD"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4BD85EA2"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46B33981" w14:textId="77777777" w:rsidR="0014690B" w:rsidRDefault="0014690B">
            <w:pPr>
              <w:rPr>
                <w:sz w:val="20"/>
                <w:szCs w:val="20"/>
              </w:rPr>
            </w:pPr>
          </w:p>
        </w:tc>
      </w:tr>
      <w:tr w:rsidR="0014690B" w14:paraId="6475A458" w14:textId="77777777" w:rsidTr="0014690B">
        <w:trPr>
          <w:trHeight w:val="300"/>
        </w:trPr>
        <w:tc>
          <w:tcPr>
            <w:tcW w:w="5260" w:type="dxa"/>
            <w:tcBorders>
              <w:top w:val="nil"/>
              <w:left w:val="nil"/>
              <w:bottom w:val="nil"/>
              <w:right w:val="nil"/>
            </w:tcBorders>
            <w:shd w:val="clear" w:color="auto" w:fill="auto"/>
            <w:noWrap/>
            <w:vAlign w:val="bottom"/>
            <w:hideMark/>
          </w:tcPr>
          <w:p w14:paraId="166DEE18" w14:textId="77777777" w:rsidR="0014690B" w:rsidRDefault="0014690B">
            <w:pPr>
              <w:rPr>
                <w:sz w:val="20"/>
                <w:szCs w:val="20"/>
              </w:rPr>
            </w:pPr>
          </w:p>
        </w:tc>
        <w:tc>
          <w:tcPr>
            <w:tcW w:w="1119" w:type="dxa"/>
            <w:tcBorders>
              <w:top w:val="nil"/>
              <w:left w:val="nil"/>
              <w:bottom w:val="nil"/>
              <w:right w:val="nil"/>
            </w:tcBorders>
            <w:shd w:val="clear" w:color="auto" w:fill="auto"/>
            <w:noWrap/>
            <w:vAlign w:val="bottom"/>
            <w:hideMark/>
          </w:tcPr>
          <w:p w14:paraId="1253C160"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322E2B42"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303E6356" w14:textId="77777777" w:rsidR="0014690B" w:rsidRDefault="0014690B">
            <w:pPr>
              <w:rPr>
                <w:sz w:val="20"/>
                <w:szCs w:val="20"/>
              </w:rPr>
            </w:pPr>
          </w:p>
        </w:tc>
      </w:tr>
      <w:tr w:rsidR="0014690B" w14:paraId="25FBF5E9" w14:textId="77777777" w:rsidTr="0014690B">
        <w:trPr>
          <w:trHeight w:val="300"/>
        </w:trPr>
        <w:tc>
          <w:tcPr>
            <w:tcW w:w="5260" w:type="dxa"/>
            <w:tcBorders>
              <w:top w:val="nil"/>
              <w:left w:val="nil"/>
              <w:bottom w:val="nil"/>
              <w:right w:val="nil"/>
            </w:tcBorders>
            <w:shd w:val="clear" w:color="auto" w:fill="auto"/>
            <w:noWrap/>
            <w:vAlign w:val="bottom"/>
            <w:hideMark/>
          </w:tcPr>
          <w:p w14:paraId="102EB676" w14:textId="77777777" w:rsidR="0014690B" w:rsidRDefault="0014690B">
            <w:pPr>
              <w:rPr>
                <w:sz w:val="20"/>
                <w:szCs w:val="20"/>
              </w:rPr>
            </w:pPr>
          </w:p>
        </w:tc>
        <w:tc>
          <w:tcPr>
            <w:tcW w:w="1119" w:type="dxa"/>
            <w:tcBorders>
              <w:top w:val="nil"/>
              <w:left w:val="nil"/>
              <w:bottom w:val="nil"/>
              <w:right w:val="nil"/>
            </w:tcBorders>
            <w:shd w:val="clear" w:color="auto" w:fill="auto"/>
            <w:noWrap/>
            <w:vAlign w:val="bottom"/>
            <w:hideMark/>
          </w:tcPr>
          <w:p w14:paraId="6B1A9552"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75DF5D6D" w14:textId="77777777" w:rsidR="0014690B" w:rsidRDefault="0014690B">
            <w:pPr>
              <w:rPr>
                <w:sz w:val="20"/>
                <w:szCs w:val="20"/>
              </w:rPr>
            </w:pPr>
          </w:p>
        </w:tc>
        <w:tc>
          <w:tcPr>
            <w:tcW w:w="1134" w:type="dxa"/>
            <w:tcBorders>
              <w:top w:val="nil"/>
              <w:left w:val="nil"/>
              <w:bottom w:val="nil"/>
              <w:right w:val="nil"/>
            </w:tcBorders>
            <w:shd w:val="clear" w:color="auto" w:fill="auto"/>
            <w:noWrap/>
            <w:vAlign w:val="bottom"/>
            <w:hideMark/>
          </w:tcPr>
          <w:p w14:paraId="15101B82" w14:textId="77777777" w:rsidR="0014690B" w:rsidRDefault="0014690B">
            <w:pPr>
              <w:rPr>
                <w:sz w:val="20"/>
                <w:szCs w:val="20"/>
              </w:rPr>
            </w:pPr>
          </w:p>
        </w:tc>
      </w:tr>
      <w:tr w:rsidR="0014690B" w14:paraId="50C2D660" w14:textId="77777777" w:rsidTr="0014690B">
        <w:trPr>
          <w:trHeight w:val="300"/>
        </w:trPr>
        <w:tc>
          <w:tcPr>
            <w:tcW w:w="5260" w:type="dxa"/>
            <w:tcBorders>
              <w:top w:val="nil"/>
              <w:left w:val="nil"/>
              <w:bottom w:val="nil"/>
              <w:right w:val="nil"/>
            </w:tcBorders>
            <w:shd w:val="clear" w:color="auto" w:fill="auto"/>
            <w:noWrap/>
            <w:vAlign w:val="center"/>
            <w:hideMark/>
          </w:tcPr>
          <w:p w14:paraId="4E15C183" w14:textId="732ECA1F" w:rsidR="0014690B" w:rsidRPr="00F5370F" w:rsidRDefault="0014690B">
            <w:pPr>
              <w:jc w:val="both"/>
              <w:rPr>
                <w:rFonts w:ascii="Arial" w:hAnsi="Arial" w:cs="Arial"/>
                <w:b/>
                <w:bCs/>
                <w:color w:val="000000"/>
                <w:sz w:val="22"/>
                <w:szCs w:val="22"/>
              </w:rPr>
            </w:pPr>
            <w:r w:rsidRPr="00F5370F">
              <w:rPr>
                <w:rFonts w:ascii="Arial" w:hAnsi="Arial" w:cs="Arial"/>
                <w:b/>
                <w:bCs/>
                <w:color w:val="000000"/>
                <w:sz w:val="22"/>
                <w:szCs w:val="22"/>
              </w:rPr>
              <w:t>31 March 2024</w:t>
            </w:r>
          </w:p>
        </w:tc>
        <w:tc>
          <w:tcPr>
            <w:tcW w:w="1119" w:type="dxa"/>
            <w:tcBorders>
              <w:top w:val="nil"/>
              <w:left w:val="nil"/>
              <w:bottom w:val="nil"/>
              <w:right w:val="nil"/>
            </w:tcBorders>
            <w:shd w:val="clear" w:color="auto" w:fill="auto"/>
            <w:noWrap/>
            <w:vAlign w:val="bottom"/>
            <w:hideMark/>
          </w:tcPr>
          <w:p w14:paraId="33AD9E93" w14:textId="77777777" w:rsidR="0014690B" w:rsidRPr="00091501" w:rsidRDefault="0014690B">
            <w:pPr>
              <w:jc w:val="both"/>
              <w:rPr>
                <w:rFonts w:ascii="Arial" w:hAnsi="Arial" w:cs="Arial"/>
                <w:b/>
                <w:bCs/>
                <w:color w:val="000000"/>
                <w:sz w:val="22"/>
                <w:szCs w:val="22"/>
              </w:rPr>
            </w:pPr>
          </w:p>
        </w:tc>
        <w:tc>
          <w:tcPr>
            <w:tcW w:w="1134" w:type="dxa"/>
            <w:tcBorders>
              <w:top w:val="nil"/>
              <w:left w:val="nil"/>
              <w:bottom w:val="nil"/>
              <w:right w:val="nil"/>
            </w:tcBorders>
            <w:shd w:val="clear" w:color="auto" w:fill="auto"/>
            <w:noWrap/>
            <w:vAlign w:val="bottom"/>
            <w:hideMark/>
          </w:tcPr>
          <w:p w14:paraId="26A93B08" w14:textId="77777777" w:rsidR="0014690B" w:rsidRPr="00091501" w:rsidRDefault="0014690B">
            <w:pPr>
              <w:rPr>
                <w:b/>
                <w:bCs/>
                <w:sz w:val="20"/>
                <w:szCs w:val="20"/>
              </w:rPr>
            </w:pPr>
          </w:p>
        </w:tc>
        <w:tc>
          <w:tcPr>
            <w:tcW w:w="1134" w:type="dxa"/>
            <w:tcBorders>
              <w:top w:val="nil"/>
              <w:left w:val="nil"/>
              <w:bottom w:val="nil"/>
              <w:right w:val="nil"/>
            </w:tcBorders>
            <w:shd w:val="clear" w:color="auto" w:fill="auto"/>
            <w:noWrap/>
            <w:vAlign w:val="bottom"/>
            <w:hideMark/>
          </w:tcPr>
          <w:p w14:paraId="454A5C47" w14:textId="77777777" w:rsidR="0014690B" w:rsidRPr="00091501" w:rsidRDefault="0014690B">
            <w:pPr>
              <w:rPr>
                <w:b/>
                <w:bCs/>
                <w:sz w:val="20"/>
                <w:szCs w:val="20"/>
              </w:rPr>
            </w:pPr>
          </w:p>
        </w:tc>
      </w:tr>
      <w:tr w:rsidR="0014690B" w14:paraId="04D40D08" w14:textId="77777777" w:rsidTr="0014690B">
        <w:trPr>
          <w:trHeight w:val="300"/>
        </w:trPr>
        <w:tc>
          <w:tcPr>
            <w:tcW w:w="5260" w:type="dxa"/>
            <w:tcBorders>
              <w:top w:val="nil"/>
              <w:left w:val="nil"/>
              <w:bottom w:val="nil"/>
              <w:right w:val="nil"/>
            </w:tcBorders>
            <w:shd w:val="clear" w:color="auto" w:fill="auto"/>
            <w:noWrap/>
            <w:vAlign w:val="bottom"/>
            <w:hideMark/>
          </w:tcPr>
          <w:p w14:paraId="5DA6FEC2" w14:textId="77777777" w:rsidR="0014690B" w:rsidRPr="00091501" w:rsidRDefault="0014690B">
            <w:pPr>
              <w:rPr>
                <w:b/>
                <w:bCs/>
                <w:sz w:val="20"/>
                <w:szCs w:val="20"/>
              </w:rPr>
            </w:pPr>
          </w:p>
        </w:tc>
        <w:tc>
          <w:tcPr>
            <w:tcW w:w="1119" w:type="dxa"/>
            <w:tcBorders>
              <w:top w:val="nil"/>
              <w:left w:val="nil"/>
              <w:bottom w:val="nil"/>
              <w:right w:val="nil"/>
            </w:tcBorders>
            <w:shd w:val="clear" w:color="auto" w:fill="auto"/>
            <w:noWrap/>
            <w:vAlign w:val="center"/>
            <w:hideMark/>
          </w:tcPr>
          <w:p w14:paraId="6A88492B" w14:textId="77777777"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USD</w:t>
            </w:r>
          </w:p>
        </w:tc>
        <w:tc>
          <w:tcPr>
            <w:tcW w:w="1134" w:type="dxa"/>
            <w:tcBorders>
              <w:top w:val="nil"/>
              <w:left w:val="nil"/>
              <w:bottom w:val="nil"/>
              <w:right w:val="nil"/>
            </w:tcBorders>
            <w:shd w:val="clear" w:color="auto" w:fill="auto"/>
            <w:noWrap/>
            <w:vAlign w:val="center"/>
            <w:hideMark/>
          </w:tcPr>
          <w:p w14:paraId="096BD7A8" w14:textId="77777777"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EUR</w:t>
            </w:r>
          </w:p>
        </w:tc>
        <w:tc>
          <w:tcPr>
            <w:tcW w:w="1134" w:type="dxa"/>
            <w:tcBorders>
              <w:top w:val="nil"/>
              <w:left w:val="nil"/>
              <w:bottom w:val="nil"/>
              <w:right w:val="nil"/>
            </w:tcBorders>
            <w:shd w:val="clear" w:color="auto" w:fill="auto"/>
            <w:noWrap/>
            <w:vAlign w:val="center"/>
            <w:hideMark/>
          </w:tcPr>
          <w:p w14:paraId="093D0421" w14:textId="77777777"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TOTAL</w:t>
            </w:r>
          </w:p>
        </w:tc>
      </w:tr>
      <w:tr w:rsidR="0014690B" w14:paraId="2BFD89B4" w14:textId="77777777" w:rsidTr="0014690B">
        <w:trPr>
          <w:trHeight w:val="300"/>
        </w:trPr>
        <w:tc>
          <w:tcPr>
            <w:tcW w:w="5260" w:type="dxa"/>
            <w:tcBorders>
              <w:top w:val="nil"/>
              <w:left w:val="nil"/>
              <w:bottom w:val="nil"/>
              <w:right w:val="nil"/>
            </w:tcBorders>
            <w:shd w:val="clear" w:color="auto" w:fill="auto"/>
            <w:noWrap/>
            <w:vAlign w:val="bottom"/>
            <w:hideMark/>
          </w:tcPr>
          <w:p w14:paraId="5604915F" w14:textId="77777777" w:rsidR="0014690B" w:rsidRPr="00091501" w:rsidRDefault="0014690B">
            <w:pPr>
              <w:jc w:val="both"/>
              <w:rPr>
                <w:rFonts w:ascii="Arial" w:hAnsi="Arial" w:cs="Arial"/>
                <w:b/>
                <w:bCs/>
                <w:color w:val="000000"/>
                <w:sz w:val="22"/>
                <w:szCs w:val="22"/>
              </w:rPr>
            </w:pPr>
          </w:p>
        </w:tc>
        <w:tc>
          <w:tcPr>
            <w:tcW w:w="1119" w:type="dxa"/>
            <w:tcBorders>
              <w:top w:val="nil"/>
              <w:left w:val="nil"/>
              <w:bottom w:val="nil"/>
              <w:right w:val="nil"/>
            </w:tcBorders>
            <w:shd w:val="clear" w:color="auto" w:fill="auto"/>
            <w:noWrap/>
            <w:vAlign w:val="center"/>
            <w:hideMark/>
          </w:tcPr>
          <w:p w14:paraId="0849BC76" w14:textId="294B1554"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£m</w:t>
            </w:r>
          </w:p>
        </w:tc>
        <w:tc>
          <w:tcPr>
            <w:tcW w:w="1134" w:type="dxa"/>
            <w:tcBorders>
              <w:top w:val="nil"/>
              <w:left w:val="nil"/>
              <w:bottom w:val="nil"/>
              <w:right w:val="nil"/>
            </w:tcBorders>
            <w:shd w:val="clear" w:color="auto" w:fill="auto"/>
            <w:noWrap/>
            <w:vAlign w:val="center"/>
            <w:hideMark/>
          </w:tcPr>
          <w:p w14:paraId="0FCFB145" w14:textId="77777777"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£m</w:t>
            </w:r>
          </w:p>
        </w:tc>
        <w:tc>
          <w:tcPr>
            <w:tcW w:w="1134" w:type="dxa"/>
            <w:tcBorders>
              <w:top w:val="nil"/>
              <w:left w:val="nil"/>
              <w:bottom w:val="nil"/>
              <w:right w:val="nil"/>
            </w:tcBorders>
            <w:shd w:val="clear" w:color="auto" w:fill="auto"/>
            <w:noWrap/>
            <w:vAlign w:val="center"/>
            <w:hideMark/>
          </w:tcPr>
          <w:p w14:paraId="2DD05299" w14:textId="407DF1BC" w:rsidR="0014690B" w:rsidRPr="00F5370F" w:rsidRDefault="0014690B" w:rsidP="00315A04">
            <w:pPr>
              <w:jc w:val="center"/>
              <w:rPr>
                <w:rFonts w:ascii="Arial" w:hAnsi="Arial" w:cs="Arial"/>
                <w:b/>
                <w:bCs/>
                <w:color w:val="000000"/>
                <w:sz w:val="22"/>
                <w:szCs w:val="22"/>
              </w:rPr>
            </w:pPr>
            <w:r w:rsidRPr="00F5370F">
              <w:rPr>
                <w:rFonts w:ascii="Arial" w:hAnsi="Arial" w:cs="Arial"/>
                <w:b/>
                <w:bCs/>
                <w:color w:val="000000"/>
                <w:sz w:val="22"/>
                <w:szCs w:val="22"/>
              </w:rPr>
              <w:t>£m</w:t>
            </w:r>
          </w:p>
        </w:tc>
      </w:tr>
      <w:tr w:rsidR="0014690B" w14:paraId="7029FA9F" w14:textId="77777777" w:rsidTr="0014690B">
        <w:trPr>
          <w:trHeight w:val="300"/>
        </w:trPr>
        <w:tc>
          <w:tcPr>
            <w:tcW w:w="5260" w:type="dxa"/>
            <w:tcBorders>
              <w:top w:val="nil"/>
              <w:left w:val="nil"/>
              <w:bottom w:val="nil"/>
              <w:right w:val="nil"/>
            </w:tcBorders>
            <w:shd w:val="clear" w:color="auto" w:fill="auto"/>
            <w:noWrap/>
            <w:vAlign w:val="center"/>
            <w:hideMark/>
          </w:tcPr>
          <w:p w14:paraId="38989B3A" w14:textId="77777777" w:rsidR="0014690B" w:rsidRPr="00750CE2" w:rsidRDefault="0014690B">
            <w:pPr>
              <w:jc w:val="both"/>
              <w:rPr>
                <w:rFonts w:ascii="Arial" w:hAnsi="Arial" w:cs="Arial"/>
                <w:color w:val="000000"/>
                <w:sz w:val="22"/>
                <w:szCs w:val="22"/>
              </w:rPr>
            </w:pPr>
          </w:p>
        </w:tc>
        <w:tc>
          <w:tcPr>
            <w:tcW w:w="1119" w:type="dxa"/>
            <w:tcBorders>
              <w:top w:val="nil"/>
              <w:left w:val="nil"/>
              <w:bottom w:val="nil"/>
              <w:right w:val="nil"/>
            </w:tcBorders>
            <w:shd w:val="clear" w:color="auto" w:fill="auto"/>
            <w:noWrap/>
            <w:vAlign w:val="bottom"/>
            <w:hideMark/>
          </w:tcPr>
          <w:p w14:paraId="5187DBEF" w14:textId="77777777" w:rsidR="0014690B" w:rsidRPr="00750CE2" w:rsidRDefault="0014690B">
            <w:pPr>
              <w:jc w:val="both"/>
              <w:rPr>
                <w:sz w:val="20"/>
                <w:szCs w:val="20"/>
              </w:rPr>
            </w:pPr>
          </w:p>
        </w:tc>
        <w:tc>
          <w:tcPr>
            <w:tcW w:w="1134" w:type="dxa"/>
            <w:tcBorders>
              <w:top w:val="nil"/>
              <w:left w:val="nil"/>
              <w:bottom w:val="nil"/>
              <w:right w:val="nil"/>
            </w:tcBorders>
            <w:shd w:val="clear" w:color="auto" w:fill="auto"/>
            <w:noWrap/>
            <w:vAlign w:val="bottom"/>
            <w:hideMark/>
          </w:tcPr>
          <w:p w14:paraId="640D2DD3" w14:textId="77777777" w:rsidR="0014690B" w:rsidRPr="00750CE2" w:rsidRDefault="0014690B">
            <w:pPr>
              <w:rPr>
                <w:sz w:val="20"/>
                <w:szCs w:val="20"/>
              </w:rPr>
            </w:pPr>
          </w:p>
        </w:tc>
        <w:tc>
          <w:tcPr>
            <w:tcW w:w="1134" w:type="dxa"/>
            <w:tcBorders>
              <w:top w:val="nil"/>
              <w:left w:val="nil"/>
              <w:bottom w:val="nil"/>
              <w:right w:val="nil"/>
            </w:tcBorders>
            <w:shd w:val="clear" w:color="auto" w:fill="auto"/>
            <w:noWrap/>
            <w:vAlign w:val="bottom"/>
            <w:hideMark/>
          </w:tcPr>
          <w:p w14:paraId="68A3D4DC" w14:textId="77777777" w:rsidR="0014690B" w:rsidRPr="00750CE2" w:rsidRDefault="0014690B">
            <w:pPr>
              <w:rPr>
                <w:sz w:val="20"/>
                <w:szCs w:val="20"/>
              </w:rPr>
            </w:pPr>
          </w:p>
        </w:tc>
      </w:tr>
      <w:tr w:rsidR="0014690B" w14:paraId="65BD44E8" w14:textId="77777777" w:rsidTr="0014690B">
        <w:trPr>
          <w:trHeight w:val="300"/>
        </w:trPr>
        <w:tc>
          <w:tcPr>
            <w:tcW w:w="5260" w:type="dxa"/>
            <w:tcBorders>
              <w:top w:val="nil"/>
              <w:left w:val="nil"/>
              <w:bottom w:val="nil"/>
              <w:right w:val="nil"/>
            </w:tcBorders>
            <w:shd w:val="clear" w:color="auto" w:fill="auto"/>
            <w:noWrap/>
            <w:vAlign w:val="center"/>
            <w:hideMark/>
          </w:tcPr>
          <w:p w14:paraId="1580ABE3" w14:textId="77777777" w:rsidR="0014690B" w:rsidRPr="00750CE2" w:rsidRDefault="0014690B">
            <w:pPr>
              <w:jc w:val="both"/>
              <w:rPr>
                <w:rFonts w:ascii="Arial" w:hAnsi="Arial" w:cs="Arial"/>
                <w:color w:val="000000"/>
                <w:sz w:val="22"/>
                <w:szCs w:val="22"/>
              </w:rPr>
            </w:pPr>
            <w:r w:rsidRPr="00750CE2">
              <w:rPr>
                <w:rFonts w:ascii="Arial" w:hAnsi="Arial" w:cs="Arial"/>
                <w:color w:val="000000"/>
                <w:sz w:val="22"/>
                <w:szCs w:val="22"/>
              </w:rPr>
              <w:t>Overseas Unit Trusts</w:t>
            </w:r>
          </w:p>
        </w:tc>
        <w:tc>
          <w:tcPr>
            <w:tcW w:w="1119" w:type="dxa"/>
            <w:tcBorders>
              <w:top w:val="nil"/>
              <w:left w:val="nil"/>
              <w:bottom w:val="nil"/>
              <w:right w:val="nil"/>
            </w:tcBorders>
            <w:shd w:val="clear" w:color="auto" w:fill="auto"/>
            <w:noWrap/>
            <w:vAlign w:val="center"/>
            <w:hideMark/>
          </w:tcPr>
          <w:p w14:paraId="044EDC57" w14:textId="54BC96B2" w:rsidR="0014690B" w:rsidRPr="00750CE2" w:rsidRDefault="0014690B">
            <w:pPr>
              <w:jc w:val="both"/>
              <w:rPr>
                <w:rFonts w:ascii="Arial" w:hAnsi="Arial" w:cs="Arial"/>
                <w:color w:val="000000"/>
                <w:sz w:val="22"/>
                <w:szCs w:val="22"/>
              </w:rPr>
            </w:pPr>
            <w:r w:rsidRPr="00750CE2">
              <w:rPr>
                <w:rFonts w:ascii="Arial" w:hAnsi="Arial" w:cs="Arial"/>
                <w:color w:val="000000"/>
                <w:sz w:val="22"/>
                <w:szCs w:val="22"/>
              </w:rPr>
              <w:t xml:space="preserve">  338.6 </w:t>
            </w:r>
          </w:p>
        </w:tc>
        <w:tc>
          <w:tcPr>
            <w:tcW w:w="1134" w:type="dxa"/>
            <w:tcBorders>
              <w:top w:val="nil"/>
              <w:left w:val="nil"/>
              <w:bottom w:val="nil"/>
              <w:right w:val="nil"/>
            </w:tcBorders>
            <w:shd w:val="clear" w:color="auto" w:fill="auto"/>
            <w:noWrap/>
            <w:vAlign w:val="center"/>
            <w:hideMark/>
          </w:tcPr>
          <w:p w14:paraId="6067A3E9" w14:textId="0482CB47" w:rsidR="0014690B" w:rsidRPr="00750CE2" w:rsidRDefault="0014690B">
            <w:pPr>
              <w:jc w:val="both"/>
              <w:rPr>
                <w:rFonts w:ascii="Arial" w:hAnsi="Arial" w:cs="Arial"/>
                <w:color w:val="000000"/>
                <w:sz w:val="22"/>
                <w:szCs w:val="22"/>
              </w:rPr>
            </w:pPr>
            <w:r w:rsidRPr="00750CE2">
              <w:rPr>
                <w:rFonts w:ascii="Arial" w:hAnsi="Arial" w:cs="Arial"/>
                <w:color w:val="000000"/>
                <w:sz w:val="22"/>
                <w:szCs w:val="22"/>
              </w:rPr>
              <w:t xml:space="preserve">  225.0 </w:t>
            </w:r>
          </w:p>
        </w:tc>
        <w:tc>
          <w:tcPr>
            <w:tcW w:w="1134" w:type="dxa"/>
            <w:tcBorders>
              <w:top w:val="nil"/>
              <w:left w:val="nil"/>
              <w:bottom w:val="nil"/>
              <w:right w:val="nil"/>
            </w:tcBorders>
            <w:shd w:val="clear" w:color="auto" w:fill="auto"/>
            <w:noWrap/>
            <w:vAlign w:val="center"/>
            <w:hideMark/>
          </w:tcPr>
          <w:p w14:paraId="0308053A" w14:textId="7AD8120B" w:rsidR="0014690B" w:rsidRPr="00F5370F" w:rsidRDefault="0014690B">
            <w:pPr>
              <w:jc w:val="both"/>
              <w:rPr>
                <w:rFonts w:ascii="Arial" w:hAnsi="Arial" w:cs="Arial"/>
                <w:b/>
                <w:bCs/>
                <w:color w:val="000000"/>
                <w:sz w:val="22"/>
                <w:szCs w:val="22"/>
              </w:rPr>
            </w:pPr>
            <w:r w:rsidRPr="00F5370F">
              <w:rPr>
                <w:rFonts w:ascii="Arial" w:hAnsi="Arial" w:cs="Arial"/>
                <w:b/>
                <w:bCs/>
                <w:color w:val="000000"/>
                <w:sz w:val="22"/>
                <w:szCs w:val="22"/>
              </w:rPr>
              <w:t xml:space="preserve">  563.6 </w:t>
            </w:r>
          </w:p>
        </w:tc>
      </w:tr>
      <w:tr w:rsidR="0014690B" w14:paraId="606919C2" w14:textId="77777777" w:rsidTr="0014690B">
        <w:trPr>
          <w:trHeight w:val="300"/>
        </w:trPr>
        <w:tc>
          <w:tcPr>
            <w:tcW w:w="5260" w:type="dxa"/>
            <w:tcBorders>
              <w:top w:val="nil"/>
              <w:left w:val="nil"/>
              <w:bottom w:val="nil"/>
              <w:right w:val="nil"/>
            </w:tcBorders>
            <w:shd w:val="clear" w:color="auto" w:fill="auto"/>
            <w:noWrap/>
            <w:vAlign w:val="center"/>
            <w:hideMark/>
          </w:tcPr>
          <w:p w14:paraId="29095306" w14:textId="77777777" w:rsidR="0014690B" w:rsidRPr="00750CE2" w:rsidRDefault="0014690B">
            <w:pPr>
              <w:rPr>
                <w:rFonts w:ascii="Arial" w:hAnsi="Arial" w:cs="Arial"/>
                <w:color w:val="000000"/>
                <w:sz w:val="22"/>
                <w:szCs w:val="22"/>
              </w:rPr>
            </w:pPr>
            <w:r w:rsidRPr="00750CE2">
              <w:rPr>
                <w:rFonts w:ascii="Arial" w:hAnsi="Arial" w:cs="Arial"/>
                <w:color w:val="000000"/>
                <w:sz w:val="22"/>
                <w:szCs w:val="22"/>
              </w:rPr>
              <w:t>Overseas Private Equity/Infrastructure/Private debt</w:t>
            </w:r>
          </w:p>
        </w:tc>
        <w:tc>
          <w:tcPr>
            <w:tcW w:w="1119" w:type="dxa"/>
            <w:tcBorders>
              <w:top w:val="nil"/>
              <w:left w:val="nil"/>
              <w:bottom w:val="nil"/>
              <w:right w:val="nil"/>
            </w:tcBorders>
            <w:shd w:val="clear" w:color="auto" w:fill="auto"/>
            <w:noWrap/>
            <w:vAlign w:val="center"/>
            <w:hideMark/>
          </w:tcPr>
          <w:p w14:paraId="65C2D662" w14:textId="61EE0D58" w:rsidR="0014690B" w:rsidRPr="00750CE2" w:rsidRDefault="0014690B">
            <w:pPr>
              <w:jc w:val="both"/>
              <w:rPr>
                <w:rFonts w:ascii="Arial" w:hAnsi="Arial" w:cs="Arial"/>
                <w:color w:val="000000"/>
                <w:sz w:val="22"/>
                <w:szCs w:val="22"/>
              </w:rPr>
            </w:pPr>
            <w:r w:rsidRPr="00750CE2">
              <w:rPr>
                <w:rFonts w:ascii="Arial" w:hAnsi="Arial" w:cs="Arial"/>
                <w:color w:val="000000"/>
                <w:sz w:val="22"/>
                <w:szCs w:val="22"/>
              </w:rPr>
              <w:t xml:space="preserve">    67.9 </w:t>
            </w:r>
          </w:p>
        </w:tc>
        <w:tc>
          <w:tcPr>
            <w:tcW w:w="1134" w:type="dxa"/>
            <w:tcBorders>
              <w:top w:val="nil"/>
              <w:left w:val="nil"/>
              <w:bottom w:val="nil"/>
              <w:right w:val="nil"/>
            </w:tcBorders>
            <w:shd w:val="clear" w:color="auto" w:fill="auto"/>
            <w:noWrap/>
            <w:vAlign w:val="center"/>
            <w:hideMark/>
          </w:tcPr>
          <w:p w14:paraId="7EA75932" w14:textId="28BD2242" w:rsidR="0014690B" w:rsidRPr="00750CE2" w:rsidRDefault="0014690B">
            <w:pPr>
              <w:jc w:val="both"/>
              <w:rPr>
                <w:rFonts w:ascii="Arial" w:hAnsi="Arial" w:cs="Arial"/>
                <w:color w:val="000000"/>
                <w:sz w:val="22"/>
                <w:szCs w:val="22"/>
              </w:rPr>
            </w:pPr>
            <w:r w:rsidRPr="00750CE2">
              <w:rPr>
                <w:rFonts w:ascii="Arial" w:hAnsi="Arial" w:cs="Arial"/>
                <w:color w:val="000000"/>
                <w:sz w:val="22"/>
                <w:szCs w:val="22"/>
              </w:rPr>
              <w:t xml:space="preserve">    54.5 </w:t>
            </w:r>
          </w:p>
        </w:tc>
        <w:tc>
          <w:tcPr>
            <w:tcW w:w="1134" w:type="dxa"/>
            <w:tcBorders>
              <w:top w:val="nil"/>
              <w:left w:val="nil"/>
              <w:bottom w:val="single" w:sz="4" w:space="0" w:color="auto"/>
              <w:right w:val="nil"/>
            </w:tcBorders>
            <w:shd w:val="clear" w:color="auto" w:fill="auto"/>
            <w:noWrap/>
            <w:vAlign w:val="center"/>
            <w:hideMark/>
          </w:tcPr>
          <w:p w14:paraId="7515CD12" w14:textId="4E39288E" w:rsidR="0014690B" w:rsidRPr="00F5370F" w:rsidRDefault="0014690B">
            <w:pPr>
              <w:jc w:val="both"/>
              <w:rPr>
                <w:rFonts w:ascii="Arial" w:hAnsi="Arial" w:cs="Arial"/>
                <w:b/>
                <w:bCs/>
                <w:color w:val="000000"/>
                <w:sz w:val="22"/>
                <w:szCs w:val="22"/>
              </w:rPr>
            </w:pPr>
            <w:r w:rsidRPr="00F5370F">
              <w:rPr>
                <w:rFonts w:ascii="Arial" w:hAnsi="Arial" w:cs="Arial"/>
                <w:b/>
                <w:bCs/>
                <w:color w:val="000000"/>
                <w:sz w:val="22"/>
                <w:szCs w:val="22"/>
              </w:rPr>
              <w:t xml:space="preserve">  122.4 </w:t>
            </w:r>
          </w:p>
        </w:tc>
      </w:tr>
      <w:tr w:rsidR="0014690B" w14:paraId="7ABF19B9" w14:textId="77777777" w:rsidTr="0014690B">
        <w:trPr>
          <w:trHeight w:val="300"/>
        </w:trPr>
        <w:tc>
          <w:tcPr>
            <w:tcW w:w="5260" w:type="dxa"/>
            <w:tcBorders>
              <w:top w:val="nil"/>
              <w:left w:val="nil"/>
              <w:bottom w:val="nil"/>
              <w:right w:val="nil"/>
            </w:tcBorders>
            <w:shd w:val="clear" w:color="auto" w:fill="auto"/>
            <w:noWrap/>
            <w:vAlign w:val="center"/>
            <w:hideMark/>
          </w:tcPr>
          <w:p w14:paraId="3B0E08CF" w14:textId="77777777" w:rsidR="0014690B" w:rsidRPr="00F5370F" w:rsidRDefault="0014690B">
            <w:pPr>
              <w:jc w:val="both"/>
              <w:rPr>
                <w:rFonts w:ascii="Arial" w:hAnsi="Arial" w:cs="Arial"/>
                <w:color w:val="000000"/>
                <w:sz w:val="22"/>
                <w:szCs w:val="22"/>
              </w:rPr>
            </w:pPr>
            <w:r w:rsidRPr="00F5370F">
              <w:rPr>
                <w:rFonts w:ascii="Arial" w:hAnsi="Arial" w:cs="Arial"/>
                <w:color w:val="000000"/>
                <w:sz w:val="22"/>
                <w:szCs w:val="22"/>
              </w:rPr>
              <w:t>Total</w:t>
            </w:r>
          </w:p>
        </w:tc>
        <w:tc>
          <w:tcPr>
            <w:tcW w:w="1119" w:type="dxa"/>
            <w:tcBorders>
              <w:top w:val="nil"/>
              <w:left w:val="nil"/>
              <w:bottom w:val="nil"/>
              <w:right w:val="nil"/>
            </w:tcBorders>
            <w:shd w:val="clear" w:color="auto" w:fill="auto"/>
            <w:noWrap/>
            <w:vAlign w:val="bottom"/>
            <w:hideMark/>
          </w:tcPr>
          <w:p w14:paraId="2474C52B" w14:textId="77777777" w:rsidR="0014690B" w:rsidRPr="00750CE2" w:rsidRDefault="0014690B">
            <w:pPr>
              <w:jc w:val="both"/>
              <w:rPr>
                <w:rFonts w:ascii="Arial" w:hAnsi="Arial" w:cs="Arial"/>
                <w:color w:val="000000"/>
                <w:sz w:val="22"/>
                <w:szCs w:val="22"/>
              </w:rPr>
            </w:pPr>
          </w:p>
        </w:tc>
        <w:tc>
          <w:tcPr>
            <w:tcW w:w="1134" w:type="dxa"/>
            <w:tcBorders>
              <w:top w:val="nil"/>
              <w:left w:val="nil"/>
              <w:bottom w:val="nil"/>
              <w:right w:val="nil"/>
            </w:tcBorders>
            <w:shd w:val="clear" w:color="auto" w:fill="auto"/>
            <w:noWrap/>
            <w:vAlign w:val="bottom"/>
            <w:hideMark/>
          </w:tcPr>
          <w:p w14:paraId="2EBCBF8A" w14:textId="77777777" w:rsidR="0014690B" w:rsidRPr="00750CE2" w:rsidRDefault="0014690B">
            <w:pPr>
              <w:rPr>
                <w:sz w:val="20"/>
                <w:szCs w:val="20"/>
              </w:rPr>
            </w:pPr>
          </w:p>
        </w:tc>
        <w:tc>
          <w:tcPr>
            <w:tcW w:w="1134" w:type="dxa"/>
            <w:tcBorders>
              <w:top w:val="nil"/>
              <w:left w:val="nil"/>
              <w:bottom w:val="nil"/>
              <w:right w:val="nil"/>
            </w:tcBorders>
            <w:shd w:val="clear" w:color="auto" w:fill="auto"/>
            <w:noWrap/>
            <w:vAlign w:val="center"/>
            <w:hideMark/>
          </w:tcPr>
          <w:p w14:paraId="1A0CDE76" w14:textId="01D5B378" w:rsidR="0014690B" w:rsidRPr="00F5370F" w:rsidRDefault="0014690B">
            <w:pPr>
              <w:jc w:val="both"/>
              <w:rPr>
                <w:rFonts w:ascii="Arial" w:hAnsi="Arial" w:cs="Arial"/>
                <w:b/>
                <w:bCs/>
                <w:color w:val="000000"/>
                <w:sz w:val="22"/>
                <w:szCs w:val="22"/>
              </w:rPr>
            </w:pPr>
            <w:r w:rsidRPr="00F5370F">
              <w:rPr>
                <w:rFonts w:ascii="Arial" w:hAnsi="Arial" w:cs="Arial"/>
                <w:b/>
                <w:bCs/>
                <w:color w:val="000000"/>
                <w:sz w:val="22"/>
                <w:szCs w:val="22"/>
              </w:rPr>
              <w:t xml:space="preserve">  686.0 </w:t>
            </w:r>
          </w:p>
        </w:tc>
      </w:tr>
    </w:tbl>
    <w:p w14:paraId="57D9702E" w14:textId="77777777" w:rsidR="0014690B" w:rsidRDefault="0014690B" w:rsidP="003C45DA">
      <w:pPr>
        <w:ind w:left="426"/>
        <w:jc w:val="both"/>
        <w:rPr>
          <w:rFonts w:ascii="Arial" w:hAnsi="Arial" w:cs="Arial"/>
          <w:sz w:val="22"/>
          <w:szCs w:val="22"/>
        </w:rPr>
      </w:pPr>
    </w:p>
    <w:p w14:paraId="747CFFC4" w14:textId="77777777" w:rsidR="0014690B" w:rsidRDefault="0014690B" w:rsidP="003C45DA">
      <w:pPr>
        <w:ind w:left="426"/>
        <w:jc w:val="both"/>
        <w:rPr>
          <w:rFonts w:ascii="Arial" w:hAnsi="Arial" w:cs="Arial"/>
          <w:sz w:val="22"/>
          <w:szCs w:val="22"/>
        </w:rPr>
      </w:pPr>
    </w:p>
    <w:p w14:paraId="1E347762"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Liquidity risk</w:t>
      </w:r>
    </w:p>
    <w:p w14:paraId="5DD4B2C2" w14:textId="77777777" w:rsidR="003C45DA" w:rsidRPr="008A0A4E" w:rsidRDefault="003C45DA" w:rsidP="003C45DA">
      <w:pPr>
        <w:ind w:left="426"/>
        <w:jc w:val="both"/>
        <w:rPr>
          <w:rFonts w:ascii="Arial" w:hAnsi="Arial" w:cs="Arial"/>
          <w:sz w:val="22"/>
          <w:szCs w:val="22"/>
        </w:rPr>
      </w:pPr>
    </w:p>
    <w:p w14:paraId="43DA933E"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Liquidity risk represents the risk that the Fund will not be able to meet its financial obligations as they fall due. The Council therefore takes steps to ensure that the Fund has adequate cash resources to meet its commitments. This will particularly be the case for cash from the cash flow matching mandates from the main investment strategy to meet the pensioner payroll costs; and </w:t>
      </w:r>
      <w:proofErr w:type="gramStart"/>
      <w:r w:rsidRPr="008A0A4E">
        <w:rPr>
          <w:rFonts w:ascii="Arial" w:hAnsi="Arial" w:cs="Arial"/>
          <w:sz w:val="22"/>
          <w:szCs w:val="22"/>
        </w:rPr>
        <w:t>also</w:t>
      </w:r>
      <w:proofErr w:type="gramEnd"/>
      <w:r w:rsidRPr="008A0A4E">
        <w:rPr>
          <w:rFonts w:ascii="Arial" w:hAnsi="Arial" w:cs="Arial"/>
          <w:sz w:val="22"/>
          <w:szCs w:val="22"/>
        </w:rPr>
        <w:t xml:space="preserve"> cash to meet investment commitments.</w:t>
      </w:r>
    </w:p>
    <w:p w14:paraId="334F9867" w14:textId="77777777" w:rsidR="003C45DA" w:rsidRPr="008A0A4E" w:rsidRDefault="003C45DA" w:rsidP="003C45DA">
      <w:pPr>
        <w:ind w:left="426"/>
        <w:jc w:val="both"/>
        <w:rPr>
          <w:rFonts w:ascii="Arial" w:hAnsi="Arial" w:cs="Arial"/>
          <w:sz w:val="22"/>
          <w:szCs w:val="22"/>
        </w:rPr>
      </w:pPr>
    </w:p>
    <w:p w14:paraId="0F9669F5"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The Pension Committee Members are aware of the cash flow pressures that are affecting the Fund. These include the potential for a reduction in Fund current members from the significant savings the LBBD needs to make in the coming years and from an increase in pension payments due to increased pensioner numbers and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the pricing index exceeding salary increases. Members receive a quarterly report on the Fund’s cash flow and have agreed to utilise distributions from property and infrastructure to fund future investments and to cover any cash flow shortfalls.</w:t>
      </w:r>
    </w:p>
    <w:p w14:paraId="186B9ADF" w14:textId="77777777" w:rsidR="003C45DA" w:rsidRPr="008A0A4E" w:rsidRDefault="003C45DA" w:rsidP="003C45DA">
      <w:pPr>
        <w:ind w:left="426"/>
        <w:jc w:val="both"/>
        <w:rPr>
          <w:rFonts w:ascii="Arial" w:hAnsi="Arial" w:cs="Arial"/>
          <w:sz w:val="22"/>
          <w:szCs w:val="22"/>
        </w:rPr>
      </w:pPr>
    </w:p>
    <w:p w14:paraId="73211FB2" w14:textId="70B3F3E1"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Where there is a long-term shortfall in net income into the Fund, investment income will be used to cover the shortfall. All financial liabilities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241BEE" w:rsidRPr="008A0A4E">
        <w:rPr>
          <w:rFonts w:ascii="Arial" w:hAnsi="Arial" w:cs="Arial"/>
          <w:sz w:val="22"/>
          <w:szCs w:val="22"/>
        </w:rPr>
        <w:t>2</w:t>
      </w:r>
      <w:r w:rsidR="00621F4F">
        <w:rPr>
          <w:rFonts w:ascii="Arial" w:hAnsi="Arial" w:cs="Arial"/>
          <w:sz w:val="22"/>
          <w:szCs w:val="22"/>
        </w:rPr>
        <w:t>5</w:t>
      </w:r>
      <w:r w:rsidRPr="008A0A4E">
        <w:rPr>
          <w:rFonts w:ascii="Arial" w:hAnsi="Arial" w:cs="Arial"/>
          <w:sz w:val="22"/>
          <w:szCs w:val="22"/>
        </w:rPr>
        <w:t xml:space="preserve"> are due within one year. </w:t>
      </w:r>
    </w:p>
    <w:p w14:paraId="58C9E2D4" w14:textId="77777777" w:rsidR="003C45DA" w:rsidRPr="008A0A4E" w:rsidRDefault="003C45DA" w:rsidP="003C45DA">
      <w:pPr>
        <w:jc w:val="both"/>
        <w:rPr>
          <w:rFonts w:ascii="Arial" w:hAnsi="Arial" w:cs="Arial"/>
          <w:sz w:val="22"/>
          <w:szCs w:val="22"/>
        </w:rPr>
      </w:pPr>
    </w:p>
    <w:p w14:paraId="540FBFE6"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Refinancing risk</w:t>
      </w:r>
    </w:p>
    <w:p w14:paraId="7B41AF12" w14:textId="77777777" w:rsidR="003C45DA" w:rsidRPr="008A0A4E" w:rsidRDefault="003C45DA" w:rsidP="003C45DA">
      <w:pPr>
        <w:ind w:left="426"/>
        <w:jc w:val="both"/>
        <w:rPr>
          <w:rFonts w:ascii="Arial" w:hAnsi="Arial" w:cs="Arial"/>
          <w:sz w:val="22"/>
          <w:szCs w:val="22"/>
        </w:rPr>
      </w:pPr>
    </w:p>
    <w:p w14:paraId="196D6304" w14:textId="437486D7" w:rsidR="003C45DA" w:rsidRDefault="003C45DA" w:rsidP="007478DD">
      <w:pPr>
        <w:ind w:left="426"/>
        <w:jc w:val="both"/>
        <w:rPr>
          <w:rFonts w:ascii="Arial" w:hAnsi="Arial" w:cs="Arial"/>
          <w:sz w:val="22"/>
          <w:szCs w:val="22"/>
        </w:rPr>
      </w:pPr>
      <w:r w:rsidRPr="008A0A4E">
        <w:rPr>
          <w:rFonts w:ascii="Arial" w:hAnsi="Arial" w:cs="Arial"/>
          <w:sz w:val="22"/>
          <w:szCs w:val="22"/>
        </w:rPr>
        <w:t xml:space="preserve">The key risk is that the Council will be bound to replenish a significant proportion of the Fund’s financial instruments at a time of unfavourable interest rates. The Council does not have any financial instruments that have a refinancing risk as part of its treasury management and investment strategies. </w:t>
      </w:r>
    </w:p>
    <w:p w14:paraId="6865BA53" w14:textId="77777777" w:rsidR="003E6422" w:rsidRPr="007478DD" w:rsidRDefault="003E6422" w:rsidP="007478DD">
      <w:pPr>
        <w:ind w:left="426"/>
        <w:jc w:val="both"/>
        <w:rPr>
          <w:rFonts w:ascii="Arial" w:hAnsi="Arial" w:cs="Arial"/>
          <w:sz w:val="22"/>
          <w:szCs w:val="22"/>
        </w:rPr>
      </w:pPr>
    </w:p>
    <w:p w14:paraId="147C4B0D"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Credit Risk</w:t>
      </w:r>
    </w:p>
    <w:p w14:paraId="7F57E6D8" w14:textId="77777777" w:rsidR="003C45DA" w:rsidRPr="008A0A4E" w:rsidRDefault="003C45DA" w:rsidP="003C45DA">
      <w:pPr>
        <w:ind w:left="426"/>
        <w:jc w:val="both"/>
        <w:rPr>
          <w:rFonts w:ascii="Arial" w:hAnsi="Arial" w:cs="Arial"/>
          <w:b/>
          <w:sz w:val="22"/>
          <w:szCs w:val="22"/>
        </w:rPr>
      </w:pPr>
    </w:p>
    <w:p w14:paraId="6A3FE45A"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14:paraId="30284283" w14:textId="77777777" w:rsidR="003C45DA" w:rsidRPr="008A0A4E" w:rsidRDefault="003C45DA" w:rsidP="003C45DA">
      <w:pPr>
        <w:ind w:left="426"/>
        <w:jc w:val="both"/>
        <w:rPr>
          <w:rFonts w:ascii="Arial" w:hAnsi="Arial" w:cs="Arial"/>
          <w:sz w:val="22"/>
          <w:szCs w:val="22"/>
        </w:rPr>
      </w:pPr>
    </w:p>
    <w:p w14:paraId="138C720F"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In essence the Fund’s entire investment portfolio is exposed to some form of credit risk, </w:t>
      </w:r>
      <w:proofErr w:type="gramStart"/>
      <w:r w:rsidRPr="008A0A4E">
        <w:rPr>
          <w:rFonts w:ascii="Arial" w:hAnsi="Arial" w:cs="Arial"/>
          <w:sz w:val="22"/>
          <w:szCs w:val="22"/>
        </w:rPr>
        <w:t>with the exception of</w:t>
      </w:r>
      <w:proofErr w:type="gramEnd"/>
      <w:r w:rsidRPr="008A0A4E">
        <w:rPr>
          <w:rFonts w:ascii="Arial" w:hAnsi="Arial" w:cs="Arial"/>
          <w:sz w:val="22"/>
          <w:szCs w:val="22"/>
        </w:rPr>
        <w:t xml:space="preserve"> the derivatives positions, where the risk equates to the net market value of a positive derivative position. However, the selection of high-quality counterparties, brokers and financial institutions minimises credit risk that may occur through the failure to settle a transaction in a timely manner.</w:t>
      </w:r>
    </w:p>
    <w:p w14:paraId="0E007475" w14:textId="77777777" w:rsidR="003C45DA" w:rsidRPr="008A0A4E" w:rsidRDefault="003C45DA" w:rsidP="003C45DA">
      <w:pPr>
        <w:ind w:left="426"/>
        <w:jc w:val="both"/>
        <w:rPr>
          <w:rFonts w:ascii="Arial" w:hAnsi="Arial" w:cs="Arial"/>
          <w:sz w:val="22"/>
          <w:szCs w:val="22"/>
        </w:rPr>
      </w:pPr>
    </w:p>
    <w:p w14:paraId="79C42B1B" w14:textId="4DC56169" w:rsidR="008A5809" w:rsidRDefault="003C45DA" w:rsidP="00FD1C66">
      <w:pPr>
        <w:ind w:left="426"/>
        <w:jc w:val="both"/>
        <w:rPr>
          <w:rFonts w:ascii="Arial" w:hAnsi="Arial" w:cs="Arial"/>
          <w:sz w:val="22"/>
          <w:szCs w:val="22"/>
        </w:rPr>
      </w:pPr>
      <w:r w:rsidRPr="008A0A4E">
        <w:rPr>
          <w:rFonts w:ascii="Arial" w:hAnsi="Arial" w:cs="Arial"/>
          <w:sz w:val="22"/>
          <w:szCs w:val="22"/>
        </w:rPr>
        <w:t xml:space="preserve">The Fund’s internally managed cash is invested by the Council’s treasury team. Deposits are not made with banks and financial institutions unless they meet the council’s credit criteria. The </w:t>
      </w:r>
      <w:r w:rsidR="00794AB1">
        <w:rPr>
          <w:rFonts w:ascii="Arial" w:hAnsi="Arial" w:cs="Arial"/>
          <w:sz w:val="22"/>
          <w:szCs w:val="22"/>
        </w:rPr>
        <w:t>C</w:t>
      </w:r>
      <w:r w:rsidRPr="008A0A4E">
        <w:rPr>
          <w:rFonts w:ascii="Arial" w:hAnsi="Arial" w:cs="Arial"/>
          <w:sz w:val="22"/>
          <w:szCs w:val="22"/>
        </w:rPr>
        <w:t>ouncil has also set limits as to the maximum percentage of the deposits placed with any one class of financial institution</w:t>
      </w:r>
      <w:r w:rsidR="00794AB1">
        <w:rPr>
          <w:rFonts w:ascii="Arial" w:hAnsi="Arial" w:cs="Arial"/>
          <w:sz w:val="22"/>
          <w:szCs w:val="22"/>
        </w:rPr>
        <w:t xml:space="preserve"> in the Annual Treasury Management Strategy Statement</w:t>
      </w:r>
      <w:r w:rsidRPr="008A0A4E">
        <w:rPr>
          <w:rFonts w:ascii="Arial" w:hAnsi="Arial" w:cs="Arial"/>
          <w:sz w:val="22"/>
          <w:szCs w:val="22"/>
        </w:rPr>
        <w:t xml:space="preserve">. </w:t>
      </w:r>
    </w:p>
    <w:bookmarkEnd w:id="0"/>
    <w:p w14:paraId="23B993E6" w14:textId="0280F386" w:rsidR="003C45DA" w:rsidRPr="000B4FE3" w:rsidRDefault="003C45DA" w:rsidP="000B4FE3">
      <w:pPr>
        <w:jc w:val="both"/>
        <w:rPr>
          <w:rFonts w:ascii="Arial" w:hAnsi="Arial" w:cs="Arial"/>
          <w:b/>
        </w:rPr>
      </w:pPr>
    </w:p>
    <w:sectPr w:rsidR="003C45DA" w:rsidRPr="000B4FE3" w:rsidSect="00000C5D">
      <w:pgSz w:w="11906" w:h="16838"/>
      <w:pgMar w:top="1134"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460C" w14:textId="77777777" w:rsidR="008E22CF" w:rsidRDefault="008E22CF" w:rsidP="00C21590">
      <w:r>
        <w:separator/>
      </w:r>
    </w:p>
  </w:endnote>
  <w:endnote w:type="continuationSeparator" w:id="0">
    <w:p w14:paraId="7A969D2C" w14:textId="77777777" w:rsidR="008E22CF" w:rsidRDefault="008E22CF" w:rsidP="00C21590">
      <w:r>
        <w:continuationSeparator/>
      </w:r>
    </w:p>
  </w:endnote>
  <w:endnote w:type="continuationNotice" w:id="1">
    <w:p w14:paraId="6BD04415" w14:textId="77777777" w:rsidR="008E22CF" w:rsidRDefault="008E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Rupert">
    <w:altName w:val="Times New Roman"/>
    <w:charset w:val="00"/>
    <w:family w:val="auto"/>
    <w:pitch w:val="variable"/>
    <w:sig w:usb0="00000083" w:usb1="00000000" w:usb2="00000000" w:usb3="00000000" w:csb0="00000009"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96EF9" w14:textId="77777777" w:rsidR="008E22CF" w:rsidRDefault="008E22CF" w:rsidP="00C21590">
      <w:r>
        <w:separator/>
      </w:r>
    </w:p>
  </w:footnote>
  <w:footnote w:type="continuationSeparator" w:id="0">
    <w:p w14:paraId="22DB8DBA" w14:textId="77777777" w:rsidR="008E22CF" w:rsidRDefault="008E22CF" w:rsidP="00C21590">
      <w:r>
        <w:continuationSeparator/>
      </w:r>
    </w:p>
  </w:footnote>
  <w:footnote w:type="continuationNotice" w:id="1">
    <w:p w14:paraId="28C506C3" w14:textId="77777777" w:rsidR="008E22CF" w:rsidRDefault="008E2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64443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72AE1"/>
    <w:multiLevelType w:val="hybridMultilevel"/>
    <w:tmpl w:val="586EF31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567"/>
        </w:tabs>
        <w:ind w:left="567"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3571C9"/>
    <w:multiLevelType w:val="hybridMultilevel"/>
    <w:tmpl w:val="AF50150A"/>
    <w:lvl w:ilvl="0" w:tplc="8C1238CE">
      <w:start w:val="1"/>
      <w:numFmt w:val="decimal"/>
      <w:pStyle w:val="Heading2"/>
      <w:lvlText w:val="%1."/>
      <w:lvlJc w:val="left"/>
      <w:pPr>
        <w:tabs>
          <w:tab w:val="num" w:pos="1082"/>
        </w:tabs>
        <w:ind w:left="644" w:hanging="360"/>
      </w:pPr>
      <w:rPr>
        <w:rFonts w:cs="Times New Roman" w:hint="default"/>
        <w:b/>
        <w:i w:val="0"/>
        <w:sz w:val="22"/>
        <w:szCs w:val="22"/>
      </w:rPr>
    </w:lvl>
    <w:lvl w:ilvl="1" w:tplc="CF547218">
      <w:start w:val="1"/>
      <w:numFmt w:val="lowerLetter"/>
      <w:lvlText w:val="(%2)"/>
      <w:lvlJc w:val="left"/>
      <w:pPr>
        <w:tabs>
          <w:tab w:val="num" w:pos="1440"/>
        </w:tabs>
        <w:ind w:left="1440" w:hanging="360"/>
      </w:pPr>
      <w:rPr>
        <w:rFonts w:cs="Times New Roman" w:hint="default"/>
      </w:rPr>
    </w:lvl>
    <w:lvl w:ilvl="2" w:tplc="41A263B8">
      <w:start w:val="1"/>
      <w:numFmt w:val="lowerLetter"/>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1215E"/>
    <w:multiLevelType w:val="hybridMultilevel"/>
    <w:tmpl w:val="7CAEA0CA"/>
    <w:lvl w:ilvl="0" w:tplc="08090001">
      <w:start w:val="1"/>
      <w:numFmt w:val="bullet"/>
      <w:lvlText w:val=""/>
      <w:lvlJc w:val="left"/>
      <w:pPr>
        <w:ind w:left="247" w:hanging="360"/>
      </w:pPr>
      <w:rPr>
        <w:rFonts w:ascii="Symbol" w:hAnsi="Symbol" w:hint="default"/>
      </w:rPr>
    </w:lvl>
    <w:lvl w:ilvl="1" w:tplc="08090003">
      <w:start w:val="1"/>
      <w:numFmt w:val="bullet"/>
      <w:lvlText w:val="o"/>
      <w:lvlJc w:val="left"/>
      <w:pPr>
        <w:ind w:left="967" w:hanging="360"/>
      </w:pPr>
      <w:rPr>
        <w:rFonts w:ascii="Courier New" w:hAnsi="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7" w15:restartNumberingAfterBreak="0">
    <w:nsid w:val="125A3AE0"/>
    <w:multiLevelType w:val="singleLevel"/>
    <w:tmpl w:val="293C5D72"/>
    <w:lvl w:ilvl="0">
      <w:start w:val="1"/>
      <w:numFmt w:val="decimal"/>
      <w:pStyle w:val="HRbullet"/>
      <w:lvlText w:val="%1."/>
      <w:lvlJc w:val="left"/>
      <w:pPr>
        <w:tabs>
          <w:tab w:val="num" w:pos="720"/>
        </w:tabs>
        <w:ind w:left="720" w:hanging="720"/>
      </w:pPr>
    </w:lvl>
  </w:abstractNum>
  <w:abstractNum w:abstractNumId="8" w15:restartNumberingAfterBreak="0">
    <w:nsid w:val="15B874F9"/>
    <w:multiLevelType w:val="hybridMultilevel"/>
    <w:tmpl w:val="977A9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425B2"/>
    <w:multiLevelType w:val="hybridMultilevel"/>
    <w:tmpl w:val="9014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E5056"/>
    <w:multiLevelType w:val="hybridMultilevel"/>
    <w:tmpl w:val="809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2552"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4D2EE8"/>
    <w:multiLevelType w:val="hybridMultilevel"/>
    <w:tmpl w:val="0FE672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8C26730"/>
    <w:multiLevelType w:val="hybridMultilevel"/>
    <w:tmpl w:val="8B16735E"/>
    <w:lvl w:ilvl="0" w:tplc="561CCABC">
      <w:start w:val="1"/>
      <w:numFmt w:val="lowerRoman"/>
      <w:lvlText w:val="%1)"/>
      <w:lvlJc w:val="left"/>
      <w:pPr>
        <w:ind w:left="1146" w:hanging="360"/>
      </w:pPr>
      <w:rPr>
        <w:rFonts w:hint="default"/>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AB77578"/>
    <w:multiLevelType w:val="hybridMultilevel"/>
    <w:tmpl w:val="253CDD9A"/>
    <w:lvl w:ilvl="0" w:tplc="EED89C3C">
      <w:start w:val="1"/>
      <w:numFmt w:val="lowerRoman"/>
      <w:lvlText w:val="%1)"/>
      <w:lvlJc w:val="right"/>
      <w:pPr>
        <w:ind w:left="786" w:hanging="360"/>
      </w:pPr>
      <w:rPr>
        <w:rFonts w:ascii="Arial" w:eastAsia="Times New Roman" w:hAnsi="Arial" w:cs="Arial"/>
        <w:b w:val="0"/>
      </w:rPr>
    </w:lvl>
    <w:lvl w:ilvl="1" w:tplc="08090019">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5" w15:restartNumberingAfterBreak="0">
    <w:nsid w:val="2BE64199"/>
    <w:multiLevelType w:val="hybridMultilevel"/>
    <w:tmpl w:val="A9C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87B00"/>
    <w:multiLevelType w:val="hybridMultilevel"/>
    <w:tmpl w:val="D7C41A2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15:restartNumberingAfterBreak="0">
    <w:nsid w:val="381F41E6"/>
    <w:multiLevelType w:val="multilevel"/>
    <w:tmpl w:val="4D8A0410"/>
    <w:styleLink w:val="HRBullet0"/>
    <w:lvl w:ilvl="0">
      <w:start w:val="1"/>
      <w:numFmt w:val="bullet"/>
      <w:pStyle w:val="BulletHymans"/>
      <w:lvlText w:val=""/>
      <w:lvlJc w:val="left"/>
      <w:pPr>
        <w:ind w:left="1362" w:hanging="567"/>
      </w:pPr>
      <w:rPr>
        <w:rFonts w:ascii="Symbol" w:hAnsi="Symbol" w:hint="default"/>
        <w:color w:val="4B4B4B"/>
        <w:sz w:val="20"/>
      </w:rPr>
    </w:lvl>
    <w:lvl w:ilvl="1">
      <w:start w:val="1"/>
      <w:numFmt w:val="none"/>
      <w:lvlText w:val="%2-"/>
      <w:lvlJc w:val="left"/>
      <w:pPr>
        <w:ind w:left="1929" w:hanging="567"/>
      </w:pPr>
      <w:rPr>
        <w:rFonts w:hint="default"/>
        <w:color w:val="4B4B4B"/>
        <w:sz w:val="20"/>
      </w:rPr>
    </w:lvl>
    <w:lvl w:ilvl="2">
      <w:start w:val="1"/>
      <w:numFmt w:val="bullet"/>
      <w:lvlText w:val=""/>
      <w:lvlJc w:val="left"/>
      <w:pPr>
        <w:ind w:left="2496" w:hanging="567"/>
      </w:pPr>
      <w:rPr>
        <w:rFonts w:ascii="Symbol" w:hAnsi="Symbol" w:hint="default"/>
        <w:color w:val="4B4B4B"/>
      </w:rPr>
    </w:lvl>
    <w:lvl w:ilvl="3">
      <w:start w:val="1"/>
      <w:numFmt w:val="none"/>
      <w:lvlText w:val="-"/>
      <w:lvlJc w:val="left"/>
      <w:pPr>
        <w:ind w:left="2496" w:hanging="567"/>
      </w:pPr>
      <w:rPr>
        <w:rFonts w:hint="default"/>
        <w:color w:val="auto"/>
      </w:rPr>
    </w:lvl>
    <w:lvl w:ilvl="4">
      <w:start w:val="1"/>
      <w:numFmt w:val="lowerLetter"/>
      <w:lvlText w:val="(%5)"/>
      <w:lvlJc w:val="left"/>
      <w:pPr>
        <w:ind w:left="2595" w:hanging="360"/>
      </w:pPr>
      <w:rPr>
        <w:rFonts w:hint="default"/>
      </w:rPr>
    </w:lvl>
    <w:lvl w:ilvl="5">
      <w:start w:val="1"/>
      <w:numFmt w:val="lowerRoman"/>
      <w:lvlText w:val="(%6)"/>
      <w:lvlJc w:val="left"/>
      <w:pPr>
        <w:ind w:left="2955" w:hanging="360"/>
      </w:pPr>
      <w:rPr>
        <w:rFonts w:hint="default"/>
      </w:rPr>
    </w:lvl>
    <w:lvl w:ilvl="6">
      <w:start w:val="1"/>
      <w:numFmt w:val="decimal"/>
      <w:lvlText w:val="%7."/>
      <w:lvlJc w:val="left"/>
      <w:pPr>
        <w:ind w:left="3315" w:hanging="360"/>
      </w:pPr>
      <w:rPr>
        <w:rFonts w:hint="default"/>
      </w:rPr>
    </w:lvl>
    <w:lvl w:ilvl="7">
      <w:start w:val="1"/>
      <w:numFmt w:val="lowerLetter"/>
      <w:lvlText w:val="%8."/>
      <w:lvlJc w:val="left"/>
      <w:pPr>
        <w:ind w:left="3675" w:hanging="360"/>
      </w:pPr>
      <w:rPr>
        <w:rFonts w:hint="default"/>
      </w:rPr>
    </w:lvl>
    <w:lvl w:ilvl="8">
      <w:start w:val="1"/>
      <w:numFmt w:val="lowerRoman"/>
      <w:lvlText w:val="%9."/>
      <w:lvlJc w:val="left"/>
      <w:pPr>
        <w:ind w:left="4035" w:hanging="360"/>
      </w:pPr>
      <w:rPr>
        <w:rFonts w:hint="default"/>
      </w:rPr>
    </w:lvl>
  </w:abstractNum>
  <w:abstractNum w:abstractNumId="18" w15:restartNumberingAfterBreak="0">
    <w:nsid w:val="3DB47405"/>
    <w:multiLevelType w:val="hybridMultilevel"/>
    <w:tmpl w:val="AE7EA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92E5C"/>
    <w:multiLevelType w:val="hybridMultilevel"/>
    <w:tmpl w:val="AE6E2B46"/>
    <w:lvl w:ilvl="0" w:tplc="FFFFFFFF">
      <w:start w:val="4"/>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700BB4"/>
    <w:multiLevelType w:val="hybridMultilevel"/>
    <w:tmpl w:val="AE6E2B46"/>
    <w:lvl w:ilvl="0" w:tplc="027CB5AE">
      <w:start w:val="4"/>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D1960"/>
    <w:multiLevelType w:val="hybridMultilevel"/>
    <w:tmpl w:val="3B64D1EA"/>
    <w:lvl w:ilvl="0" w:tplc="13589C44">
      <w:start w:val="1"/>
      <w:numFmt w:val="bullet"/>
      <w:pStyle w:val="Bullet1"/>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F5763"/>
    <w:multiLevelType w:val="hybridMultilevel"/>
    <w:tmpl w:val="7EAA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1FFE"/>
    <w:multiLevelType w:val="hybridMultilevel"/>
    <w:tmpl w:val="12DE1CCE"/>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7133639"/>
    <w:multiLevelType w:val="multilevel"/>
    <w:tmpl w:val="F5520E04"/>
    <w:lvl w:ilvl="0">
      <w:start w:val="1"/>
      <w:numFmt w:val="decimal"/>
      <w:lvlText w:val="%1."/>
      <w:lvlJc w:val="left"/>
      <w:pPr>
        <w:ind w:left="360" w:hanging="360"/>
      </w:pPr>
      <w:rPr>
        <w:rFonts w:cs="Times New Roman"/>
      </w:rPr>
    </w:lvl>
    <w:lvl w:ilvl="1">
      <w:start w:val="2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8AE65E6"/>
    <w:multiLevelType w:val="multilevel"/>
    <w:tmpl w:val="8CFC2D3C"/>
    <w:numStyleLink w:val="HRNumber"/>
  </w:abstractNum>
  <w:abstractNum w:abstractNumId="26" w15:restartNumberingAfterBreak="0">
    <w:nsid w:val="5FEC2F89"/>
    <w:multiLevelType w:val="hybridMultilevel"/>
    <w:tmpl w:val="4DA4EC16"/>
    <w:lvl w:ilvl="0" w:tplc="5142E524">
      <w:start w:val="1"/>
      <w:numFmt w:val="lowerLetter"/>
      <w:lvlText w:val="%1)"/>
      <w:lvlJc w:val="left"/>
      <w:pPr>
        <w:ind w:left="644" w:hanging="360"/>
      </w:pPr>
      <w:rPr>
        <w:rFonts w:cs="Times New Roman" w:hint="default"/>
        <w:b/>
      </w:rPr>
    </w:lvl>
    <w:lvl w:ilvl="1" w:tplc="08090019">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27"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8"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8D2531A"/>
    <w:multiLevelType w:val="hybridMultilevel"/>
    <w:tmpl w:val="A67EBB44"/>
    <w:lvl w:ilvl="0" w:tplc="0809001B">
      <w:start w:val="1"/>
      <w:numFmt w:val="lowerRoman"/>
      <w:lvlText w:val="%1."/>
      <w:lvlJc w:val="right"/>
      <w:pPr>
        <w:ind w:left="1004" w:hanging="360"/>
      </w:pPr>
      <w:rPr>
        <w:rFonts w:hint="default"/>
      </w:rPr>
    </w:lvl>
    <w:lvl w:ilvl="1" w:tplc="0809000B">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8732131">
    <w:abstractNumId w:val="3"/>
  </w:num>
  <w:num w:numId="2" w16cid:durableId="294138427">
    <w:abstractNumId w:val="16"/>
  </w:num>
  <w:num w:numId="3" w16cid:durableId="1872377478">
    <w:abstractNumId w:val="22"/>
  </w:num>
  <w:num w:numId="4" w16cid:durableId="316690156">
    <w:abstractNumId w:val="6"/>
  </w:num>
  <w:num w:numId="5" w16cid:durableId="147673988">
    <w:abstractNumId w:val="21"/>
  </w:num>
  <w:num w:numId="6" w16cid:durableId="1440834430">
    <w:abstractNumId w:val="10"/>
  </w:num>
  <w:num w:numId="7" w16cid:durableId="1397633313">
    <w:abstractNumId w:val="26"/>
  </w:num>
  <w:num w:numId="8" w16cid:durableId="1238901394">
    <w:abstractNumId w:val="12"/>
  </w:num>
  <w:num w:numId="9" w16cid:durableId="878933359">
    <w:abstractNumId w:val="14"/>
  </w:num>
  <w:num w:numId="10" w16cid:durableId="1011449403">
    <w:abstractNumId w:val="24"/>
  </w:num>
  <w:num w:numId="11" w16cid:durableId="112990104">
    <w:abstractNumId w:val="0"/>
  </w:num>
  <w:num w:numId="12" w16cid:durableId="1289047423">
    <w:abstractNumId w:val="7"/>
  </w:num>
  <w:num w:numId="13" w16cid:durableId="881671320">
    <w:abstractNumId w:val="5"/>
  </w:num>
  <w:num w:numId="14" w16cid:durableId="1248272244">
    <w:abstractNumId w:val="17"/>
  </w:num>
  <w:num w:numId="15" w16cid:durableId="1166095205">
    <w:abstractNumId w:val="11"/>
  </w:num>
  <w:num w:numId="16" w16cid:durableId="649099174">
    <w:abstractNumId w:val="25"/>
    <w:lvlOverride w:ilvl="0">
      <w:lvl w:ilvl="0">
        <w:start w:val="1"/>
        <w:numFmt w:val="decimal"/>
        <w:pStyle w:val="NumberHymans"/>
        <w:lvlText w:val="%1"/>
        <w:lvlJc w:val="left"/>
        <w:pPr>
          <w:ind w:left="567" w:hanging="567"/>
        </w:pPr>
        <w:rPr>
          <w:rFonts w:ascii="Arial" w:hAnsi="Arial" w:hint="default"/>
          <w:color w:val="F06A00"/>
          <w:sz w:val="20"/>
        </w:rPr>
      </w:lvl>
    </w:lvlOverride>
    <w:lvlOverride w:ilvl="1">
      <w:lvl w:ilvl="1">
        <w:start w:val="1"/>
        <w:numFmt w:val="decimal"/>
        <w:lvlText w:val="%1.%2"/>
        <w:lvlJc w:val="left"/>
        <w:pPr>
          <w:ind w:left="2552" w:hanging="567"/>
        </w:pPr>
        <w:rPr>
          <w:rFonts w:ascii="Arial" w:hAnsi="Arial" w:hint="default"/>
          <w:b/>
          <w:color w:val="3FA6CC"/>
          <w:sz w:val="20"/>
        </w:rPr>
      </w:lvl>
    </w:lvlOverride>
  </w:num>
  <w:num w:numId="17" w16cid:durableId="2077512496">
    <w:abstractNumId w:val="31"/>
  </w:num>
  <w:num w:numId="18" w16cid:durableId="1268465949">
    <w:abstractNumId w:val="13"/>
  </w:num>
  <w:num w:numId="19" w16cid:durableId="886838479">
    <w:abstractNumId w:val="29"/>
  </w:num>
  <w:num w:numId="20" w16cid:durableId="1291284434">
    <w:abstractNumId w:val="27"/>
  </w:num>
  <w:num w:numId="21" w16cid:durableId="2080050518">
    <w:abstractNumId w:val="4"/>
  </w:num>
  <w:num w:numId="22" w16cid:durableId="1623806422">
    <w:abstractNumId w:val="28"/>
  </w:num>
  <w:num w:numId="23" w16cid:durableId="2096318177">
    <w:abstractNumId w:val="2"/>
  </w:num>
  <w:num w:numId="24" w16cid:durableId="1675449961">
    <w:abstractNumId w:val="20"/>
  </w:num>
  <w:num w:numId="25" w16cid:durableId="1454055727">
    <w:abstractNumId w:val="30"/>
  </w:num>
  <w:num w:numId="26" w16cid:durableId="1842428520">
    <w:abstractNumId w:val="23"/>
  </w:num>
  <w:num w:numId="27" w16cid:durableId="2020623312">
    <w:abstractNumId w:val="1"/>
  </w:num>
  <w:num w:numId="28" w16cid:durableId="1409228326">
    <w:abstractNumId w:val="8"/>
  </w:num>
  <w:num w:numId="29" w16cid:durableId="874001875">
    <w:abstractNumId w:val="18"/>
  </w:num>
  <w:num w:numId="30" w16cid:durableId="756442602">
    <w:abstractNumId w:val="9"/>
  </w:num>
  <w:num w:numId="31" w16cid:durableId="1097166886">
    <w:abstractNumId w:val="15"/>
  </w:num>
  <w:num w:numId="32" w16cid:durableId="107828793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DA"/>
    <w:rsid w:val="000002B2"/>
    <w:rsid w:val="000003D6"/>
    <w:rsid w:val="00000C5D"/>
    <w:rsid w:val="00001196"/>
    <w:rsid w:val="00002991"/>
    <w:rsid w:val="00003A31"/>
    <w:rsid w:val="00003B99"/>
    <w:rsid w:val="00003DF5"/>
    <w:rsid w:val="000040F8"/>
    <w:rsid w:val="0000423B"/>
    <w:rsid w:val="0000450D"/>
    <w:rsid w:val="000045D8"/>
    <w:rsid w:val="000046A2"/>
    <w:rsid w:val="000048B0"/>
    <w:rsid w:val="00005A1C"/>
    <w:rsid w:val="000061F5"/>
    <w:rsid w:val="00006A48"/>
    <w:rsid w:val="00006F36"/>
    <w:rsid w:val="00007128"/>
    <w:rsid w:val="00007207"/>
    <w:rsid w:val="000077FB"/>
    <w:rsid w:val="00007867"/>
    <w:rsid w:val="00010039"/>
    <w:rsid w:val="000104E7"/>
    <w:rsid w:val="00011380"/>
    <w:rsid w:val="0001172B"/>
    <w:rsid w:val="00012487"/>
    <w:rsid w:val="00012757"/>
    <w:rsid w:val="00012FC9"/>
    <w:rsid w:val="000130AE"/>
    <w:rsid w:val="00013315"/>
    <w:rsid w:val="00013C18"/>
    <w:rsid w:val="000141D2"/>
    <w:rsid w:val="00014C6B"/>
    <w:rsid w:val="00014DB5"/>
    <w:rsid w:val="00015574"/>
    <w:rsid w:val="00015BB6"/>
    <w:rsid w:val="0001604B"/>
    <w:rsid w:val="000164D5"/>
    <w:rsid w:val="00016B4D"/>
    <w:rsid w:val="00017AF1"/>
    <w:rsid w:val="00017BEC"/>
    <w:rsid w:val="000202EF"/>
    <w:rsid w:val="0002046E"/>
    <w:rsid w:val="0002194D"/>
    <w:rsid w:val="00021CE0"/>
    <w:rsid w:val="00022290"/>
    <w:rsid w:val="000226E0"/>
    <w:rsid w:val="00022D59"/>
    <w:rsid w:val="0002344D"/>
    <w:rsid w:val="00023533"/>
    <w:rsid w:val="0002441A"/>
    <w:rsid w:val="0002475D"/>
    <w:rsid w:val="00025410"/>
    <w:rsid w:val="0002612B"/>
    <w:rsid w:val="00026158"/>
    <w:rsid w:val="000261D1"/>
    <w:rsid w:val="0002728E"/>
    <w:rsid w:val="00027641"/>
    <w:rsid w:val="000279FB"/>
    <w:rsid w:val="00027E02"/>
    <w:rsid w:val="000300D3"/>
    <w:rsid w:val="00030451"/>
    <w:rsid w:val="00031F8A"/>
    <w:rsid w:val="00031F9D"/>
    <w:rsid w:val="0003205F"/>
    <w:rsid w:val="00033502"/>
    <w:rsid w:val="00033BA3"/>
    <w:rsid w:val="00033F9D"/>
    <w:rsid w:val="00034162"/>
    <w:rsid w:val="000343D3"/>
    <w:rsid w:val="00034611"/>
    <w:rsid w:val="00034E99"/>
    <w:rsid w:val="00034F0C"/>
    <w:rsid w:val="00034FD9"/>
    <w:rsid w:val="000355A2"/>
    <w:rsid w:val="00035973"/>
    <w:rsid w:val="0003712E"/>
    <w:rsid w:val="000375C1"/>
    <w:rsid w:val="00037ACE"/>
    <w:rsid w:val="00037F03"/>
    <w:rsid w:val="00040CD2"/>
    <w:rsid w:val="00040EA4"/>
    <w:rsid w:val="000416D1"/>
    <w:rsid w:val="00041CE5"/>
    <w:rsid w:val="00042209"/>
    <w:rsid w:val="0004236D"/>
    <w:rsid w:val="00042A25"/>
    <w:rsid w:val="00042EB9"/>
    <w:rsid w:val="00043175"/>
    <w:rsid w:val="00044153"/>
    <w:rsid w:val="0004466B"/>
    <w:rsid w:val="00044BA1"/>
    <w:rsid w:val="00044BC1"/>
    <w:rsid w:val="00045B99"/>
    <w:rsid w:val="00045C1B"/>
    <w:rsid w:val="00046EDF"/>
    <w:rsid w:val="000470E6"/>
    <w:rsid w:val="00050020"/>
    <w:rsid w:val="000509CE"/>
    <w:rsid w:val="00050B75"/>
    <w:rsid w:val="00051514"/>
    <w:rsid w:val="00051799"/>
    <w:rsid w:val="00052443"/>
    <w:rsid w:val="00052A61"/>
    <w:rsid w:val="00053103"/>
    <w:rsid w:val="000536E0"/>
    <w:rsid w:val="00054597"/>
    <w:rsid w:val="00054882"/>
    <w:rsid w:val="00054F25"/>
    <w:rsid w:val="00054F38"/>
    <w:rsid w:val="0005507C"/>
    <w:rsid w:val="00055FFE"/>
    <w:rsid w:val="00056C2C"/>
    <w:rsid w:val="000572B5"/>
    <w:rsid w:val="0005739E"/>
    <w:rsid w:val="00057B01"/>
    <w:rsid w:val="000617B7"/>
    <w:rsid w:val="00061C03"/>
    <w:rsid w:val="000621C5"/>
    <w:rsid w:val="00062629"/>
    <w:rsid w:val="00063384"/>
    <w:rsid w:val="00063646"/>
    <w:rsid w:val="0006457D"/>
    <w:rsid w:val="000647D5"/>
    <w:rsid w:val="00064F01"/>
    <w:rsid w:val="0006534B"/>
    <w:rsid w:val="00065C35"/>
    <w:rsid w:val="00065CD2"/>
    <w:rsid w:val="00065E15"/>
    <w:rsid w:val="00066795"/>
    <w:rsid w:val="00066D60"/>
    <w:rsid w:val="00067BA5"/>
    <w:rsid w:val="000702CF"/>
    <w:rsid w:val="00070D7B"/>
    <w:rsid w:val="00071FAC"/>
    <w:rsid w:val="00072052"/>
    <w:rsid w:val="0007281E"/>
    <w:rsid w:val="000729BE"/>
    <w:rsid w:val="00072EAC"/>
    <w:rsid w:val="00073868"/>
    <w:rsid w:val="000739CD"/>
    <w:rsid w:val="00073D29"/>
    <w:rsid w:val="00074B7B"/>
    <w:rsid w:val="00074D62"/>
    <w:rsid w:val="00075503"/>
    <w:rsid w:val="0007649D"/>
    <w:rsid w:val="00077436"/>
    <w:rsid w:val="00077492"/>
    <w:rsid w:val="00077778"/>
    <w:rsid w:val="00077C44"/>
    <w:rsid w:val="00077D3E"/>
    <w:rsid w:val="0008003D"/>
    <w:rsid w:val="000805DE"/>
    <w:rsid w:val="00081B6B"/>
    <w:rsid w:val="00082830"/>
    <w:rsid w:val="000829AF"/>
    <w:rsid w:val="00083098"/>
    <w:rsid w:val="0008358B"/>
    <w:rsid w:val="000839DC"/>
    <w:rsid w:val="00083A11"/>
    <w:rsid w:val="0008400C"/>
    <w:rsid w:val="00085031"/>
    <w:rsid w:val="00085193"/>
    <w:rsid w:val="00085241"/>
    <w:rsid w:val="00085458"/>
    <w:rsid w:val="00085EAC"/>
    <w:rsid w:val="000860D0"/>
    <w:rsid w:val="0008677E"/>
    <w:rsid w:val="00086F5A"/>
    <w:rsid w:val="0008724A"/>
    <w:rsid w:val="0008754E"/>
    <w:rsid w:val="00090481"/>
    <w:rsid w:val="00090B5D"/>
    <w:rsid w:val="00090FB7"/>
    <w:rsid w:val="0009149C"/>
    <w:rsid w:val="00091501"/>
    <w:rsid w:val="0009167A"/>
    <w:rsid w:val="000920E2"/>
    <w:rsid w:val="00092258"/>
    <w:rsid w:val="00092338"/>
    <w:rsid w:val="000928BC"/>
    <w:rsid w:val="00092C5C"/>
    <w:rsid w:val="00093B38"/>
    <w:rsid w:val="000945AA"/>
    <w:rsid w:val="00095966"/>
    <w:rsid w:val="000963DF"/>
    <w:rsid w:val="0009667D"/>
    <w:rsid w:val="00097158"/>
    <w:rsid w:val="00097646"/>
    <w:rsid w:val="00097719"/>
    <w:rsid w:val="000A0534"/>
    <w:rsid w:val="000A10CD"/>
    <w:rsid w:val="000A1B93"/>
    <w:rsid w:val="000A2BBF"/>
    <w:rsid w:val="000A2EBF"/>
    <w:rsid w:val="000A59A4"/>
    <w:rsid w:val="000A603D"/>
    <w:rsid w:val="000A7035"/>
    <w:rsid w:val="000B0496"/>
    <w:rsid w:val="000B0FCA"/>
    <w:rsid w:val="000B1A79"/>
    <w:rsid w:val="000B1CCB"/>
    <w:rsid w:val="000B1F18"/>
    <w:rsid w:val="000B214E"/>
    <w:rsid w:val="000B3794"/>
    <w:rsid w:val="000B432D"/>
    <w:rsid w:val="000B4397"/>
    <w:rsid w:val="000B4C16"/>
    <w:rsid w:val="000B4FE3"/>
    <w:rsid w:val="000B5253"/>
    <w:rsid w:val="000B540F"/>
    <w:rsid w:val="000B5888"/>
    <w:rsid w:val="000B69C0"/>
    <w:rsid w:val="000B6F29"/>
    <w:rsid w:val="000B7A45"/>
    <w:rsid w:val="000C17BC"/>
    <w:rsid w:val="000C226A"/>
    <w:rsid w:val="000C2BB2"/>
    <w:rsid w:val="000C4AD4"/>
    <w:rsid w:val="000C5935"/>
    <w:rsid w:val="000C5FEB"/>
    <w:rsid w:val="000C60FC"/>
    <w:rsid w:val="000C6A11"/>
    <w:rsid w:val="000C6FF2"/>
    <w:rsid w:val="000C74BD"/>
    <w:rsid w:val="000C755C"/>
    <w:rsid w:val="000C763F"/>
    <w:rsid w:val="000C77AF"/>
    <w:rsid w:val="000C7C27"/>
    <w:rsid w:val="000D0A8C"/>
    <w:rsid w:val="000D0BCD"/>
    <w:rsid w:val="000D0CFC"/>
    <w:rsid w:val="000D0D11"/>
    <w:rsid w:val="000D0D2A"/>
    <w:rsid w:val="000D14E9"/>
    <w:rsid w:val="000D1A87"/>
    <w:rsid w:val="000D2074"/>
    <w:rsid w:val="000D22BE"/>
    <w:rsid w:val="000D236D"/>
    <w:rsid w:val="000D245A"/>
    <w:rsid w:val="000D2A13"/>
    <w:rsid w:val="000D3EAF"/>
    <w:rsid w:val="000D467C"/>
    <w:rsid w:val="000D4C20"/>
    <w:rsid w:val="000D57DE"/>
    <w:rsid w:val="000D621D"/>
    <w:rsid w:val="000D6355"/>
    <w:rsid w:val="000D6EC5"/>
    <w:rsid w:val="000D7832"/>
    <w:rsid w:val="000E00A3"/>
    <w:rsid w:val="000E099C"/>
    <w:rsid w:val="000E13B0"/>
    <w:rsid w:val="000E234C"/>
    <w:rsid w:val="000E2972"/>
    <w:rsid w:val="000E3232"/>
    <w:rsid w:val="000E3FE5"/>
    <w:rsid w:val="000E56B9"/>
    <w:rsid w:val="000E6549"/>
    <w:rsid w:val="000E6A8F"/>
    <w:rsid w:val="000E6B88"/>
    <w:rsid w:val="000E753A"/>
    <w:rsid w:val="000E76AB"/>
    <w:rsid w:val="000E7A08"/>
    <w:rsid w:val="000F079B"/>
    <w:rsid w:val="000F0C79"/>
    <w:rsid w:val="000F1AA2"/>
    <w:rsid w:val="000F2130"/>
    <w:rsid w:val="000F28C7"/>
    <w:rsid w:val="000F2A78"/>
    <w:rsid w:val="000F3011"/>
    <w:rsid w:val="000F32F1"/>
    <w:rsid w:val="000F3433"/>
    <w:rsid w:val="000F3BA2"/>
    <w:rsid w:val="000F46F5"/>
    <w:rsid w:val="000F4A54"/>
    <w:rsid w:val="000F615D"/>
    <w:rsid w:val="000F686D"/>
    <w:rsid w:val="000F6C97"/>
    <w:rsid w:val="000F71A4"/>
    <w:rsid w:val="000F78AB"/>
    <w:rsid w:val="000F79C1"/>
    <w:rsid w:val="001005CB"/>
    <w:rsid w:val="00100DDD"/>
    <w:rsid w:val="0010101E"/>
    <w:rsid w:val="0010106F"/>
    <w:rsid w:val="001014B4"/>
    <w:rsid w:val="00101A9B"/>
    <w:rsid w:val="00101C38"/>
    <w:rsid w:val="00102029"/>
    <w:rsid w:val="001020AD"/>
    <w:rsid w:val="00102949"/>
    <w:rsid w:val="00102970"/>
    <w:rsid w:val="0010385A"/>
    <w:rsid w:val="0010445C"/>
    <w:rsid w:val="0010456A"/>
    <w:rsid w:val="00104582"/>
    <w:rsid w:val="00104EC7"/>
    <w:rsid w:val="00105B8F"/>
    <w:rsid w:val="0010635C"/>
    <w:rsid w:val="001077E7"/>
    <w:rsid w:val="00110222"/>
    <w:rsid w:val="00110C75"/>
    <w:rsid w:val="001110BC"/>
    <w:rsid w:val="001119C3"/>
    <w:rsid w:val="00111F18"/>
    <w:rsid w:val="00112C23"/>
    <w:rsid w:val="00112EEC"/>
    <w:rsid w:val="00112F7F"/>
    <w:rsid w:val="0011309F"/>
    <w:rsid w:val="0011485D"/>
    <w:rsid w:val="0011498C"/>
    <w:rsid w:val="00116BFB"/>
    <w:rsid w:val="00122137"/>
    <w:rsid w:val="0012289F"/>
    <w:rsid w:val="00123774"/>
    <w:rsid w:val="0012475F"/>
    <w:rsid w:val="00125303"/>
    <w:rsid w:val="00125B1C"/>
    <w:rsid w:val="001262D0"/>
    <w:rsid w:val="0012635A"/>
    <w:rsid w:val="00126372"/>
    <w:rsid w:val="00126649"/>
    <w:rsid w:val="00126A47"/>
    <w:rsid w:val="00126A8C"/>
    <w:rsid w:val="00126EE0"/>
    <w:rsid w:val="00127046"/>
    <w:rsid w:val="00127127"/>
    <w:rsid w:val="0012740F"/>
    <w:rsid w:val="001278C8"/>
    <w:rsid w:val="0013019E"/>
    <w:rsid w:val="00130C46"/>
    <w:rsid w:val="00132468"/>
    <w:rsid w:val="00132B94"/>
    <w:rsid w:val="001337A2"/>
    <w:rsid w:val="001343B7"/>
    <w:rsid w:val="00135E4D"/>
    <w:rsid w:val="00135F4C"/>
    <w:rsid w:val="001367B8"/>
    <w:rsid w:val="00136C21"/>
    <w:rsid w:val="001371EF"/>
    <w:rsid w:val="00137713"/>
    <w:rsid w:val="00137BD1"/>
    <w:rsid w:val="00137D77"/>
    <w:rsid w:val="00137F29"/>
    <w:rsid w:val="00137FAC"/>
    <w:rsid w:val="00141D0A"/>
    <w:rsid w:val="00142339"/>
    <w:rsid w:val="00142526"/>
    <w:rsid w:val="0014310A"/>
    <w:rsid w:val="0014318F"/>
    <w:rsid w:val="00143AE1"/>
    <w:rsid w:val="00143C58"/>
    <w:rsid w:val="0014472C"/>
    <w:rsid w:val="001448DD"/>
    <w:rsid w:val="00145752"/>
    <w:rsid w:val="00145AD6"/>
    <w:rsid w:val="00145DF1"/>
    <w:rsid w:val="00145E36"/>
    <w:rsid w:val="00145E64"/>
    <w:rsid w:val="00145FF0"/>
    <w:rsid w:val="0014690B"/>
    <w:rsid w:val="001477F1"/>
    <w:rsid w:val="00147A1A"/>
    <w:rsid w:val="00147EA0"/>
    <w:rsid w:val="0015027E"/>
    <w:rsid w:val="0015084C"/>
    <w:rsid w:val="00151D16"/>
    <w:rsid w:val="0015241F"/>
    <w:rsid w:val="001530C9"/>
    <w:rsid w:val="0015444A"/>
    <w:rsid w:val="0015469D"/>
    <w:rsid w:val="00154A9C"/>
    <w:rsid w:val="00155A20"/>
    <w:rsid w:val="0015609C"/>
    <w:rsid w:val="0015614B"/>
    <w:rsid w:val="00156560"/>
    <w:rsid w:val="001565A4"/>
    <w:rsid w:val="0015664A"/>
    <w:rsid w:val="001567F7"/>
    <w:rsid w:val="00156CBC"/>
    <w:rsid w:val="00157538"/>
    <w:rsid w:val="001608F3"/>
    <w:rsid w:val="00160E41"/>
    <w:rsid w:val="00160FD3"/>
    <w:rsid w:val="00161BD1"/>
    <w:rsid w:val="00162765"/>
    <w:rsid w:val="00163F91"/>
    <w:rsid w:val="0016494D"/>
    <w:rsid w:val="00165D43"/>
    <w:rsid w:val="00165F73"/>
    <w:rsid w:val="001662AC"/>
    <w:rsid w:val="001669DB"/>
    <w:rsid w:val="001677FE"/>
    <w:rsid w:val="00167DDF"/>
    <w:rsid w:val="00170334"/>
    <w:rsid w:val="001706E7"/>
    <w:rsid w:val="001719C9"/>
    <w:rsid w:val="00171D2E"/>
    <w:rsid w:val="00173412"/>
    <w:rsid w:val="00174DEC"/>
    <w:rsid w:val="0017575B"/>
    <w:rsid w:val="001763FB"/>
    <w:rsid w:val="00180756"/>
    <w:rsid w:val="001819DD"/>
    <w:rsid w:val="00181B4C"/>
    <w:rsid w:val="0018299A"/>
    <w:rsid w:val="00182BDB"/>
    <w:rsid w:val="001830EE"/>
    <w:rsid w:val="0018332E"/>
    <w:rsid w:val="00184EBE"/>
    <w:rsid w:val="00186848"/>
    <w:rsid w:val="00186DB1"/>
    <w:rsid w:val="00186E9D"/>
    <w:rsid w:val="0018708C"/>
    <w:rsid w:val="00190398"/>
    <w:rsid w:val="00190678"/>
    <w:rsid w:val="00190EAC"/>
    <w:rsid w:val="0019139D"/>
    <w:rsid w:val="00191D1C"/>
    <w:rsid w:val="001926E4"/>
    <w:rsid w:val="001927F2"/>
    <w:rsid w:val="001940CB"/>
    <w:rsid w:val="001944F8"/>
    <w:rsid w:val="001947F5"/>
    <w:rsid w:val="00195BDB"/>
    <w:rsid w:val="00195C98"/>
    <w:rsid w:val="00195F59"/>
    <w:rsid w:val="0019689C"/>
    <w:rsid w:val="00197302"/>
    <w:rsid w:val="00197399"/>
    <w:rsid w:val="00197E86"/>
    <w:rsid w:val="00197F3D"/>
    <w:rsid w:val="001A08A9"/>
    <w:rsid w:val="001A0E16"/>
    <w:rsid w:val="001A1E98"/>
    <w:rsid w:val="001A248E"/>
    <w:rsid w:val="001A2BC8"/>
    <w:rsid w:val="001A34CF"/>
    <w:rsid w:val="001A3986"/>
    <w:rsid w:val="001A39BE"/>
    <w:rsid w:val="001A3B1B"/>
    <w:rsid w:val="001A48B5"/>
    <w:rsid w:val="001A4CCF"/>
    <w:rsid w:val="001A4DC0"/>
    <w:rsid w:val="001A56F5"/>
    <w:rsid w:val="001A6CAE"/>
    <w:rsid w:val="001A6EC5"/>
    <w:rsid w:val="001A7E51"/>
    <w:rsid w:val="001B066A"/>
    <w:rsid w:val="001B0C11"/>
    <w:rsid w:val="001B2003"/>
    <w:rsid w:val="001B2124"/>
    <w:rsid w:val="001B2F99"/>
    <w:rsid w:val="001B3BEB"/>
    <w:rsid w:val="001B4096"/>
    <w:rsid w:val="001B6E71"/>
    <w:rsid w:val="001B7AF0"/>
    <w:rsid w:val="001B7BC9"/>
    <w:rsid w:val="001C01B8"/>
    <w:rsid w:val="001C0A7D"/>
    <w:rsid w:val="001C103E"/>
    <w:rsid w:val="001C14F1"/>
    <w:rsid w:val="001C1F71"/>
    <w:rsid w:val="001C2D12"/>
    <w:rsid w:val="001C4934"/>
    <w:rsid w:val="001C4D2D"/>
    <w:rsid w:val="001C51C4"/>
    <w:rsid w:val="001C6597"/>
    <w:rsid w:val="001C6B6E"/>
    <w:rsid w:val="001C7F77"/>
    <w:rsid w:val="001D00E5"/>
    <w:rsid w:val="001D021E"/>
    <w:rsid w:val="001D04D0"/>
    <w:rsid w:val="001D1734"/>
    <w:rsid w:val="001D1B8B"/>
    <w:rsid w:val="001D1F53"/>
    <w:rsid w:val="001D1F75"/>
    <w:rsid w:val="001D20EB"/>
    <w:rsid w:val="001D265A"/>
    <w:rsid w:val="001D3B6E"/>
    <w:rsid w:val="001D44C5"/>
    <w:rsid w:val="001D478B"/>
    <w:rsid w:val="001D4AA1"/>
    <w:rsid w:val="001D54DC"/>
    <w:rsid w:val="001D612C"/>
    <w:rsid w:val="001D6826"/>
    <w:rsid w:val="001D6E63"/>
    <w:rsid w:val="001D7689"/>
    <w:rsid w:val="001D7C52"/>
    <w:rsid w:val="001E0361"/>
    <w:rsid w:val="001E0D62"/>
    <w:rsid w:val="001E1D0A"/>
    <w:rsid w:val="001E1D8D"/>
    <w:rsid w:val="001E2FD7"/>
    <w:rsid w:val="001E33DC"/>
    <w:rsid w:val="001E3ECD"/>
    <w:rsid w:val="001E7BB5"/>
    <w:rsid w:val="001F03D3"/>
    <w:rsid w:val="001F1050"/>
    <w:rsid w:val="001F174B"/>
    <w:rsid w:val="001F25CE"/>
    <w:rsid w:val="001F2D84"/>
    <w:rsid w:val="001F30D3"/>
    <w:rsid w:val="001F36E9"/>
    <w:rsid w:val="001F3E93"/>
    <w:rsid w:val="001F40E2"/>
    <w:rsid w:val="001F41E8"/>
    <w:rsid w:val="001F50F2"/>
    <w:rsid w:val="001F534A"/>
    <w:rsid w:val="001F58FD"/>
    <w:rsid w:val="001F5D1B"/>
    <w:rsid w:val="001F5E95"/>
    <w:rsid w:val="001F65BA"/>
    <w:rsid w:val="001F7010"/>
    <w:rsid w:val="001F7AC3"/>
    <w:rsid w:val="001F7CB5"/>
    <w:rsid w:val="002004C4"/>
    <w:rsid w:val="0020072E"/>
    <w:rsid w:val="0020136E"/>
    <w:rsid w:val="002024DC"/>
    <w:rsid w:val="002033A5"/>
    <w:rsid w:val="0020497C"/>
    <w:rsid w:val="00205636"/>
    <w:rsid w:val="00205F53"/>
    <w:rsid w:val="00206599"/>
    <w:rsid w:val="00207221"/>
    <w:rsid w:val="00207311"/>
    <w:rsid w:val="0021104D"/>
    <w:rsid w:val="00211434"/>
    <w:rsid w:val="00211AC3"/>
    <w:rsid w:val="00211E69"/>
    <w:rsid w:val="002145F3"/>
    <w:rsid w:val="00215A5C"/>
    <w:rsid w:val="00215DFE"/>
    <w:rsid w:val="00216268"/>
    <w:rsid w:val="0021629E"/>
    <w:rsid w:val="00216846"/>
    <w:rsid w:val="00216D9E"/>
    <w:rsid w:val="002175D8"/>
    <w:rsid w:val="0021788C"/>
    <w:rsid w:val="00220080"/>
    <w:rsid w:val="0022053B"/>
    <w:rsid w:val="00221C04"/>
    <w:rsid w:val="00222104"/>
    <w:rsid w:val="00222227"/>
    <w:rsid w:val="00222D10"/>
    <w:rsid w:val="00223414"/>
    <w:rsid w:val="0022389A"/>
    <w:rsid w:val="00223D0F"/>
    <w:rsid w:val="002249C9"/>
    <w:rsid w:val="00225123"/>
    <w:rsid w:val="00226194"/>
    <w:rsid w:val="00226629"/>
    <w:rsid w:val="00226735"/>
    <w:rsid w:val="00226A46"/>
    <w:rsid w:val="00226B4C"/>
    <w:rsid w:val="002270D6"/>
    <w:rsid w:val="0022785E"/>
    <w:rsid w:val="00230772"/>
    <w:rsid w:val="002313AF"/>
    <w:rsid w:val="00231C9E"/>
    <w:rsid w:val="00231F4C"/>
    <w:rsid w:val="002328C5"/>
    <w:rsid w:val="0023343F"/>
    <w:rsid w:val="002335A7"/>
    <w:rsid w:val="00234261"/>
    <w:rsid w:val="0023535F"/>
    <w:rsid w:val="00235462"/>
    <w:rsid w:val="002362BB"/>
    <w:rsid w:val="00236EA6"/>
    <w:rsid w:val="002370E6"/>
    <w:rsid w:val="00237121"/>
    <w:rsid w:val="00237293"/>
    <w:rsid w:val="00237A73"/>
    <w:rsid w:val="00237E6B"/>
    <w:rsid w:val="00240E97"/>
    <w:rsid w:val="00240F5B"/>
    <w:rsid w:val="00241BEE"/>
    <w:rsid w:val="00242392"/>
    <w:rsid w:val="002436CB"/>
    <w:rsid w:val="002437E5"/>
    <w:rsid w:val="00244A15"/>
    <w:rsid w:val="002450CF"/>
    <w:rsid w:val="00245EE6"/>
    <w:rsid w:val="00246D87"/>
    <w:rsid w:val="0024712D"/>
    <w:rsid w:val="0024718F"/>
    <w:rsid w:val="00247215"/>
    <w:rsid w:val="002473DB"/>
    <w:rsid w:val="00250ED9"/>
    <w:rsid w:val="0025176C"/>
    <w:rsid w:val="00252962"/>
    <w:rsid w:val="00253071"/>
    <w:rsid w:val="00253287"/>
    <w:rsid w:val="002533D4"/>
    <w:rsid w:val="00253921"/>
    <w:rsid w:val="00253ABE"/>
    <w:rsid w:val="00253BF0"/>
    <w:rsid w:val="00253CEE"/>
    <w:rsid w:val="00253D53"/>
    <w:rsid w:val="002544AE"/>
    <w:rsid w:val="0025457E"/>
    <w:rsid w:val="00254F2A"/>
    <w:rsid w:val="002555C0"/>
    <w:rsid w:val="00255F35"/>
    <w:rsid w:val="002560B8"/>
    <w:rsid w:val="00256154"/>
    <w:rsid w:val="00256457"/>
    <w:rsid w:val="00256EC3"/>
    <w:rsid w:val="00257A93"/>
    <w:rsid w:val="00257CE8"/>
    <w:rsid w:val="00260385"/>
    <w:rsid w:val="002611E3"/>
    <w:rsid w:val="00261424"/>
    <w:rsid w:val="00262A35"/>
    <w:rsid w:val="00262A51"/>
    <w:rsid w:val="00262DF0"/>
    <w:rsid w:val="0026427A"/>
    <w:rsid w:val="0026432C"/>
    <w:rsid w:val="00264502"/>
    <w:rsid w:val="00264914"/>
    <w:rsid w:val="00264BFD"/>
    <w:rsid w:val="00264C1C"/>
    <w:rsid w:val="0026581C"/>
    <w:rsid w:val="00265837"/>
    <w:rsid w:val="00265A06"/>
    <w:rsid w:val="00265A35"/>
    <w:rsid w:val="0026690D"/>
    <w:rsid w:val="002671D7"/>
    <w:rsid w:val="00267732"/>
    <w:rsid w:val="0027013B"/>
    <w:rsid w:val="002722AF"/>
    <w:rsid w:val="002723BC"/>
    <w:rsid w:val="00272C21"/>
    <w:rsid w:val="00273989"/>
    <w:rsid w:val="002740CE"/>
    <w:rsid w:val="00274F91"/>
    <w:rsid w:val="002751DD"/>
    <w:rsid w:val="002752F2"/>
    <w:rsid w:val="0027567F"/>
    <w:rsid w:val="00275A91"/>
    <w:rsid w:val="00277AD4"/>
    <w:rsid w:val="00280EF2"/>
    <w:rsid w:val="00281072"/>
    <w:rsid w:val="00281770"/>
    <w:rsid w:val="00281D07"/>
    <w:rsid w:val="00281EBC"/>
    <w:rsid w:val="00283292"/>
    <w:rsid w:val="00284C2A"/>
    <w:rsid w:val="00285251"/>
    <w:rsid w:val="00285AAA"/>
    <w:rsid w:val="00285E41"/>
    <w:rsid w:val="00285F0D"/>
    <w:rsid w:val="00286502"/>
    <w:rsid w:val="00286C39"/>
    <w:rsid w:val="002872F0"/>
    <w:rsid w:val="0029006F"/>
    <w:rsid w:val="002910F8"/>
    <w:rsid w:val="00291299"/>
    <w:rsid w:val="00291FA1"/>
    <w:rsid w:val="00291FB7"/>
    <w:rsid w:val="00292A98"/>
    <w:rsid w:val="00292D29"/>
    <w:rsid w:val="00293252"/>
    <w:rsid w:val="0029325D"/>
    <w:rsid w:val="00293584"/>
    <w:rsid w:val="00293CCF"/>
    <w:rsid w:val="00293D84"/>
    <w:rsid w:val="002950CE"/>
    <w:rsid w:val="00295179"/>
    <w:rsid w:val="0029530C"/>
    <w:rsid w:val="00295B97"/>
    <w:rsid w:val="00295F31"/>
    <w:rsid w:val="00296753"/>
    <w:rsid w:val="002A0383"/>
    <w:rsid w:val="002A0F75"/>
    <w:rsid w:val="002A0F76"/>
    <w:rsid w:val="002A12E1"/>
    <w:rsid w:val="002A19D3"/>
    <w:rsid w:val="002A3DA2"/>
    <w:rsid w:val="002A42BC"/>
    <w:rsid w:val="002A45A5"/>
    <w:rsid w:val="002A5332"/>
    <w:rsid w:val="002A5722"/>
    <w:rsid w:val="002A76AF"/>
    <w:rsid w:val="002A7FAA"/>
    <w:rsid w:val="002B00A7"/>
    <w:rsid w:val="002B07A6"/>
    <w:rsid w:val="002B3015"/>
    <w:rsid w:val="002B4A8E"/>
    <w:rsid w:val="002B4DE5"/>
    <w:rsid w:val="002B5730"/>
    <w:rsid w:val="002B584D"/>
    <w:rsid w:val="002B5A4D"/>
    <w:rsid w:val="002B68FE"/>
    <w:rsid w:val="002B72B1"/>
    <w:rsid w:val="002B7FBB"/>
    <w:rsid w:val="002C1590"/>
    <w:rsid w:val="002C1FE7"/>
    <w:rsid w:val="002C2AB4"/>
    <w:rsid w:val="002C3139"/>
    <w:rsid w:val="002C3295"/>
    <w:rsid w:val="002C33EE"/>
    <w:rsid w:val="002C3B5A"/>
    <w:rsid w:val="002C47F2"/>
    <w:rsid w:val="002C4F7F"/>
    <w:rsid w:val="002C5998"/>
    <w:rsid w:val="002C679A"/>
    <w:rsid w:val="002C68C6"/>
    <w:rsid w:val="002C6916"/>
    <w:rsid w:val="002C7AE7"/>
    <w:rsid w:val="002C7CC5"/>
    <w:rsid w:val="002D0BBD"/>
    <w:rsid w:val="002D1931"/>
    <w:rsid w:val="002D1995"/>
    <w:rsid w:val="002D1AF0"/>
    <w:rsid w:val="002D1B5C"/>
    <w:rsid w:val="002D2331"/>
    <w:rsid w:val="002D242E"/>
    <w:rsid w:val="002D26F5"/>
    <w:rsid w:val="002D33B6"/>
    <w:rsid w:val="002D4245"/>
    <w:rsid w:val="002D45A7"/>
    <w:rsid w:val="002D4ABF"/>
    <w:rsid w:val="002D577D"/>
    <w:rsid w:val="002D59F0"/>
    <w:rsid w:val="002D5EF2"/>
    <w:rsid w:val="002D5FFC"/>
    <w:rsid w:val="002D629E"/>
    <w:rsid w:val="002D6391"/>
    <w:rsid w:val="002D7A5F"/>
    <w:rsid w:val="002E0A5B"/>
    <w:rsid w:val="002E1403"/>
    <w:rsid w:val="002E170C"/>
    <w:rsid w:val="002E1743"/>
    <w:rsid w:val="002E1962"/>
    <w:rsid w:val="002E1ED9"/>
    <w:rsid w:val="002E2763"/>
    <w:rsid w:val="002E2BED"/>
    <w:rsid w:val="002E2E10"/>
    <w:rsid w:val="002E3492"/>
    <w:rsid w:val="002E3D36"/>
    <w:rsid w:val="002E4AE1"/>
    <w:rsid w:val="002E4B93"/>
    <w:rsid w:val="002E5F51"/>
    <w:rsid w:val="002E7165"/>
    <w:rsid w:val="002E730C"/>
    <w:rsid w:val="002E7E84"/>
    <w:rsid w:val="002F0113"/>
    <w:rsid w:val="002F14E8"/>
    <w:rsid w:val="002F1D77"/>
    <w:rsid w:val="002F299A"/>
    <w:rsid w:val="002F2AEF"/>
    <w:rsid w:val="002F2C80"/>
    <w:rsid w:val="002F2F2F"/>
    <w:rsid w:val="002F3082"/>
    <w:rsid w:val="002F4463"/>
    <w:rsid w:val="002F56EF"/>
    <w:rsid w:val="002F6851"/>
    <w:rsid w:val="002F72F2"/>
    <w:rsid w:val="002F7CA9"/>
    <w:rsid w:val="002F7EBE"/>
    <w:rsid w:val="002F7FF6"/>
    <w:rsid w:val="00300700"/>
    <w:rsid w:val="0030219B"/>
    <w:rsid w:val="0030318A"/>
    <w:rsid w:val="003035D8"/>
    <w:rsid w:val="003037D8"/>
    <w:rsid w:val="00303A4F"/>
    <w:rsid w:val="003053AA"/>
    <w:rsid w:val="0030555A"/>
    <w:rsid w:val="00305F23"/>
    <w:rsid w:val="00305F95"/>
    <w:rsid w:val="00306674"/>
    <w:rsid w:val="00306C44"/>
    <w:rsid w:val="00310316"/>
    <w:rsid w:val="0031074A"/>
    <w:rsid w:val="00310918"/>
    <w:rsid w:val="003112E8"/>
    <w:rsid w:val="00311770"/>
    <w:rsid w:val="003120CF"/>
    <w:rsid w:val="003147CF"/>
    <w:rsid w:val="00315A04"/>
    <w:rsid w:val="00316EB9"/>
    <w:rsid w:val="003171D5"/>
    <w:rsid w:val="003200EB"/>
    <w:rsid w:val="00320BDE"/>
    <w:rsid w:val="00321660"/>
    <w:rsid w:val="00321BD2"/>
    <w:rsid w:val="00321C21"/>
    <w:rsid w:val="00321C22"/>
    <w:rsid w:val="003238E8"/>
    <w:rsid w:val="00324008"/>
    <w:rsid w:val="00324E51"/>
    <w:rsid w:val="003252D7"/>
    <w:rsid w:val="00327407"/>
    <w:rsid w:val="00327F1F"/>
    <w:rsid w:val="00330077"/>
    <w:rsid w:val="003305ED"/>
    <w:rsid w:val="003308B5"/>
    <w:rsid w:val="00330BB5"/>
    <w:rsid w:val="0033112B"/>
    <w:rsid w:val="00332BA2"/>
    <w:rsid w:val="00332F0D"/>
    <w:rsid w:val="00333075"/>
    <w:rsid w:val="00333086"/>
    <w:rsid w:val="00333FC8"/>
    <w:rsid w:val="0033435A"/>
    <w:rsid w:val="00335527"/>
    <w:rsid w:val="00335F84"/>
    <w:rsid w:val="003365E3"/>
    <w:rsid w:val="00336851"/>
    <w:rsid w:val="00336EB8"/>
    <w:rsid w:val="00336FA1"/>
    <w:rsid w:val="003400A0"/>
    <w:rsid w:val="0034102F"/>
    <w:rsid w:val="003428D8"/>
    <w:rsid w:val="003432FA"/>
    <w:rsid w:val="003434CA"/>
    <w:rsid w:val="00343D4D"/>
    <w:rsid w:val="003445D9"/>
    <w:rsid w:val="00344BCB"/>
    <w:rsid w:val="00344EC9"/>
    <w:rsid w:val="00345CE4"/>
    <w:rsid w:val="003462A1"/>
    <w:rsid w:val="0034647E"/>
    <w:rsid w:val="003466D0"/>
    <w:rsid w:val="0034725C"/>
    <w:rsid w:val="0034730B"/>
    <w:rsid w:val="00347604"/>
    <w:rsid w:val="0035114B"/>
    <w:rsid w:val="0035184B"/>
    <w:rsid w:val="003518A3"/>
    <w:rsid w:val="003535AA"/>
    <w:rsid w:val="00354103"/>
    <w:rsid w:val="0035451F"/>
    <w:rsid w:val="00354732"/>
    <w:rsid w:val="00355846"/>
    <w:rsid w:val="00355DB5"/>
    <w:rsid w:val="0035638E"/>
    <w:rsid w:val="003564A2"/>
    <w:rsid w:val="0035738E"/>
    <w:rsid w:val="00357590"/>
    <w:rsid w:val="003575CC"/>
    <w:rsid w:val="00357FF6"/>
    <w:rsid w:val="0036152D"/>
    <w:rsid w:val="00361857"/>
    <w:rsid w:val="00361CAF"/>
    <w:rsid w:val="0036203A"/>
    <w:rsid w:val="00362186"/>
    <w:rsid w:val="00362213"/>
    <w:rsid w:val="003629BE"/>
    <w:rsid w:val="00362A03"/>
    <w:rsid w:val="00363CD1"/>
    <w:rsid w:val="00364A76"/>
    <w:rsid w:val="0036517B"/>
    <w:rsid w:val="00365D69"/>
    <w:rsid w:val="00366069"/>
    <w:rsid w:val="0036629B"/>
    <w:rsid w:val="00366882"/>
    <w:rsid w:val="00366B71"/>
    <w:rsid w:val="00366D03"/>
    <w:rsid w:val="0036791C"/>
    <w:rsid w:val="0037056A"/>
    <w:rsid w:val="003711C8"/>
    <w:rsid w:val="00371748"/>
    <w:rsid w:val="003717B4"/>
    <w:rsid w:val="00371821"/>
    <w:rsid w:val="00371D59"/>
    <w:rsid w:val="00371F20"/>
    <w:rsid w:val="00371F70"/>
    <w:rsid w:val="003723D4"/>
    <w:rsid w:val="00374A31"/>
    <w:rsid w:val="00374D0D"/>
    <w:rsid w:val="0037628F"/>
    <w:rsid w:val="003767E5"/>
    <w:rsid w:val="00376D86"/>
    <w:rsid w:val="003770C3"/>
    <w:rsid w:val="00377A59"/>
    <w:rsid w:val="003801C1"/>
    <w:rsid w:val="003802CE"/>
    <w:rsid w:val="00380556"/>
    <w:rsid w:val="00380B20"/>
    <w:rsid w:val="00381009"/>
    <w:rsid w:val="00381E65"/>
    <w:rsid w:val="003839EF"/>
    <w:rsid w:val="003848AE"/>
    <w:rsid w:val="00384B89"/>
    <w:rsid w:val="0038508F"/>
    <w:rsid w:val="00385D09"/>
    <w:rsid w:val="00386157"/>
    <w:rsid w:val="00386D32"/>
    <w:rsid w:val="00387917"/>
    <w:rsid w:val="00387BDD"/>
    <w:rsid w:val="00392DAC"/>
    <w:rsid w:val="0039345D"/>
    <w:rsid w:val="0039361E"/>
    <w:rsid w:val="00393651"/>
    <w:rsid w:val="00393C3E"/>
    <w:rsid w:val="003943D8"/>
    <w:rsid w:val="00394F7B"/>
    <w:rsid w:val="00395AD3"/>
    <w:rsid w:val="00396098"/>
    <w:rsid w:val="003961F0"/>
    <w:rsid w:val="003962DB"/>
    <w:rsid w:val="00397E4D"/>
    <w:rsid w:val="00397EB1"/>
    <w:rsid w:val="003A038D"/>
    <w:rsid w:val="003A0DBB"/>
    <w:rsid w:val="003A14D0"/>
    <w:rsid w:val="003A2F1D"/>
    <w:rsid w:val="003A3107"/>
    <w:rsid w:val="003A3E4E"/>
    <w:rsid w:val="003A4137"/>
    <w:rsid w:val="003A4F31"/>
    <w:rsid w:val="003A4F6F"/>
    <w:rsid w:val="003A5825"/>
    <w:rsid w:val="003A59C7"/>
    <w:rsid w:val="003A5FEF"/>
    <w:rsid w:val="003A651A"/>
    <w:rsid w:val="003A6A36"/>
    <w:rsid w:val="003A7242"/>
    <w:rsid w:val="003A79D0"/>
    <w:rsid w:val="003B0518"/>
    <w:rsid w:val="003B096B"/>
    <w:rsid w:val="003B128B"/>
    <w:rsid w:val="003B1650"/>
    <w:rsid w:val="003B2637"/>
    <w:rsid w:val="003B2974"/>
    <w:rsid w:val="003B2C4D"/>
    <w:rsid w:val="003B2F9B"/>
    <w:rsid w:val="003B3741"/>
    <w:rsid w:val="003B41E1"/>
    <w:rsid w:val="003B4E86"/>
    <w:rsid w:val="003B5F1C"/>
    <w:rsid w:val="003B694C"/>
    <w:rsid w:val="003B7AA8"/>
    <w:rsid w:val="003C0AFA"/>
    <w:rsid w:val="003C0F5D"/>
    <w:rsid w:val="003C13FF"/>
    <w:rsid w:val="003C16AC"/>
    <w:rsid w:val="003C1B0F"/>
    <w:rsid w:val="003C1D37"/>
    <w:rsid w:val="003C3131"/>
    <w:rsid w:val="003C3446"/>
    <w:rsid w:val="003C3485"/>
    <w:rsid w:val="003C34F2"/>
    <w:rsid w:val="003C39D8"/>
    <w:rsid w:val="003C3E61"/>
    <w:rsid w:val="003C45DA"/>
    <w:rsid w:val="003C4F5F"/>
    <w:rsid w:val="003C5898"/>
    <w:rsid w:val="003C5EFB"/>
    <w:rsid w:val="003C75E9"/>
    <w:rsid w:val="003C7FDA"/>
    <w:rsid w:val="003D0501"/>
    <w:rsid w:val="003D0C8D"/>
    <w:rsid w:val="003D1146"/>
    <w:rsid w:val="003D15B8"/>
    <w:rsid w:val="003D183D"/>
    <w:rsid w:val="003D2037"/>
    <w:rsid w:val="003D22C8"/>
    <w:rsid w:val="003D2A9B"/>
    <w:rsid w:val="003D3229"/>
    <w:rsid w:val="003D32BF"/>
    <w:rsid w:val="003D36B6"/>
    <w:rsid w:val="003D51C6"/>
    <w:rsid w:val="003D52B9"/>
    <w:rsid w:val="003D54B6"/>
    <w:rsid w:val="003D5DCD"/>
    <w:rsid w:val="003D6884"/>
    <w:rsid w:val="003D6D53"/>
    <w:rsid w:val="003D7561"/>
    <w:rsid w:val="003E0550"/>
    <w:rsid w:val="003E248F"/>
    <w:rsid w:val="003E3D8E"/>
    <w:rsid w:val="003E4001"/>
    <w:rsid w:val="003E47DD"/>
    <w:rsid w:val="003E4863"/>
    <w:rsid w:val="003E594E"/>
    <w:rsid w:val="003E5F87"/>
    <w:rsid w:val="003E6169"/>
    <w:rsid w:val="003E6422"/>
    <w:rsid w:val="003E7D11"/>
    <w:rsid w:val="003F02B7"/>
    <w:rsid w:val="003F03D2"/>
    <w:rsid w:val="003F0C75"/>
    <w:rsid w:val="003F0D08"/>
    <w:rsid w:val="003F1683"/>
    <w:rsid w:val="003F208C"/>
    <w:rsid w:val="003F24FB"/>
    <w:rsid w:val="003F2D27"/>
    <w:rsid w:val="003F3A4D"/>
    <w:rsid w:val="003F3F4C"/>
    <w:rsid w:val="003F45D5"/>
    <w:rsid w:val="003F5AE7"/>
    <w:rsid w:val="003F5D27"/>
    <w:rsid w:val="003F5E4D"/>
    <w:rsid w:val="003F5E88"/>
    <w:rsid w:val="003F6858"/>
    <w:rsid w:val="003F744C"/>
    <w:rsid w:val="003F7B50"/>
    <w:rsid w:val="003F7B5E"/>
    <w:rsid w:val="004000C9"/>
    <w:rsid w:val="0040044E"/>
    <w:rsid w:val="0040136F"/>
    <w:rsid w:val="004013AD"/>
    <w:rsid w:val="00401AC2"/>
    <w:rsid w:val="00402911"/>
    <w:rsid w:val="00404018"/>
    <w:rsid w:val="00404A90"/>
    <w:rsid w:val="00404CD5"/>
    <w:rsid w:val="00405029"/>
    <w:rsid w:val="004061C7"/>
    <w:rsid w:val="00410BE9"/>
    <w:rsid w:val="00410C63"/>
    <w:rsid w:val="00410C88"/>
    <w:rsid w:val="004116A0"/>
    <w:rsid w:val="00411E05"/>
    <w:rsid w:val="00412629"/>
    <w:rsid w:val="004127BD"/>
    <w:rsid w:val="00412999"/>
    <w:rsid w:val="0041313B"/>
    <w:rsid w:val="00414A42"/>
    <w:rsid w:val="00414B67"/>
    <w:rsid w:val="00414B8E"/>
    <w:rsid w:val="00415932"/>
    <w:rsid w:val="004159F4"/>
    <w:rsid w:val="00415D6E"/>
    <w:rsid w:val="004169A8"/>
    <w:rsid w:val="004169F4"/>
    <w:rsid w:val="00416C74"/>
    <w:rsid w:val="00417746"/>
    <w:rsid w:val="0041776D"/>
    <w:rsid w:val="0041779C"/>
    <w:rsid w:val="00417DE4"/>
    <w:rsid w:val="0042001B"/>
    <w:rsid w:val="0042099C"/>
    <w:rsid w:val="00420A80"/>
    <w:rsid w:val="00421785"/>
    <w:rsid w:val="00421787"/>
    <w:rsid w:val="00421DB6"/>
    <w:rsid w:val="00422A23"/>
    <w:rsid w:val="00423AB8"/>
    <w:rsid w:val="00423C5A"/>
    <w:rsid w:val="00423CDC"/>
    <w:rsid w:val="0042423F"/>
    <w:rsid w:val="00424299"/>
    <w:rsid w:val="00424AA4"/>
    <w:rsid w:val="00424CBA"/>
    <w:rsid w:val="00425F18"/>
    <w:rsid w:val="00426DAE"/>
    <w:rsid w:val="004270FB"/>
    <w:rsid w:val="0042760E"/>
    <w:rsid w:val="00431BB0"/>
    <w:rsid w:val="004330CB"/>
    <w:rsid w:val="004331D6"/>
    <w:rsid w:val="00433225"/>
    <w:rsid w:val="00433258"/>
    <w:rsid w:val="0043348B"/>
    <w:rsid w:val="004336B5"/>
    <w:rsid w:val="00433F65"/>
    <w:rsid w:val="00434448"/>
    <w:rsid w:val="00435BE5"/>
    <w:rsid w:val="00435ECC"/>
    <w:rsid w:val="004362AF"/>
    <w:rsid w:val="004367E5"/>
    <w:rsid w:val="0043687D"/>
    <w:rsid w:val="004369BD"/>
    <w:rsid w:val="00436D6E"/>
    <w:rsid w:val="00437508"/>
    <w:rsid w:val="00437874"/>
    <w:rsid w:val="00437BEF"/>
    <w:rsid w:val="00437D3F"/>
    <w:rsid w:val="00440F2A"/>
    <w:rsid w:val="00441100"/>
    <w:rsid w:val="004412D9"/>
    <w:rsid w:val="00441964"/>
    <w:rsid w:val="00441D97"/>
    <w:rsid w:val="00442216"/>
    <w:rsid w:val="004424D4"/>
    <w:rsid w:val="00442DCF"/>
    <w:rsid w:val="004432E8"/>
    <w:rsid w:val="00443813"/>
    <w:rsid w:val="00443AAF"/>
    <w:rsid w:val="00443D21"/>
    <w:rsid w:val="00443EF3"/>
    <w:rsid w:val="00444356"/>
    <w:rsid w:val="00444EAF"/>
    <w:rsid w:val="0044534B"/>
    <w:rsid w:val="00445581"/>
    <w:rsid w:val="00446018"/>
    <w:rsid w:val="00446CA2"/>
    <w:rsid w:val="00447285"/>
    <w:rsid w:val="004479F3"/>
    <w:rsid w:val="00447CAE"/>
    <w:rsid w:val="0045010D"/>
    <w:rsid w:val="00450152"/>
    <w:rsid w:val="00450F6B"/>
    <w:rsid w:val="004515E9"/>
    <w:rsid w:val="00452602"/>
    <w:rsid w:val="004530DE"/>
    <w:rsid w:val="004535A8"/>
    <w:rsid w:val="004542A1"/>
    <w:rsid w:val="00454A00"/>
    <w:rsid w:val="00455606"/>
    <w:rsid w:val="004558BE"/>
    <w:rsid w:val="00456063"/>
    <w:rsid w:val="00456DF5"/>
    <w:rsid w:val="00456FDA"/>
    <w:rsid w:val="004572A5"/>
    <w:rsid w:val="00457B79"/>
    <w:rsid w:val="00457E0F"/>
    <w:rsid w:val="00457FD4"/>
    <w:rsid w:val="00460A0D"/>
    <w:rsid w:val="00460BE2"/>
    <w:rsid w:val="00460D2F"/>
    <w:rsid w:val="004615FF"/>
    <w:rsid w:val="0046178F"/>
    <w:rsid w:val="00461F6F"/>
    <w:rsid w:val="004626AF"/>
    <w:rsid w:val="0046291A"/>
    <w:rsid w:val="00462A81"/>
    <w:rsid w:val="00462C16"/>
    <w:rsid w:val="00462F3F"/>
    <w:rsid w:val="00463D3F"/>
    <w:rsid w:val="00464E75"/>
    <w:rsid w:val="00465AA6"/>
    <w:rsid w:val="0046673E"/>
    <w:rsid w:val="00467130"/>
    <w:rsid w:val="00470959"/>
    <w:rsid w:val="00470E75"/>
    <w:rsid w:val="00470EB4"/>
    <w:rsid w:val="004725E6"/>
    <w:rsid w:val="00472E53"/>
    <w:rsid w:val="0047321D"/>
    <w:rsid w:val="00473438"/>
    <w:rsid w:val="004736AF"/>
    <w:rsid w:val="0047505D"/>
    <w:rsid w:val="00475D9B"/>
    <w:rsid w:val="00476513"/>
    <w:rsid w:val="0047699B"/>
    <w:rsid w:val="0047793B"/>
    <w:rsid w:val="00477E0F"/>
    <w:rsid w:val="00480647"/>
    <w:rsid w:val="004813DC"/>
    <w:rsid w:val="00481D74"/>
    <w:rsid w:val="00482500"/>
    <w:rsid w:val="00482B72"/>
    <w:rsid w:val="00483C3B"/>
    <w:rsid w:val="00483D1C"/>
    <w:rsid w:val="00484495"/>
    <w:rsid w:val="00486491"/>
    <w:rsid w:val="0048728F"/>
    <w:rsid w:val="0048729D"/>
    <w:rsid w:val="00490F19"/>
    <w:rsid w:val="004928A9"/>
    <w:rsid w:val="00493F69"/>
    <w:rsid w:val="004947C0"/>
    <w:rsid w:val="00494896"/>
    <w:rsid w:val="004949DB"/>
    <w:rsid w:val="004954DE"/>
    <w:rsid w:val="00495BF5"/>
    <w:rsid w:val="00495F3C"/>
    <w:rsid w:val="00496907"/>
    <w:rsid w:val="00496C6C"/>
    <w:rsid w:val="004973FE"/>
    <w:rsid w:val="004979A9"/>
    <w:rsid w:val="00497E1D"/>
    <w:rsid w:val="004A01C0"/>
    <w:rsid w:val="004A0BD8"/>
    <w:rsid w:val="004A147B"/>
    <w:rsid w:val="004A1BF1"/>
    <w:rsid w:val="004A229F"/>
    <w:rsid w:val="004A24F8"/>
    <w:rsid w:val="004A321A"/>
    <w:rsid w:val="004A3AC2"/>
    <w:rsid w:val="004A4DC9"/>
    <w:rsid w:val="004A572B"/>
    <w:rsid w:val="004A5C86"/>
    <w:rsid w:val="004A5D5D"/>
    <w:rsid w:val="004A5EF9"/>
    <w:rsid w:val="004A6AC5"/>
    <w:rsid w:val="004A6B98"/>
    <w:rsid w:val="004A7250"/>
    <w:rsid w:val="004A7AF6"/>
    <w:rsid w:val="004B074E"/>
    <w:rsid w:val="004B102B"/>
    <w:rsid w:val="004B112F"/>
    <w:rsid w:val="004B11B8"/>
    <w:rsid w:val="004B147E"/>
    <w:rsid w:val="004B1522"/>
    <w:rsid w:val="004B2672"/>
    <w:rsid w:val="004B28F3"/>
    <w:rsid w:val="004B31FA"/>
    <w:rsid w:val="004B354A"/>
    <w:rsid w:val="004B369D"/>
    <w:rsid w:val="004B41EF"/>
    <w:rsid w:val="004B5B88"/>
    <w:rsid w:val="004B6A15"/>
    <w:rsid w:val="004B6D8B"/>
    <w:rsid w:val="004B741C"/>
    <w:rsid w:val="004B74E2"/>
    <w:rsid w:val="004C0486"/>
    <w:rsid w:val="004C106A"/>
    <w:rsid w:val="004C159A"/>
    <w:rsid w:val="004C18F3"/>
    <w:rsid w:val="004C2453"/>
    <w:rsid w:val="004C2A1E"/>
    <w:rsid w:val="004C2B9C"/>
    <w:rsid w:val="004C3DA9"/>
    <w:rsid w:val="004C4255"/>
    <w:rsid w:val="004C4B39"/>
    <w:rsid w:val="004C5C05"/>
    <w:rsid w:val="004C649D"/>
    <w:rsid w:val="004C6985"/>
    <w:rsid w:val="004C7743"/>
    <w:rsid w:val="004D09C5"/>
    <w:rsid w:val="004D0E98"/>
    <w:rsid w:val="004D0F12"/>
    <w:rsid w:val="004D101E"/>
    <w:rsid w:val="004D1DE9"/>
    <w:rsid w:val="004D214F"/>
    <w:rsid w:val="004D2492"/>
    <w:rsid w:val="004D2552"/>
    <w:rsid w:val="004D3273"/>
    <w:rsid w:val="004D3430"/>
    <w:rsid w:val="004D3513"/>
    <w:rsid w:val="004D360E"/>
    <w:rsid w:val="004D3880"/>
    <w:rsid w:val="004D3D20"/>
    <w:rsid w:val="004D3F70"/>
    <w:rsid w:val="004D3FD1"/>
    <w:rsid w:val="004D52A3"/>
    <w:rsid w:val="004D66D4"/>
    <w:rsid w:val="004D6E28"/>
    <w:rsid w:val="004D7317"/>
    <w:rsid w:val="004E034E"/>
    <w:rsid w:val="004E08E5"/>
    <w:rsid w:val="004E0A37"/>
    <w:rsid w:val="004E20FC"/>
    <w:rsid w:val="004E287E"/>
    <w:rsid w:val="004E2D86"/>
    <w:rsid w:val="004E310D"/>
    <w:rsid w:val="004E315C"/>
    <w:rsid w:val="004E576B"/>
    <w:rsid w:val="004E5AE7"/>
    <w:rsid w:val="004E5CD5"/>
    <w:rsid w:val="004E69EA"/>
    <w:rsid w:val="004E6AE5"/>
    <w:rsid w:val="004E7B46"/>
    <w:rsid w:val="004E7FAA"/>
    <w:rsid w:val="004F0251"/>
    <w:rsid w:val="004F0808"/>
    <w:rsid w:val="004F0B05"/>
    <w:rsid w:val="004F135D"/>
    <w:rsid w:val="004F15D8"/>
    <w:rsid w:val="004F16D9"/>
    <w:rsid w:val="004F1970"/>
    <w:rsid w:val="004F2990"/>
    <w:rsid w:val="004F2E4E"/>
    <w:rsid w:val="004F3231"/>
    <w:rsid w:val="004F4F44"/>
    <w:rsid w:val="004F5163"/>
    <w:rsid w:val="004F55C9"/>
    <w:rsid w:val="004F6572"/>
    <w:rsid w:val="004F65D9"/>
    <w:rsid w:val="004F67ED"/>
    <w:rsid w:val="004F7163"/>
    <w:rsid w:val="004F72BD"/>
    <w:rsid w:val="004F7384"/>
    <w:rsid w:val="004F7AE4"/>
    <w:rsid w:val="0050073B"/>
    <w:rsid w:val="00501A60"/>
    <w:rsid w:val="00501E4D"/>
    <w:rsid w:val="00501E99"/>
    <w:rsid w:val="005025AB"/>
    <w:rsid w:val="005028BB"/>
    <w:rsid w:val="0050302F"/>
    <w:rsid w:val="005032D3"/>
    <w:rsid w:val="00503B79"/>
    <w:rsid w:val="005043CF"/>
    <w:rsid w:val="005044A5"/>
    <w:rsid w:val="00504541"/>
    <w:rsid w:val="00504608"/>
    <w:rsid w:val="005046F7"/>
    <w:rsid w:val="005047AD"/>
    <w:rsid w:val="00504F92"/>
    <w:rsid w:val="00505268"/>
    <w:rsid w:val="00506164"/>
    <w:rsid w:val="00506AA5"/>
    <w:rsid w:val="00506D94"/>
    <w:rsid w:val="00510A09"/>
    <w:rsid w:val="00511A87"/>
    <w:rsid w:val="005121A9"/>
    <w:rsid w:val="005125DD"/>
    <w:rsid w:val="00512A88"/>
    <w:rsid w:val="005132FE"/>
    <w:rsid w:val="00513393"/>
    <w:rsid w:val="00513647"/>
    <w:rsid w:val="00513D24"/>
    <w:rsid w:val="00513FDA"/>
    <w:rsid w:val="00514002"/>
    <w:rsid w:val="005147CB"/>
    <w:rsid w:val="00514C15"/>
    <w:rsid w:val="00515845"/>
    <w:rsid w:val="00515A63"/>
    <w:rsid w:val="00515B28"/>
    <w:rsid w:val="005164AD"/>
    <w:rsid w:val="0051651A"/>
    <w:rsid w:val="00516C22"/>
    <w:rsid w:val="00517C52"/>
    <w:rsid w:val="00517E66"/>
    <w:rsid w:val="00517F4D"/>
    <w:rsid w:val="0052024E"/>
    <w:rsid w:val="00520A67"/>
    <w:rsid w:val="00520BE2"/>
    <w:rsid w:val="00520DD5"/>
    <w:rsid w:val="00521B73"/>
    <w:rsid w:val="0052215D"/>
    <w:rsid w:val="00522412"/>
    <w:rsid w:val="00523567"/>
    <w:rsid w:val="0052358C"/>
    <w:rsid w:val="005235A0"/>
    <w:rsid w:val="00524074"/>
    <w:rsid w:val="00524229"/>
    <w:rsid w:val="00524306"/>
    <w:rsid w:val="005244CE"/>
    <w:rsid w:val="0052524C"/>
    <w:rsid w:val="005254B6"/>
    <w:rsid w:val="00526257"/>
    <w:rsid w:val="00527018"/>
    <w:rsid w:val="00527A01"/>
    <w:rsid w:val="00530983"/>
    <w:rsid w:val="00530B37"/>
    <w:rsid w:val="00530B92"/>
    <w:rsid w:val="0053160F"/>
    <w:rsid w:val="00532515"/>
    <w:rsid w:val="00532E6B"/>
    <w:rsid w:val="00533D2A"/>
    <w:rsid w:val="00533FF6"/>
    <w:rsid w:val="00534487"/>
    <w:rsid w:val="00534922"/>
    <w:rsid w:val="00534ADD"/>
    <w:rsid w:val="00537FCD"/>
    <w:rsid w:val="00537FD4"/>
    <w:rsid w:val="00540F68"/>
    <w:rsid w:val="005413D5"/>
    <w:rsid w:val="0054188C"/>
    <w:rsid w:val="00541B5C"/>
    <w:rsid w:val="00542621"/>
    <w:rsid w:val="00542D3C"/>
    <w:rsid w:val="0054490D"/>
    <w:rsid w:val="005458B6"/>
    <w:rsid w:val="00546A9F"/>
    <w:rsid w:val="00547AF3"/>
    <w:rsid w:val="00547C54"/>
    <w:rsid w:val="005500D2"/>
    <w:rsid w:val="00550245"/>
    <w:rsid w:val="00550571"/>
    <w:rsid w:val="00550C81"/>
    <w:rsid w:val="00550ECC"/>
    <w:rsid w:val="00552A99"/>
    <w:rsid w:val="00553053"/>
    <w:rsid w:val="00553687"/>
    <w:rsid w:val="00553C26"/>
    <w:rsid w:val="00553E30"/>
    <w:rsid w:val="005541DE"/>
    <w:rsid w:val="005545A4"/>
    <w:rsid w:val="00554B44"/>
    <w:rsid w:val="005561E5"/>
    <w:rsid w:val="0055678F"/>
    <w:rsid w:val="00556A1E"/>
    <w:rsid w:val="005575CA"/>
    <w:rsid w:val="00560421"/>
    <w:rsid w:val="00560918"/>
    <w:rsid w:val="00560F9A"/>
    <w:rsid w:val="0056101C"/>
    <w:rsid w:val="00561968"/>
    <w:rsid w:val="00561BDF"/>
    <w:rsid w:val="00562436"/>
    <w:rsid w:val="00563229"/>
    <w:rsid w:val="0056333A"/>
    <w:rsid w:val="00563BF1"/>
    <w:rsid w:val="00564DA5"/>
    <w:rsid w:val="005650E5"/>
    <w:rsid w:val="005651BF"/>
    <w:rsid w:val="00565298"/>
    <w:rsid w:val="00566190"/>
    <w:rsid w:val="005662A8"/>
    <w:rsid w:val="0056677D"/>
    <w:rsid w:val="005668DE"/>
    <w:rsid w:val="00566B3F"/>
    <w:rsid w:val="00567091"/>
    <w:rsid w:val="00567270"/>
    <w:rsid w:val="005674D5"/>
    <w:rsid w:val="00570600"/>
    <w:rsid w:val="00570718"/>
    <w:rsid w:val="00570BE5"/>
    <w:rsid w:val="00571F75"/>
    <w:rsid w:val="005729B0"/>
    <w:rsid w:val="00572D22"/>
    <w:rsid w:val="00572FA1"/>
    <w:rsid w:val="005731F0"/>
    <w:rsid w:val="0057345D"/>
    <w:rsid w:val="005736CC"/>
    <w:rsid w:val="00573EA1"/>
    <w:rsid w:val="005741B0"/>
    <w:rsid w:val="00575229"/>
    <w:rsid w:val="0057550F"/>
    <w:rsid w:val="00576007"/>
    <w:rsid w:val="00576762"/>
    <w:rsid w:val="0057709C"/>
    <w:rsid w:val="0057768D"/>
    <w:rsid w:val="00577CEB"/>
    <w:rsid w:val="00577EA4"/>
    <w:rsid w:val="005802C2"/>
    <w:rsid w:val="0058043C"/>
    <w:rsid w:val="0058155F"/>
    <w:rsid w:val="00581604"/>
    <w:rsid w:val="0058176B"/>
    <w:rsid w:val="00581F7D"/>
    <w:rsid w:val="00582223"/>
    <w:rsid w:val="005843DB"/>
    <w:rsid w:val="0058680B"/>
    <w:rsid w:val="00586FAF"/>
    <w:rsid w:val="005872A3"/>
    <w:rsid w:val="00587B72"/>
    <w:rsid w:val="00587C4A"/>
    <w:rsid w:val="00592761"/>
    <w:rsid w:val="00592CD3"/>
    <w:rsid w:val="00592DB1"/>
    <w:rsid w:val="0059361D"/>
    <w:rsid w:val="00593888"/>
    <w:rsid w:val="005948E4"/>
    <w:rsid w:val="005952D8"/>
    <w:rsid w:val="0059756B"/>
    <w:rsid w:val="005977F1"/>
    <w:rsid w:val="005A0B7D"/>
    <w:rsid w:val="005A15F3"/>
    <w:rsid w:val="005A193B"/>
    <w:rsid w:val="005A19F7"/>
    <w:rsid w:val="005A20FD"/>
    <w:rsid w:val="005A21A6"/>
    <w:rsid w:val="005A2424"/>
    <w:rsid w:val="005A2A7C"/>
    <w:rsid w:val="005A3E9A"/>
    <w:rsid w:val="005A3EBB"/>
    <w:rsid w:val="005A527F"/>
    <w:rsid w:val="005A5855"/>
    <w:rsid w:val="005A5FF3"/>
    <w:rsid w:val="005A66CD"/>
    <w:rsid w:val="005B1254"/>
    <w:rsid w:val="005B139C"/>
    <w:rsid w:val="005B2B0D"/>
    <w:rsid w:val="005B2C6D"/>
    <w:rsid w:val="005B2D2B"/>
    <w:rsid w:val="005B2EC4"/>
    <w:rsid w:val="005B2F6E"/>
    <w:rsid w:val="005B3193"/>
    <w:rsid w:val="005B3D62"/>
    <w:rsid w:val="005B4168"/>
    <w:rsid w:val="005B49DC"/>
    <w:rsid w:val="005B52C5"/>
    <w:rsid w:val="005B5488"/>
    <w:rsid w:val="005B5AF2"/>
    <w:rsid w:val="005B5CA8"/>
    <w:rsid w:val="005B6827"/>
    <w:rsid w:val="005B6968"/>
    <w:rsid w:val="005C0597"/>
    <w:rsid w:val="005C0768"/>
    <w:rsid w:val="005C08AD"/>
    <w:rsid w:val="005C090C"/>
    <w:rsid w:val="005C0D90"/>
    <w:rsid w:val="005C1ABF"/>
    <w:rsid w:val="005C2F07"/>
    <w:rsid w:val="005C3342"/>
    <w:rsid w:val="005C3AC9"/>
    <w:rsid w:val="005C46B3"/>
    <w:rsid w:val="005C4A23"/>
    <w:rsid w:val="005C4FAC"/>
    <w:rsid w:val="005C5156"/>
    <w:rsid w:val="005C59FB"/>
    <w:rsid w:val="005C6658"/>
    <w:rsid w:val="005C71A4"/>
    <w:rsid w:val="005C7399"/>
    <w:rsid w:val="005C74E8"/>
    <w:rsid w:val="005C7DEC"/>
    <w:rsid w:val="005D0203"/>
    <w:rsid w:val="005D0898"/>
    <w:rsid w:val="005D0C41"/>
    <w:rsid w:val="005D0D8B"/>
    <w:rsid w:val="005D186E"/>
    <w:rsid w:val="005D1E4C"/>
    <w:rsid w:val="005D2605"/>
    <w:rsid w:val="005D28AA"/>
    <w:rsid w:val="005D2F44"/>
    <w:rsid w:val="005D3050"/>
    <w:rsid w:val="005D33F0"/>
    <w:rsid w:val="005D3506"/>
    <w:rsid w:val="005D3DE6"/>
    <w:rsid w:val="005D4679"/>
    <w:rsid w:val="005D4EBD"/>
    <w:rsid w:val="005D5284"/>
    <w:rsid w:val="005D5D03"/>
    <w:rsid w:val="005E026F"/>
    <w:rsid w:val="005E02F0"/>
    <w:rsid w:val="005E074E"/>
    <w:rsid w:val="005E07C2"/>
    <w:rsid w:val="005E0DA2"/>
    <w:rsid w:val="005E193F"/>
    <w:rsid w:val="005E21D9"/>
    <w:rsid w:val="005E33C5"/>
    <w:rsid w:val="005E411A"/>
    <w:rsid w:val="005E4544"/>
    <w:rsid w:val="005E4A40"/>
    <w:rsid w:val="005E5B22"/>
    <w:rsid w:val="005E61D4"/>
    <w:rsid w:val="005E6230"/>
    <w:rsid w:val="005E67FE"/>
    <w:rsid w:val="005E6A09"/>
    <w:rsid w:val="005E6C7A"/>
    <w:rsid w:val="005E6D61"/>
    <w:rsid w:val="005E7084"/>
    <w:rsid w:val="005F0A6F"/>
    <w:rsid w:val="005F1322"/>
    <w:rsid w:val="005F1AFF"/>
    <w:rsid w:val="005F2024"/>
    <w:rsid w:val="005F3972"/>
    <w:rsid w:val="005F7664"/>
    <w:rsid w:val="005F7B8B"/>
    <w:rsid w:val="005F7BA1"/>
    <w:rsid w:val="0060006D"/>
    <w:rsid w:val="00602F48"/>
    <w:rsid w:val="006039C3"/>
    <w:rsid w:val="00603AF8"/>
    <w:rsid w:val="00603BC3"/>
    <w:rsid w:val="00604993"/>
    <w:rsid w:val="006059CB"/>
    <w:rsid w:val="00605C11"/>
    <w:rsid w:val="00605EA9"/>
    <w:rsid w:val="00606104"/>
    <w:rsid w:val="006069AE"/>
    <w:rsid w:val="006071B1"/>
    <w:rsid w:val="006076D1"/>
    <w:rsid w:val="006077E8"/>
    <w:rsid w:val="00607A42"/>
    <w:rsid w:val="00607A93"/>
    <w:rsid w:val="00607DC7"/>
    <w:rsid w:val="00610116"/>
    <w:rsid w:val="00610D18"/>
    <w:rsid w:val="00611323"/>
    <w:rsid w:val="00611937"/>
    <w:rsid w:val="00611AAE"/>
    <w:rsid w:val="00612529"/>
    <w:rsid w:val="0061293A"/>
    <w:rsid w:val="00613318"/>
    <w:rsid w:val="00613AD9"/>
    <w:rsid w:val="00614384"/>
    <w:rsid w:val="0061456D"/>
    <w:rsid w:val="006149BF"/>
    <w:rsid w:val="006153DF"/>
    <w:rsid w:val="00616D09"/>
    <w:rsid w:val="00617058"/>
    <w:rsid w:val="006200F1"/>
    <w:rsid w:val="00620603"/>
    <w:rsid w:val="00620BBD"/>
    <w:rsid w:val="00621008"/>
    <w:rsid w:val="00621B97"/>
    <w:rsid w:val="00621F4F"/>
    <w:rsid w:val="0062202F"/>
    <w:rsid w:val="00623DE8"/>
    <w:rsid w:val="00623E92"/>
    <w:rsid w:val="00625447"/>
    <w:rsid w:val="00625765"/>
    <w:rsid w:val="00625D6B"/>
    <w:rsid w:val="00625E18"/>
    <w:rsid w:val="0062699E"/>
    <w:rsid w:val="006306F1"/>
    <w:rsid w:val="0063143E"/>
    <w:rsid w:val="00631DB3"/>
    <w:rsid w:val="006328BB"/>
    <w:rsid w:val="0063372B"/>
    <w:rsid w:val="00634446"/>
    <w:rsid w:val="00634F45"/>
    <w:rsid w:val="00635949"/>
    <w:rsid w:val="00636F51"/>
    <w:rsid w:val="006373B5"/>
    <w:rsid w:val="0063765E"/>
    <w:rsid w:val="00637840"/>
    <w:rsid w:val="006379AC"/>
    <w:rsid w:val="006379D2"/>
    <w:rsid w:val="00637B59"/>
    <w:rsid w:val="0064065C"/>
    <w:rsid w:val="006406D8"/>
    <w:rsid w:val="00640D05"/>
    <w:rsid w:val="00641DDD"/>
    <w:rsid w:val="00641ECF"/>
    <w:rsid w:val="00642854"/>
    <w:rsid w:val="00643301"/>
    <w:rsid w:val="0064485D"/>
    <w:rsid w:val="00645860"/>
    <w:rsid w:val="00645A05"/>
    <w:rsid w:val="00646027"/>
    <w:rsid w:val="00646E0A"/>
    <w:rsid w:val="00647202"/>
    <w:rsid w:val="00647D01"/>
    <w:rsid w:val="00650386"/>
    <w:rsid w:val="00650437"/>
    <w:rsid w:val="00650A24"/>
    <w:rsid w:val="00650F82"/>
    <w:rsid w:val="006514DA"/>
    <w:rsid w:val="00652230"/>
    <w:rsid w:val="00652F24"/>
    <w:rsid w:val="00654667"/>
    <w:rsid w:val="006547D5"/>
    <w:rsid w:val="006554B5"/>
    <w:rsid w:val="00655AAC"/>
    <w:rsid w:val="00655F56"/>
    <w:rsid w:val="00657FEE"/>
    <w:rsid w:val="006601AD"/>
    <w:rsid w:val="006601B8"/>
    <w:rsid w:val="00660BBA"/>
    <w:rsid w:val="006613A2"/>
    <w:rsid w:val="00661BEA"/>
    <w:rsid w:val="006625C0"/>
    <w:rsid w:val="006646E4"/>
    <w:rsid w:val="0066485D"/>
    <w:rsid w:val="0066533A"/>
    <w:rsid w:val="006656B3"/>
    <w:rsid w:val="00666EEA"/>
    <w:rsid w:val="00667112"/>
    <w:rsid w:val="006675BE"/>
    <w:rsid w:val="0066763C"/>
    <w:rsid w:val="00670AA9"/>
    <w:rsid w:val="00670B92"/>
    <w:rsid w:val="00670D2B"/>
    <w:rsid w:val="0067153E"/>
    <w:rsid w:val="00671672"/>
    <w:rsid w:val="0067207A"/>
    <w:rsid w:val="006727E3"/>
    <w:rsid w:val="00672FA5"/>
    <w:rsid w:val="006734D1"/>
    <w:rsid w:val="00673814"/>
    <w:rsid w:val="006739B1"/>
    <w:rsid w:val="0067422A"/>
    <w:rsid w:val="0067519A"/>
    <w:rsid w:val="00675286"/>
    <w:rsid w:val="00676058"/>
    <w:rsid w:val="00677B1B"/>
    <w:rsid w:val="00677B2F"/>
    <w:rsid w:val="00677D40"/>
    <w:rsid w:val="0068023E"/>
    <w:rsid w:val="0068047B"/>
    <w:rsid w:val="0068089B"/>
    <w:rsid w:val="00680C31"/>
    <w:rsid w:val="006810D9"/>
    <w:rsid w:val="00681AC3"/>
    <w:rsid w:val="00681C2A"/>
    <w:rsid w:val="00681C5E"/>
    <w:rsid w:val="006820F3"/>
    <w:rsid w:val="00682839"/>
    <w:rsid w:val="00682DA9"/>
    <w:rsid w:val="00684706"/>
    <w:rsid w:val="00684FA0"/>
    <w:rsid w:val="0068527C"/>
    <w:rsid w:val="006853FD"/>
    <w:rsid w:val="0068540A"/>
    <w:rsid w:val="0068568B"/>
    <w:rsid w:val="00685CC3"/>
    <w:rsid w:val="00685D18"/>
    <w:rsid w:val="006860A6"/>
    <w:rsid w:val="00686803"/>
    <w:rsid w:val="00686B28"/>
    <w:rsid w:val="00686D33"/>
    <w:rsid w:val="0068717A"/>
    <w:rsid w:val="00687FD9"/>
    <w:rsid w:val="00690974"/>
    <w:rsid w:val="00690D55"/>
    <w:rsid w:val="00691D95"/>
    <w:rsid w:val="00692913"/>
    <w:rsid w:val="00692E68"/>
    <w:rsid w:val="00693D32"/>
    <w:rsid w:val="00694177"/>
    <w:rsid w:val="006944EC"/>
    <w:rsid w:val="00695344"/>
    <w:rsid w:val="00695491"/>
    <w:rsid w:val="00696C9F"/>
    <w:rsid w:val="00696E81"/>
    <w:rsid w:val="0069711E"/>
    <w:rsid w:val="0069759B"/>
    <w:rsid w:val="00697CB3"/>
    <w:rsid w:val="00697CDC"/>
    <w:rsid w:val="006A01FA"/>
    <w:rsid w:val="006A0A74"/>
    <w:rsid w:val="006A1519"/>
    <w:rsid w:val="006A1E32"/>
    <w:rsid w:val="006A2886"/>
    <w:rsid w:val="006A4697"/>
    <w:rsid w:val="006A4D49"/>
    <w:rsid w:val="006A54D2"/>
    <w:rsid w:val="006A5983"/>
    <w:rsid w:val="006A6311"/>
    <w:rsid w:val="006A78CC"/>
    <w:rsid w:val="006A7B65"/>
    <w:rsid w:val="006B0037"/>
    <w:rsid w:val="006B0B0B"/>
    <w:rsid w:val="006B0F4F"/>
    <w:rsid w:val="006B1106"/>
    <w:rsid w:val="006B1DF1"/>
    <w:rsid w:val="006B1FE1"/>
    <w:rsid w:val="006B2827"/>
    <w:rsid w:val="006B29C1"/>
    <w:rsid w:val="006B2D82"/>
    <w:rsid w:val="006B395F"/>
    <w:rsid w:val="006B3FD6"/>
    <w:rsid w:val="006B4C8E"/>
    <w:rsid w:val="006B59C5"/>
    <w:rsid w:val="006B59C6"/>
    <w:rsid w:val="006B5B71"/>
    <w:rsid w:val="006B743B"/>
    <w:rsid w:val="006B7BBF"/>
    <w:rsid w:val="006B7FCC"/>
    <w:rsid w:val="006C0237"/>
    <w:rsid w:val="006C028C"/>
    <w:rsid w:val="006C0B1D"/>
    <w:rsid w:val="006C10E5"/>
    <w:rsid w:val="006C2589"/>
    <w:rsid w:val="006C2B1C"/>
    <w:rsid w:val="006C2DCC"/>
    <w:rsid w:val="006C3F0D"/>
    <w:rsid w:val="006C402F"/>
    <w:rsid w:val="006C41AE"/>
    <w:rsid w:val="006C43EF"/>
    <w:rsid w:val="006C4772"/>
    <w:rsid w:val="006C4A8C"/>
    <w:rsid w:val="006C4DC7"/>
    <w:rsid w:val="006C6A16"/>
    <w:rsid w:val="006C7475"/>
    <w:rsid w:val="006C7CDA"/>
    <w:rsid w:val="006D022E"/>
    <w:rsid w:val="006D0E63"/>
    <w:rsid w:val="006D0E82"/>
    <w:rsid w:val="006D2E16"/>
    <w:rsid w:val="006D3929"/>
    <w:rsid w:val="006D4172"/>
    <w:rsid w:val="006D6FA0"/>
    <w:rsid w:val="006D79B1"/>
    <w:rsid w:val="006D7AEE"/>
    <w:rsid w:val="006D7FCB"/>
    <w:rsid w:val="006E013D"/>
    <w:rsid w:val="006E029D"/>
    <w:rsid w:val="006E0C63"/>
    <w:rsid w:val="006E0DA1"/>
    <w:rsid w:val="006E0F3E"/>
    <w:rsid w:val="006E0F67"/>
    <w:rsid w:val="006E1621"/>
    <w:rsid w:val="006E18D7"/>
    <w:rsid w:val="006E2011"/>
    <w:rsid w:val="006E293D"/>
    <w:rsid w:val="006E32C6"/>
    <w:rsid w:val="006E46A6"/>
    <w:rsid w:val="006E4B52"/>
    <w:rsid w:val="006E51BF"/>
    <w:rsid w:val="006E51E9"/>
    <w:rsid w:val="006E5B4B"/>
    <w:rsid w:val="006E5C23"/>
    <w:rsid w:val="006E5FDF"/>
    <w:rsid w:val="006E7D90"/>
    <w:rsid w:val="006F01F2"/>
    <w:rsid w:val="006F035E"/>
    <w:rsid w:val="006F0A47"/>
    <w:rsid w:val="006F0FE1"/>
    <w:rsid w:val="006F12AC"/>
    <w:rsid w:val="006F1C94"/>
    <w:rsid w:val="006F25A5"/>
    <w:rsid w:val="006F2644"/>
    <w:rsid w:val="006F4751"/>
    <w:rsid w:val="006F4C10"/>
    <w:rsid w:val="006F53A5"/>
    <w:rsid w:val="006F6EBE"/>
    <w:rsid w:val="006F7973"/>
    <w:rsid w:val="006F7B04"/>
    <w:rsid w:val="006F7F9E"/>
    <w:rsid w:val="00700308"/>
    <w:rsid w:val="00701FBE"/>
    <w:rsid w:val="0070235D"/>
    <w:rsid w:val="00702727"/>
    <w:rsid w:val="00703267"/>
    <w:rsid w:val="007034DB"/>
    <w:rsid w:val="007034E2"/>
    <w:rsid w:val="00703ACC"/>
    <w:rsid w:val="00703B61"/>
    <w:rsid w:val="00703ED5"/>
    <w:rsid w:val="0070427F"/>
    <w:rsid w:val="00704547"/>
    <w:rsid w:val="00704B5D"/>
    <w:rsid w:val="0070513E"/>
    <w:rsid w:val="00706E2E"/>
    <w:rsid w:val="00706F29"/>
    <w:rsid w:val="0070796B"/>
    <w:rsid w:val="00710A56"/>
    <w:rsid w:val="00710E8E"/>
    <w:rsid w:val="007113B7"/>
    <w:rsid w:val="00711480"/>
    <w:rsid w:val="00712016"/>
    <w:rsid w:val="00712064"/>
    <w:rsid w:val="007120F8"/>
    <w:rsid w:val="007121A6"/>
    <w:rsid w:val="007121A8"/>
    <w:rsid w:val="00712303"/>
    <w:rsid w:val="0071347B"/>
    <w:rsid w:val="00714633"/>
    <w:rsid w:val="00714C2C"/>
    <w:rsid w:val="0071575B"/>
    <w:rsid w:val="007160AF"/>
    <w:rsid w:val="00716D03"/>
    <w:rsid w:val="00716FC5"/>
    <w:rsid w:val="007172E7"/>
    <w:rsid w:val="007175E8"/>
    <w:rsid w:val="007175FD"/>
    <w:rsid w:val="007176A4"/>
    <w:rsid w:val="0072181A"/>
    <w:rsid w:val="00722B46"/>
    <w:rsid w:val="00724B95"/>
    <w:rsid w:val="0072594F"/>
    <w:rsid w:val="007266C1"/>
    <w:rsid w:val="0072684A"/>
    <w:rsid w:val="007279DF"/>
    <w:rsid w:val="00727B04"/>
    <w:rsid w:val="00730189"/>
    <w:rsid w:val="0073068D"/>
    <w:rsid w:val="0073236A"/>
    <w:rsid w:val="007324BF"/>
    <w:rsid w:val="00732AD1"/>
    <w:rsid w:val="0073307D"/>
    <w:rsid w:val="00733219"/>
    <w:rsid w:val="00735036"/>
    <w:rsid w:val="00735B21"/>
    <w:rsid w:val="00735E31"/>
    <w:rsid w:val="00736A71"/>
    <w:rsid w:val="007377BA"/>
    <w:rsid w:val="007379C7"/>
    <w:rsid w:val="007379FE"/>
    <w:rsid w:val="00740B98"/>
    <w:rsid w:val="00740BAC"/>
    <w:rsid w:val="007423B6"/>
    <w:rsid w:val="00742CE0"/>
    <w:rsid w:val="00743EE8"/>
    <w:rsid w:val="007445C3"/>
    <w:rsid w:val="0074480E"/>
    <w:rsid w:val="00744F6A"/>
    <w:rsid w:val="007455D1"/>
    <w:rsid w:val="00745BFC"/>
    <w:rsid w:val="00745F7C"/>
    <w:rsid w:val="0074641F"/>
    <w:rsid w:val="0074744E"/>
    <w:rsid w:val="007476DC"/>
    <w:rsid w:val="007478DD"/>
    <w:rsid w:val="00747CF4"/>
    <w:rsid w:val="00747E1D"/>
    <w:rsid w:val="00750CE2"/>
    <w:rsid w:val="0075118A"/>
    <w:rsid w:val="007522DF"/>
    <w:rsid w:val="00752519"/>
    <w:rsid w:val="00752886"/>
    <w:rsid w:val="007528A2"/>
    <w:rsid w:val="00753099"/>
    <w:rsid w:val="00753251"/>
    <w:rsid w:val="00753E9E"/>
    <w:rsid w:val="007545E2"/>
    <w:rsid w:val="0075498C"/>
    <w:rsid w:val="00754B20"/>
    <w:rsid w:val="007553C9"/>
    <w:rsid w:val="00755710"/>
    <w:rsid w:val="00756C75"/>
    <w:rsid w:val="007576A5"/>
    <w:rsid w:val="00757CE6"/>
    <w:rsid w:val="00757FD2"/>
    <w:rsid w:val="0076008B"/>
    <w:rsid w:val="007603C2"/>
    <w:rsid w:val="00760844"/>
    <w:rsid w:val="00760CE0"/>
    <w:rsid w:val="0076161A"/>
    <w:rsid w:val="00761A86"/>
    <w:rsid w:val="00761E72"/>
    <w:rsid w:val="0076245B"/>
    <w:rsid w:val="0076265A"/>
    <w:rsid w:val="00762FF2"/>
    <w:rsid w:val="00764691"/>
    <w:rsid w:val="007658EB"/>
    <w:rsid w:val="00765BB1"/>
    <w:rsid w:val="00766107"/>
    <w:rsid w:val="007669E0"/>
    <w:rsid w:val="007669E4"/>
    <w:rsid w:val="0076740E"/>
    <w:rsid w:val="00770074"/>
    <w:rsid w:val="00770968"/>
    <w:rsid w:val="00770D11"/>
    <w:rsid w:val="00770F4C"/>
    <w:rsid w:val="00772332"/>
    <w:rsid w:val="0077295C"/>
    <w:rsid w:val="00772B5C"/>
    <w:rsid w:val="0077322B"/>
    <w:rsid w:val="007732F6"/>
    <w:rsid w:val="007735DF"/>
    <w:rsid w:val="007758D9"/>
    <w:rsid w:val="0077596D"/>
    <w:rsid w:val="00776581"/>
    <w:rsid w:val="007765A6"/>
    <w:rsid w:val="007766DE"/>
    <w:rsid w:val="007771B5"/>
    <w:rsid w:val="00777296"/>
    <w:rsid w:val="00777303"/>
    <w:rsid w:val="00777A8C"/>
    <w:rsid w:val="0078114D"/>
    <w:rsid w:val="00781EC7"/>
    <w:rsid w:val="0078227D"/>
    <w:rsid w:val="007823F9"/>
    <w:rsid w:val="00782F9E"/>
    <w:rsid w:val="007846C3"/>
    <w:rsid w:val="00784AA2"/>
    <w:rsid w:val="007850A1"/>
    <w:rsid w:val="00785386"/>
    <w:rsid w:val="007853E5"/>
    <w:rsid w:val="00785F0C"/>
    <w:rsid w:val="007864F1"/>
    <w:rsid w:val="00786FE8"/>
    <w:rsid w:val="007877FF"/>
    <w:rsid w:val="007878DF"/>
    <w:rsid w:val="007901EC"/>
    <w:rsid w:val="0079045E"/>
    <w:rsid w:val="0079103A"/>
    <w:rsid w:val="007910BE"/>
    <w:rsid w:val="007922A0"/>
    <w:rsid w:val="007927C1"/>
    <w:rsid w:val="00792E7C"/>
    <w:rsid w:val="007931A2"/>
    <w:rsid w:val="007932C0"/>
    <w:rsid w:val="0079377D"/>
    <w:rsid w:val="007937ED"/>
    <w:rsid w:val="007942E3"/>
    <w:rsid w:val="007946B1"/>
    <w:rsid w:val="00794AB1"/>
    <w:rsid w:val="007965BA"/>
    <w:rsid w:val="00796AB5"/>
    <w:rsid w:val="00796F55"/>
    <w:rsid w:val="007A0991"/>
    <w:rsid w:val="007A0C70"/>
    <w:rsid w:val="007A0D75"/>
    <w:rsid w:val="007A1043"/>
    <w:rsid w:val="007A10B9"/>
    <w:rsid w:val="007A16A0"/>
    <w:rsid w:val="007A1AB9"/>
    <w:rsid w:val="007A1C39"/>
    <w:rsid w:val="007A1DC5"/>
    <w:rsid w:val="007A2E02"/>
    <w:rsid w:val="007A3721"/>
    <w:rsid w:val="007A3727"/>
    <w:rsid w:val="007A3E4F"/>
    <w:rsid w:val="007A5A5F"/>
    <w:rsid w:val="007A5B7D"/>
    <w:rsid w:val="007A5DD0"/>
    <w:rsid w:val="007A675A"/>
    <w:rsid w:val="007A73D0"/>
    <w:rsid w:val="007B084C"/>
    <w:rsid w:val="007B31DB"/>
    <w:rsid w:val="007B4EFF"/>
    <w:rsid w:val="007B5B71"/>
    <w:rsid w:val="007B6706"/>
    <w:rsid w:val="007B6CEB"/>
    <w:rsid w:val="007B7273"/>
    <w:rsid w:val="007B7918"/>
    <w:rsid w:val="007B799A"/>
    <w:rsid w:val="007C02DE"/>
    <w:rsid w:val="007C0A05"/>
    <w:rsid w:val="007C0EB8"/>
    <w:rsid w:val="007C0EE1"/>
    <w:rsid w:val="007C1059"/>
    <w:rsid w:val="007C27C6"/>
    <w:rsid w:val="007C2B8A"/>
    <w:rsid w:val="007C30D4"/>
    <w:rsid w:val="007C32F2"/>
    <w:rsid w:val="007C385D"/>
    <w:rsid w:val="007C3B76"/>
    <w:rsid w:val="007C451D"/>
    <w:rsid w:val="007C4641"/>
    <w:rsid w:val="007C46A2"/>
    <w:rsid w:val="007C5D22"/>
    <w:rsid w:val="007C654C"/>
    <w:rsid w:val="007C6D3F"/>
    <w:rsid w:val="007C7C35"/>
    <w:rsid w:val="007D035B"/>
    <w:rsid w:val="007D0F32"/>
    <w:rsid w:val="007D152C"/>
    <w:rsid w:val="007D1597"/>
    <w:rsid w:val="007D1D78"/>
    <w:rsid w:val="007D35C6"/>
    <w:rsid w:val="007D44D8"/>
    <w:rsid w:val="007D6049"/>
    <w:rsid w:val="007D68DD"/>
    <w:rsid w:val="007D71C6"/>
    <w:rsid w:val="007D7FFE"/>
    <w:rsid w:val="007E05B9"/>
    <w:rsid w:val="007E124A"/>
    <w:rsid w:val="007E198B"/>
    <w:rsid w:val="007E297E"/>
    <w:rsid w:val="007E3477"/>
    <w:rsid w:val="007E4649"/>
    <w:rsid w:val="007E4F2B"/>
    <w:rsid w:val="007E5A7B"/>
    <w:rsid w:val="007E5B3F"/>
    <w:rsid w:val="007E6099"/>
    <w:rsid w:val="007E688D"/>
    <w:rsid w:val="007E6943"/>
    <w:rsid w:val="007E6A49"/>
    <w:rsid w:val="007F0204"/>
    <w:rsid w:val="007F096D"/>
    <w:rsid w:val="007F11D4"/>
    <w:rsid w:val="007F1562"/>
    <w:rsid w:val="007F20ED"/>
    <w:rsid w:val="007F42AF"/>
    <w:rsid w:val="007F45E4"/>
    <w:rsid w:val="007F45F4"/>
    <w:rsid w:val="007F4F4F"/>
    <w:rsid w:val="007F560C"/>
    <w:rsid w:val="007F5947"/>
    <w:rsid w:val="007F65BC"/>
    <w:rsid w:val="0080000E"/>
    <w:rsid w:val="0080055D"/>
    <w:rsid w:val="00800C07"/>
    <w:rsid w:val="00801487"/>
    <w:rsid w:val="008016F8"/>
    <w:rsid w:val="0080188A"/>
    <w:rsid w:val="00801CD7"/>
    <w:rsid w:val="00801F04"/>
    <w:rsid w:val="00802421"/>
    <w:rsid w:val="008025F5"/>
    <w:rsid w:val="008038B2"/>
    <w:rsid w:val="00803D65"/>
    <w:rsid w:val="00803F6E"/>
    <w:rsid w:val="008040A3"/>
    <w:rsid w:val="0080564D"/>
    <w:rsid w:val="008056E2"/>
    <w:rsid w:val="008064DF"/>
    <w:rsid w:val="00806B69"/>
    <w:rsid w:val="00807916"/>
    <w:rsid w:val="0081082E"/>
    <w:rsid w:val="008119FC"/>
    <w:rsid w:val="008120BB"/>
    <w:rsid w:val="008129AB"/>
    <w:rsid w:val="008130F5"/>
    <w:rsid w:val="008138C2"/>
    <w:rsid w:val="00813EC3"/>
    <w:rsid w:val="00814DBF"/>
    <w:rsid w:val="00815139"/>
    <w:rsid w:val="0081637C"/>
    <w:rsid w:val="008166EE"/>
    <w:rsid w:val="00817FE3"/>
    <w:rsid w:val="00820FEC"/>
    <w:rsid w:val="0082134C"/>
    <w:rsid w:val="00822111"/>
    <w:rsid w:val="008227E8"/>
    <w:rsid w:val="0082339F"/>
    <w:rsid w:val="0082382F"/>
    <w:rsid w:val="00823846"/>
    <w:rsid w:val="008241CB"/>
    <w:rsid w:val="0082431D"/>
    <w:rsid w:val="0082492F"/>
    <w:rsid w:val="0082549D"/>
    <w:rsid w:val="00825AB9"/>
    <w:rsid w:val="008262A6"/>
    <w:rsid w:val="00826720"/>
    <w:rsid w:val="008272BE"/>
    <w:rsid w:val="008273A5"/>
    <w:rsid w:val="00827721"/>
    <w:rsid w:val="0082780D"/>
    <w:rsid w:val="008301AD"/>
    <w:rsid w:val="008302A9"/>
    <w:rsid w:val="00830B94"/>
    <w:rsid w:val="00831033"/>
    <w:rsid w:val="0083155D"/>
    <w:rsid w:val="00833F82"/>
    <w:rsid w:val="008350E1"/>
    <w:rsid w:val="00835F06"/>
    <w:rsid w:val="00836D7A"/>
    <w:rsid w:val="0083701D"/>
    <w:rsid w:val="0083778F"/>
    <w:rsid w:val="00840887"/>
    <w:rsid w:val="00841E3A"/>
    <w:rsid w:val="0084259A"/>
    <w:rsid w:val="00842FAD"/>
    <w:rsid w:val="0084363E"/>
    <w:rsid w:val="008445BA"/>
    <w:rsid w:val="00844B31"/>
    <w:rsid w:val="008455D7"/>
    <w:rsid w:val="008460D9"/>
    <w:rsid w:val="00846C91"/>
    <w:rsid w:val="00846CF1"/>
    <w:rsid w:val="008504CC"/>
    <w:rsid w:val="00851B4D"/>
    <w:rsid w:val="00852CD7"/>
    <w:rsid w:val="00853942"/>
    <w:rsid w:val="00854208"/>
    <w:rsid w:val="008542EF"/>
    <w:rsid w:val="008544D6"/>
    <w:rsid w:val="0085539F"/>
    <w:rsid w:val="00855BE6"/>
    <w:rsid w:val="00856239"/>
    <w:rsid w:val="00856FF5"/>
    <w:rsid w:val="008570B6"/>
    <w:rsid w:val="0085783A"/>
    <w:rsid w:val="0086284E"/>
    <w:rsid w:val="0086480B"/>
    <w:rsid w:val="00864CAA"/>
    <w:rsid w:val="0086514D"/>
    <w:rsid w:val="00866494"/>
    <w:rsid w:val="00866A15"/>
    <w:rsid w:val="0086728E"/>
    <w:rsid w:val="00867645"/>
    <w:rsid w:val="00867764"/>
    <w:rsid w:val="00867858"/>
    <w:rsid w:val="00867ECA"/>
    <w:rsid w:val="00867F68"/>
    <w:rsid w:val="0087042D"/>
    <w:rsid w:val="00871438"/>
    <w:rsid w:val="008717CF"/>
    <w:rsid w:val="00871B7E"/>
    <w:rsid w:val="008722F4"/>
    <w:rsid w:val="00873DBB"/>
    <w:rsid w:val="008745D0"/>
    <w:rsid w:val="00874B0E"/>
    <w:rsid w:val="00874B18"/>
    <w:rsid w:val="00875086"/>
    <w:rsid w:val="0087512C"/>
    <w:rsid w:val="0087545F"/>
    <w:rsid w:val="00876998"/>
    <w:rsid w:val="00876E38"/>
    <w:rsid w:val="0087739A"/>
    <w:rsid w:val="0087741D"/>
    <w:rsid w:val="008775CD"/>
    <w:rsid w:val="008801B4"/>
    <w:rsid w:val="008806B8"/>
    <w:rsid w:val="00880BF4"/>
    <w:rsid w:val="00884AA7"/>
    <w:rsid w:val="00885679"/>
    <w:rsid w:val="00886952"/>
    <w:rsid w:val="008878E1"/>
    <w:rsid w:val="00887DAC"/>
    <w:rsid w:val="00890DC0"/>
    <w:rsid w:val="00891006"/>
    <w:rsid w:val="0089161E"/>
    <w:rsid w:val="0089344C"/>
    <w:rsid w:val="0089414C"/>
    <w:rsid w:val="00894B39"/>
    <w:rsid w:val="00894D11"/>
    <w:rsid w:val="00896596"/>
    <w:rsid w:val="00896703"/>
    <w:rsid w:val="00896C23"/>
    <w:rsid w:val="0089758E"/>
    <w:rsid w:val="008A024B"/>
    <w:rsid w:val="008A06AF"/>
    <w:rsid w:val="008A0A4E"/>
    <w:rsid w:val="008A1585"/>
    <w:rsid w:val="008A1D09"/>
    <w:rsid w:val="008A20ED"/>
    <w:rsid w:val="008A2988"/>
    <w:rsid w:val="008A2D8D"/>
    <w:rsid w:val="008A39D0"/>
    <w:rsid w:val="008A3AC7"/>
    <w:rsid w:val="008A3FBD"/>
    <w:rsid w:val="008A46EC"/>
    <w:rsid w:val="008A4979"/>
    <w:rsid w:val="008A4A91"/>
    <w:rsid w:val="008A4AA0"/>
    <w:rsid w:val="008A5809"/>
    <w:rsid w:val="008A5A50"/>
    <w:rsid w:val="008A5CB7"/>
    <w:rsid w:val="008A62D3"/>
    <w:rsid w:val="008A71A3"/>
    <w:rsid w:val="008A7539"/>
    <w:rsid w:val="008A7830"/>
    <w:rsid w:val="008A785E"/>
    <w:rsid w:val="008A79ED"/>
    <w:rsid w:val="008B074E"/>
    <w:rsid w:val="008B22B4"/>
    <w:rsid w:val="008B28F5"/>
    <w:rsid w:val="008B46AB"/>
    <w:rsid w:val="008B49F5"/>
    <w:rsid w:val="008B4ACC"/>
    <w:rsid w:val="008B5DA3"/>
    <w:rsid w:val="008B5F2E"/>
    <w:rsid w:val="008B7207"/>
    <w:rsid w:val="008B72E4"/>
    <w:rsid w:val="008B758F"/>
    <w:rsid w:val="008B75B6"/>
    <w:rsid w:val="008B7844"/>
    <w:rsid w:val="008C02A0"/>
    <w:rsid w:val="008C07A1"/>
    <w:rsid w:val="008C07D3"/>
    <w:rsid w:val="008C09EE"/>
    <w:rsid w:val="008C1385"/>
    <w:rsid w:val="008C17D9"/>
    <w:rsid w:val="008C1838"/>
    <w:rsid w:val="008C1AB1"/>
    <w:rsid w:val="008C1B06"/>
    <w:rsid w:val="008C2016"/>
    <w:rsid w:val="008C31A4"/>
    <w:rsid w:val="008C326B"/>
    <w:rsid w:val="008C3BEC"/>
    <w:rsid w:val="008C5870"/>
    <w:rsid w:val="008C6E87"/>
    <w:rsid w:val="008C7295"/>
    <w:rsid w:val="008C7395"/>
    <w:rsid w:val="008C7549"/>
    <w:rsid w:val="008C755B"/>
    <w:rsid w:val="008C79F6"/>
    <w:rsid w:val="008C7DD5"/>
    <w:rsid w:val="008C7E07"/>
    <w:rsid w:val="008C7E89"/>
    <w:rsid w:val="008C7EA3"/>
    <w:rsid w:val="008D00C7"/>
    <w:rsid w:val="008D00DB"/>
    <w:rsid w:val="008D0157"/>
    <w:rsid w:val="008D071B"/>
    <w:rsid w:val="008D0E86"/>
    <w:rsid w:val="008D0FA6"/>
    <w:rsid w:val="008D11FF"/>
    <w:rsid w:val="008D18AF"/>
    <w:rsid w:val="008D193D"/>
    <w:rsid w:val="008D23B9"/>
    <w:rsid w:val="008D27AB"/>
    <w:rsid w:val="008D2D1F"/>
    <w:rsid w:val="008D2FAB"/>
    <w:rsid w:val="008D32E4"/>
    <w:rsid w:val="008D34BA"/>
    <w:rsid w:val="008D50B0"/>
    <w:rsid w:val="008D597E"/>
    <w:rsid w:val="008D5B43"/>
    <w:rsid w:val="008E000C"/>
    <w:rsid w:val="008E040E"/>
    <w:rsid w:val="008E0824"/>
    <w:rsid w:val="008E0CFC"/>
    <w:rsid w:val="008E1CC6"/>
    <w:rsid w:val="008E1FA9"/>
    <w:rsid w:val="008E22CF"/>
    <w:rsid w:val="008E270B"/>
    <w:rsid w:val="008E2B83"/>
    <w:rsid w:val="008E46BD"/>
    <w:rsid w:val="008E4871"/>
    <w:rsid w:val="008E5EC6"/>
    <w:rsid w:val="008E6013"/>
    <w:rsid w:val="008E62BA"/>
    <w:rsid w:val="008E64E5"/>
    <w:rsid w:val="008E6945"/>
    <w:rsid w:val="008E7586"/>
    <w:rsid w:val="008E7830"/>
    <w:rsid w:val="008F05B7"/>
    <w:rsid w:val="008F0855"/>
    <w:rsid w:val="008F1D54"/>
    <w:rsid w:val="008F1FCD"/>
    <w:rsid w:val="008F23C9"/>
    <w:rsid w:val="008F2AAB"/>
    <w:rsid w:val="008F30F4"/>
    <w:rsid w:val="008F353B"/>
    <w:rsid w:val="008F368A"/>
    <w:rsid w:val="008F5087"/>
    <w:rsid w:val="008F57FA"/>
    <w:rsid w:val="008F5CF2"/>
    <w:rsid w:val="008F60F0"/>
    <w:rsid w:val="008F6C34"/>
    <w:rsid w:val="00900024"/>
    <w:rsid w:val="0090046D"/>
    <w:rsid w:val="0090082E"/>
    <w:rsid w:val="0090139C"/>
    <w:rsid w:val="009013FC"/>
    <w:rsid w:val="0090182A"/>
    <w:rsid w:val="00901A51"/>
    <w:rsid w:val="00901B3F"/>
    <w:rsid w:val="00902969"/>
    <w:rsid w:val="00902B80"/>
    <w:rsid w:val="0090337C"/>
    <w:rsid w:val="00903B70"/>
    <w:rsid w:val="00903BBC"/>
    <w:rsid w:val="009041A6"/>
    <w:rsid w:val="00905ED0"/>
    <w:rsid w:val="00906030"/>
    <w:rsid w:val="00907D9C"/>
    <w:rsid w:val="00907DF7"/>
    <w:rsid w:val="00910408"/>
    <w:rsid w:val="00910CC6"/>
    <w:rsid w:val="00910D84"/>
    <w:rsid w:val="00911CD9"/>
    <w:rsid w:val="0091235B"/>
    <w:rsid w:val="009138C0"/>
    <w:rsid w:val="00913E35"/>
    <w:rsid w:val="009149A7"/>
    <w:rsid w:val="009153DF"/>
    <w:rsid w:val="009154AC"/>
    <w:rsid w:val="00915B48"/>
    <w:rsid w:val="00915FA5"/>
    <w:rsid w:val="0091657E"/>
    <w:rsid w:val="00916C3D"/>
    <w:rsid w:val="00916C72"/>
    <w:rsid w:val="009170B1"/>
    <w:rsid w:val="00917D99"/>
    <w:rsid w:val="00920219"/>
    <w:rsid w:val="00920B4D"/>
    <w:rsid w:val="00921F70"/>
    <w:rsid w:val="00922098"/>
    <w:rsid w:val="0092264A"/>
    <w:rsid w:val="00922D90"/>
    <w:rsid w:val="00922ED5"/>
    <w:rsid w:val="00923090"/>
    <w:rsid w:val="00923921"/>
    <w:rsid w:val="0092464D"/>
    <w:rsid w:val="00924815"/>
    <w:rsid w:val="00924939"/>
    <w:rsid w:val="00924E2C"/>
    <w:rsid w:val="00925CBF"/>
    <w:rsid w:val="00925F40"/>
    <w:rsid w:val="0092605B"/>
    <w:rsid w:val="00926286"/>
    <w:rsid w:val="00926C4B"/>
    <w:rsid w:val="00927999"/>
    <w:rsid w:val="00927BE3"/>
    <w:rsid w:val="0093032F"/>
    <w:rsid w:val="00930571"/>
    <w:rsid w:val="00930F48"/>
    <w:rsid w:val="00931A87"/>
    <w:rsid w:val="00931EC1"/>
    <w:rsid w:val="009329DB"/>
    <w:rsid w:val="009331AC"/>
    <w:rsid w:val="00933CCA"/>
    <w:rsid w:val="00933DA8"/>
    <w:rsid w:val="00935E3F"/>
    <w:rsid w:val="00937027"/>
    <w:rsid w:val="00937127"/>
    <w:rsid w:val="00940FDE"/>
    <w:rsid w:val="009413A2"/>
    <w:rsid w:val="009413D6"/>
    <w:rsid w:val="00942595"/>
    <w:rsid w:val="00942604"/>
    <w:rsid w:val="009426D8"/>
    <w:rsid w:val="009429AF"/>
    <w:rsid w:val="00942FF7"/>
    <w:rsid w:val="00943393"/>
    <w:rsid w:val="009437C0"/>
    <w:rsid w:val="00943A03"/>
    <w:rsid w:val="00943E25"/>
    <w:rsid w:val="0094583F"/>
    <w:rsid w:val="00945AD2"/>
    <w:rsid w:val="0094688A"/>
    <w:rsid w:val="009473A1"/>
    <w:rsid w:val="009504FC"/>
    <w:rsid w:val="00950705"/>
    <w:rsid w:val="00950745"/>
    <w:rsid w:val="00950A81"/>
    <w:rsid w:val="00950EA4"/>
    <w:rsid w:val="00950EA5"/>
    <w:rsid w:val="009517A7"/>
    <w:rsid w:val="0095191C"/>
    <w:rsid w:val="00951ED1"/>
    <w:rsid w:val="009523EF"/>
    <w:rsid w:val="00952765"/>
    <w:rsid w:val="0095329F"/>
    <w:rsid w:val="0095389B"/>
    <w:rsid w:val="00953C37"/>
    <w:rsid w:val="00954442"/>
    <w:rsid w:val="009550C4"/>
    <w:rsid w:val="00955758"/>
    <w:rsid w:val="009560BA"/>
    <w:rsid w:val="00956152"/>
    <w:rsid w:val="00956AB0"/>
    <w:rsid w:val="00956DD8"/>
    <w:rsid w:val="00956E24"/>
    <w:rsid w:val="00957620"/>
    <w:rsid w:val="00957A07"/>
    <w:rsid w:val="00957E0D"/>
    <w:rsid w:val="00960157"/>
    <w:rsid w:val="00960A20"/>
    <w:rsid w:val="00960C4F"/>
    <w:rsid w:val="00961570"/>
    <w:rsid w:val="00961D95"/>
    <w:rsid w:val="0096220D"/>
    <w:rsid w:val="00962390"/>
    <w:rsid w:val="00962AEC"/>
    <w:rsid w:val="00962D27"/>
    <w:rsid w:val="00963580"/>
    <w:rsid w:val="009638C6"/>
    <w:rsid w:val="00963EAB"/>
    <w:rsid w:val="00964A08"/>
    <w:rsid w:val="00965568"/>
    <w:rsid w:val="009663C5"/>
    <w:rsid w:val="009665EB"/>
    <w:rsid w:val="009665F4"/>
    <w:rsid w:val="0096667B"/>
    <w:rsid w:val="009668FC"/>
    <w:rsid w:val="00966A8A"/>
    <w:rsid w:val="00966EDB"/>
    <w:rsid w:val="0096731F"/>
    <w:rsid w:val="0097009E"/>
    <w:rsid w:val="00970C33"/>
    <w:rsid w:val="00972E8D"/>
    <w:rsid w:val="00972FB5"/>
    <w:rsid w:val="00974BE3"/>
    <w:rsid w:val="009758D6"/>
    <w:rsid w:val="00975BAB"/>
    <w:rsid w:val="0097642D"/>
    <w:rsid w:val="00976E96"/>
    <w:rsid w:val="00977369"/>
    <w:rsid w:val="00977E1F"/>
    <w:rsid w:val="00977F02"/>
    <w:rsid w:val="009802B4"/>
    <w:rsid w:val="00980C56"/>
    <w:rsid w:val="00980ED1"/>
    <w:rsid w:val="00980F8B"/>
    <w:rsid w:val="00981282"/>
    <w:rsid w:val="0098243E"/>
    <w:rsid w:val="00982BB8"/>
    <w:rsid w:val="00982C30"/>
    <w:rsid w:val="009835D6"/>
    <w:rsid w:val="0098369E"/>
    <w:rsid w:val="0098489A"/>
    <w:rsid w:val="00985160"/>
    <w:rsid w:val="00985806"/>
    <w:rsid w:val="009873A0"/>
    <w:rsid w:val="009875A2"/>
    <w:rsid w:val="009879D8"/>
    <w:rsid w:val="00990A42"/>
    <w:rsid w:val="00990CD0"/>
    <w:rsid w:val="00990E9A"/>
    <w:rsid w:val="00990EEF"/>
    <w:rsid w:val="00992BB7"/>
    <w:rsid w:val="00992C11"/>
    <w:rsid w:val="00992CFA"/>
    <w:rsid w:val="00992FFA"/>
    <w:rsid w:val="009931AF"/>
    <w:rsid w:val="00993D6A"/>
    <w:rsid w:val="00993F02"/>
    <w:rsid w:val="00993FEB"/>
    <w:rsid w:val="00994DE5"/>
    <w:rsid w:val="0099577F"/>
    <w:rsid w:val="00995EB4"/>
    <w:rsid w:val="0099775A"/>
    <w:rsid w:val="009A17F8"/>
    <w:rsid w:val="009A23F6"/>
    <w:rsid w:val="009A2A63"/>
    <w:rsid w:val="009A331A"/>
    <w:rsid w:val="009A36C0"/>
    <w:rsid w:val="009A3BDC"/>
    <w:rsid w:val="009A47BE"/>
    <w:rsid w:val="009A4999"/>
    <w:rsid w:val="009A4C3B"/>
    <w:rsid w:val="009A4F78"/>
    <w:rsid w:val="009A62E0"/>
    <w:rsid w:val="009A645E"/>
    <w:rsid w:val="009A6C87"/>
    <w:rsid w:val="009B0E79"/>
    <w:rsid w:val="009B10FF"/>
    <w:rsid w:val="009B17FE"/>
    <w:rsid w:val="009B20CE"/>
    <w:rsid w:val="009B2BEE"/>
    <w:rsid w:val="009B3290"/>
    <w:rsid w:val="009B33D6"/>
    <w:rsid w:val="009B3D4D"/>
    <w:rsid w:val="009B55FC"/>
    <w:rsid w:val="009B5B7C"/>
    <w:rsid w:val="009B5D56"/>
    <w:rsid w:val="009B6047"/>
    <w:rsid w:val="009B60BC"/>
    <w:rsid w:val="009B6E8D"/>
    <w:rsid w:val="009B7586"/>
    <w:rsid w:val="009C034A"/>
    <w:rsid w:val="009C0C51"/>
    <w:rsid w:val="009C0DF2"/>
    <w:rsid w:val="009C0F1C"/>
    <w:rsid w:val="009C2123"/>
    <w:rsid w:val="009C2843"/>
    <w:rsid w:val="009C2AFE"/>
    <w:rsid w:val="009C35B5"/>
    <w:rsid w:val="009C3E58"/>
    <w:rsid w:val="009C4180"/>
    <w:rsid w:val="009C4D18"/>
    <w:rsid w:val="009C54D0"/>
    <w:rsid w:val="009C5C57"/>
    <w:rsid w:val="009C6326"/>
    <w:rsid w:val="009C636E"/>
    <w:rsid w:val="009C727C"/>
    <w:rsid w:val="009D08E5"/>
    <w:rsid w:val="009D14C8"/>
    <w:rsid w:val="009D1936"/>
    <w:rsid w:val="009D19BB"/>
    <w:rsid w:val="009D243F"/>
    <w:rsid w:val="009D2A12"/>
    <w:rsid w:val="009D332F"/>
    <w:rsid w:val="009D396B"/>
    <w:rsid w:val="009D4151"/>
    <w:rsid w:val="009D45AF"/>
    <w:rsid w:val="009D4E12"/>
    <w:rsid w:val="009D5B6B"/>
    <w:rsid w:val="009D5FB0"/>
    <w:rsid w:val="009D633B"/>
    <w:rsid w:val="009D67CE"/>
    <w:rsid w:val="009D6D93"/>
    <w:rsid w:val="009D72AF"/>
    <w:rsid w:val="009D7666"/>
    <w:rsid w:val="009D7BB7"/>
    <w:rsid w:val="009E05B9"/>
    <w:rsid w:val="009E07FC"/>
    <w:rsid w:val="009E0C7C"/>
    <w:rsid w:val="009E1804"/>
    <w:rsid w:val="009E1CAC"/>
    <w:rsid w:val="009E1EDF"/>
    <w:rsid w:val="009E2068"/>
    <w:rsid w:val="009E20F3"/>
    <w:rsid w:val="009E2708"/>
    <w:rsid w:val="009E32E2"/>
    <w:rsid w:val="009E3CAF"/>
    <w:rsid w:val="009E3F4D"/>
    <w:rsid w:val="009E47C8"/>
    <w:rsid w:val="009E541A"/>
    <w:rsid w:val="009E558E"/>
    <w:rsid w:val="009E5DAE"/>
    <w:rsid w:val="009E6523"/>
    <w:rsid w:val="009E7C3B"/>
    <w:rsid w:val="009F073D"/>
    <w:rsid w:val="009F1A0D"/>
    <w:rsid w:val="009F2A17"/>
    <w:rsid w:val="009F311A"/>
    <w:rsid w:val="009F3489"/>
    <w:rsid w:val="009F3830"/>
    <w:rsid w:val="009F53FB"/>
    <w:rsid w:val="009F566F"/>
    <w:rsid w:val="009F5F09"/>
    <w:rsid w:val="009F61B1"/>
    <w:rsid w:val="009F71F7"/>
    <w:rsid w:val="009F7240"/>
    <w:rsid w:val="009F75AA"/>
    <w:rsid w:val="009F76CA"/>
    <w:rsid w:val="009F79E4"/>
    <w:rsid w:val="00A00041"/>
    <w:rsid w:val="00A01316"/>
    <w:rsid w:val="00A01627"/>
    <w:rsid w:val="00A01809"/>
    <w:rsid w:val="00A01A03"/>
    <w:rsid w:val="00A01B25"/>
    <w:rsid w:val="00A01BCF"/>
    <w:rsid w:val="00A01EEE"/>
    <w:rsid w:val="00A026EF"/>
    <w:rsid w:val="00A0288F"/>
    <w:rsid w:val="00A02949"/>
    <w:rsid w:val="00A03138"/>
    <w:rsid w:val="00A03569"/>
    <w:rsid w:val="00A035CC"/>
    <w:rsid w:val="00A035E6"/>
    <w:rsid w:val="00A041D2"/>
    <w:rsid w:val="00A042C6"/>
    <w:rsid w:val="00A04831"/>
    <w:rsid w:val="00A04EE1"/>
    <w:rsid w:val="00A06CDA"/>
    <w:rsid w:val="00A06E35"/>
    <w:rsid w:val="00A07370"/>
    <w:rsid w:val="00A07667"/>
    <w:rsid w:val="00A07D7F"/>
    <w:rsid w:val="00A1014F"/>
    <w:rsid w:val="00A102F7"/>
    <w:rsid w:val="00A10D45"/>
    <w:rsid w:val="00A11069"/>
    <w:rsid w:val="00A112F1"/>
    <w:rsid w:val="00A11765"/>
    <w:rsid w:val="00A11FCA"/>
    <w:rsid w:val="00A12154"/>
    <w:rsid w:val="00A12411"/>
    <w:rsid w:val="00A12586"/>
    <w:rsid w:val="00A127C2"/>
    <w:rsid w:val="00A13082"/>
    <w:rsid w:val="00A1358A"/>
    <w:rsid w:val="00A1359B"/>
    <w:rsid w:val="00A13D7D"/>
    <w:rsid w:val="00A1404F"/>
    <w:rsid w:val="00A15554"/>
    <w:rsid w:val="00A15B77"/>
    <w:rsid w:val="00A1682A"/>
    <w:rsid w:val="00A16AE9"/>
    <w:rsid w:val="00A16E9A"/>
    <w:rsid w:val="00A17288"/>
    <w:rsid w:val="00A175DE"/>
    <w:rsid w:val="00A1785E"/>
    <w:rsid w:val="00A20075"/>
    <w:rsid w:val="00A2093A"/>
    <w:rsid w:val="00A20E1E"/>
    <w:rsid w:val="00A21856"/>
    <w:rsid w:val="00A21CC0"/>
    <w:rsid w:val="00A21DC8"/>
    <w:rsid w:val="00A22106"/>
    <w:rsid w:val="00A22815"/>
    <w:rsid w:val="00A232CF"/>
    <w:rsid w:val="00A23CA7"/>
    <w:rsid w:val="00A24520"/>
    <w:rsid w:val="00A252E2"/>
    <w:rsid w:val="00A25544"/>
    <w:rsid w:val="00A2580F"/>
    <w:rsid w:val="00A25D24"/>
    <w:rsid w:val="00A305DD"/>
    <w:rsid w:val="00A3127F"/>
    <w:rsid w:val="00A31D93"/>
    <w:rsid w:val="00A32776"/>
    <w:rsid w:val="00A327C4"/>
    <w:rsid w:val="00A3291A"/>
    <w:rsid w:val="00A338D5"/>
    <w:rsid w:val="00A33F89"/>
    <w:rsid w:val="00A3403C"/>
    <w:rsid w:val="00A34078"/>
    <w:rsid w:val="00A345FD"/>
    <w:rsid w:val="00A3469E"/>
    <w:rsid w:val="00A354EF"/>
    <w:rsid w:val="00A35CEB"/>
    <w:rsid w:val="00A3759A"/>
    <w:rsid w:val="00A37EF4"/>
    <w:rsid w:val="00A4011B"/>
    <w:rsid w:val="00A40781"/>
    <w:rsid w:val="00A407B9"/>
    <w:rsid w:val="00A419C0"/>
    <w:rsid w:val="00A41EC8"/>
    <w:rsid w:val="00A42B69"/>
    <w:rsid w:val="00A43861"/>
    <w:rsid w:val="00A4392A"/>
    <w:rsid w:val="00A439AD"/>
    <w:rsid w:val="00A445F6"/>
    <w:rsid w:val="00A4489E"/>
    <w:rsid w:val="00A45B6E"/>
    <w:rsid w:val="00A4614D"/>
    <w:rsid w:val="00A46D54"/>
    <w:rsid w:val="00A47717"/>
    <w:rsid w:val="00A47ABE"/>
    <w:rsid w:val="00A50146"/>
    <w:rsid w:val="00A50324"/>
    <w:rsid w:val="00A505F1"/>
    <w:rsid w:val="00A5085D"/>
    <w:rsid w:val="00A51122"/>
    <w:rsid w:val="00A5176F"/>
    <w:rsid w:val="00A51CCD"/>
    <w:rsid w:val="00A52A22"/>
    <w:rsid w:val="00A5433E"/>
    <w:rsid w:val="00A54AEA"/>
    <w:rsid w:val="00A54EAA"/>
    <w:rsid w:val="00A54F64"/>
    <w:rsid w:val="00A57257"/>
    <w:rsid w:val="00A6014C"/>
    <w:rsid w:val="00A6147C"/>
    <w:rsid w:val="00A62727"/>
    <w:rsid w:val="00A62953"/>
    <w:rsid w:val="00A62D30"/>
    <w:rsid w:val="00A62FA8"/>
    <w:rsid w:val="00A65644"/>
    <w:rsid w:val="00A6632A"/>
    <w:rsid w:val="00A6632C"/>
    <w:rsid w:val="00A676A2"/>
    <w:rsid w:val="00A71009"/>
    <w:rsid w:val="00A71B4D"/>
    <w:rsid w:val="00A72CFC"/>
    <w:rsid w:val="00A733AA"/>
    <w:rsid w:val="00A743BA"/>
    <w:rsid w:val="00A747CD"/>
    <w:rsid w:val="00A74B2E"/>
    <w:rsid w:val="00A74DD6"/>
    <w:rsid w:val="00A752EE"/>
    <w:rsid w:val="00A753DD"/>
    <w:rsid w:val="00A75688"/>
    <w:rsid w:val="00A7575D"/>
    <w:rsid w:val="00A75A16"/>
    <w:rsid w:val="00A76714"/>
    <w:rsid w:val="00A76C6D"/>
    <w:rsid w:val="00A770C7"/>
    <w:rsid w:val="00A8066F"/>
    <w:rsid w:val="00A80B84"/>
    <w:rsid w:val="00A8140E"/>
    <w:rsid w:val="00A814DE"/>
    <w:rsid w:val="00A8168E"/>
    <w:rsid w:val="00A81F2D"/>
    <w:rsid w:val="00A82D38"/>
    <w:rsid w:val="00A83DFB"/>
    <w:rsid w:val="00A844BA"/>
    <w:rsid w:val="00A84B9A"/>
    <w:rsid w:val="00A86076"/>
    <w:rsid w:val="00A87312"/>
    <w:rsid w:val="00A873B2"/>
    <w:rsid w:val="00A91050"/>
    <w:rsid w:val="00A91716"/>
    <w:rsid w:val="00A92327"/>
    <w:rsid w:val="00A92F64"/>
    <w:rsid w:val="00A931E1"/>
    <w:rsid w:val="00A93237"/>
    <w:rsid w:val="00A93D46"/>
    <w:rsid w:val="00A949D9"/>
    <w:rsid w:val="00A94B4C"/>
    <w:rsid w:val="00A952F4"/>
    <w:rsid w:val="00A95DA6"/>
    <w:rsid w:val="00A97A57"/>
    <w:rsid w:val="00AA0215"/>
    <w:rsid w:val="00AA0D6E"/>
    <w:rsid w:val="00AA125D"/>
    <w:rsid w:val="00AA12C3"/>
    <w:rsid w:val="00AA18E3"/>
    <w:rsid w:val="00AA1B93"/>
    <w:rsid w:val="00AA2B64"/>
    <w:rsid w:val="00AA2CFC"/>
    <w:rsid w:val="00AA33DC"/>
    <w:rsid w:val="00AA5845"/>
    <w:rsid w:val="00AA5E07"/>
    <w:rsid w:val="00AA76B2"/>
    <w:rsid w:val="00AA7DFF"/>
    <w:rsid w:val="00AB03A1"/>
    <w:rsid w:val="00AB0896"/>
    <w:rsid w:val="00AB1466"/>
    <w:rsid w:val="00AB483B"/>
    <w:rsid w:val="00AB5900"/>
    <w:rsid w:val="00AB6B16"/>
    <w:rsid w:val="00AB7D87"/>
    <w:rsid w:val="00AC0686"/>
    <w:rsid w:val="00AC0F37"/>
    <w:rsid w:val="00AC1236"/>
    <w:rsid w:val="00AC1895"/>
    <w:rsid w:val="00AC420D"/>
    <w:rsid w:val="00AC510F"/>
    <w:rsid w:val="00AC5518"/>
    <w:rsid w:val="00AC5977"/>
    <w:rsid w:val="00AC5E70"/>
    <w:rsid w:val="00AC6385"/>
    <w:rsid w:val="00AC76E2"/>
    <w:rsid w:val="00AC796C"/>
    <w:rsid w:val="00AC7EDF"/>
    <w:rsid w:val="00AD0C85"/>
    <w:rsid w:val="00AD13DC"/>
    <w:rsid w:val="00AD1454"/>
    <w:rsid w:val="00AD17FD"/>
    <w:rsid w:val="00AD1C35"/>
    <w:rsid w:val="00AD2192"/>
    <w:rsid w:val="00AD3198"/>
    <w:rsid w:val="00AD3334"/>
    <w:rsid w:val="00AD37F4"/>
    <w:rsid w:val="00AD3C91"/>
    <w:rsid w:val="00AD44A1"/>
    <w:rsid w:val="00AD44EB"/>
    <w:rsid w:val="00AD4825"/>
    <w:rsid w:val="00AD4AEF"/>
    <w:rsid w:val="00AD6081"/>
    <w:rsid w:val="00AD67A1"/>
    <w:rsid w:val="00AE00B3"/>
    <w:rsid w:val="00AE2323"/>
    <w:rsid w:val="00AE242C"/>
    <w:rsid w:val="00AE260C"/>
    <w:rsid w:val="00AE30FA"/>
    <w:rsid w:val="00AE3FAC"/>
    <w:rsid w:val="00AE438D"/>
    <w:rsid w:val="00AE49A7"/>
    <w:rsid w:val="00AE4F0D"/>
    <w:rsid w:val="00AE4F58"/>
    <w:rsid w:val="00AE5276"/>
    <w:rsid w:val="00AE5624"/>
    <w:rsid w:val="00AE5D3B"/>
    <w:rsid w:val="00AE5EDE"/>
    <w:rsid w:val="00AE6D6C"/>
    <w:rsid w:val="00AE6EA4"/>
    <w:rsid w:val="00AE7384"/>
    <w:rsid w:val="00AE7476"/>
    <w:rsid w:val="00AF00A1"/>
    <w:rsid w:val="00AF03C7"/>
    <w:rsid w:val="00AF04F6"/>
    <w:rsid w:val="00AF072E"/>
    <w:rsid w:val="00AF075A"/>
    <w:rsid w:val="00AF0FEB"/>
    <w:rsid w:val="00AF1615"/>
    <w:rsid w:val="00AF16BB"/>
    <w:rsid w:val="00AF23C8"/>
    <w:rsid w:val="00AF28ED"/>
    <w:rsid w:val="00AF3832"/>
    <w:rsid w:val="00AF3A5B"/>
    <w:rsid w:val="00AF3A8E"/>
    <w:rsid w:val="00AF406A"/>
    <w:rsid w:val="00AF47D6"/>
    <w:rsid w:val="00AF47F8"/>
    <w:rsid w:val="00AF4ADD"/>
    <w:rsid w:val="00AF5A19"/>
    <w:rsid w:val="00AF5B44"/>
    <w:rsid w:val="00AF6536"/>
    <w:rsid w:val="00AF662D"/>
    <w:rsid w:val="00AF6D5D"/>
    <w:rsid w:val="00AF7E42"/>
    <w:rsid w:val="00AF7E9D"/>
    <w:rsid w:val="00B00A5D"/>
    <w:rsid w:val="00B0138A"/>
    <w:rsid w:val="00B01DB1"/>
    <w:rsid w:val="00B024BE"/>
    <w:rsid w:val="00B035F7"/>
    <w:rsid w:val="00B03ED7"/>
    <w:rsid w:val="00B047C7"/>
    <w:rsid w:val="00B05522"/>
    <w:rsid w:val="00B06FE6"/>
    <w:rsid w:val="00B0726D"/>
    <w:rsid w:val="00B07733"/>
    <w:rsid w:val="00B07CCE"/>
    <w:rsid w:val="00B10224"/>
    <w:rsid w:val="00B10A2B"/>
    <w:rsid w:val="00B112DE"/>
    <w:rsid w:val="00B1417B"/>
    <w:rsid w:val="00B143EF"/>
    <w:rsid w:val="00B14B35"/>
    <w:rsid w:val="00B14B4C"/>
    <w:rsid w:val="00B14C0E"/>
    <w:rsid w:val="00B14EEF"/>
    <w:rsid w:val="00B15418"/>
    <w:rsid w:val="00B15F75"/>
    <w:rsid w:val="00B1648F"/>
    <w:rsid w:val="00B171A2"/>
    <w:rsid w:val="00B17393"/>
    <w:rsid w:val="00B2029C"/>
    <w:rsid w:val="00B20A90"/>
    <w:rsid w:val="00B211F2"/>
    <w:rsid w:val="00B215F9"/>
    <w:rsid w:val="00B217D6"/>
    <w:rsid w:val="00B2184B"/>
    <w:rsid w:val="00B21860"/>
    <w:rsid w:val="00B222EC"/>
    <w:rsid w:val="00B226C4"/>
    <w:rsid w:val="00B23780"/>
    <w:rsid w:val="00B2407B"/>
    <w:rsid w:val="00B24274"/>
    <w:rsid w:val="00B245CB"/>
    <w:rsid w:val="00B2463B"/>
    <w:rsid w:val="00B24EFD"/>
    <w:rsid w:val="00B25068"/>
    <w:rsid w:val="00B25EEA"/>
    <w:rsid w:val="00B25FD2"/>
    <w:rsid w:val="00B26A1F"/>
    <w:rsid w:val="00B26C04"/>
    <w:rsid w:val="00B31931"/>
    <w:rsid w:val="00B32869"/>
    <w:rsid w:val="00B33042"/>
    <w:rsid w:val="00B33843"/>
    <w:rsid w:val="00B33B06"/>
    <w:rsid w:val="00B35BB8"/>
    <w:rsid w:val="00B365D4"/>
    <w:rsid w:val="00B36AC1"/>
    <w:rsid w:val="00B36C5F"/>
    <w:rsid w:val="00B36F02"/>
    <w:rsid w:val="00B37832"/>
    <w:rsid w:val="00B37C82"/>
    <w:rsid w:val="00B41550"/>
    <w:rsid w:val="00B418A9"/>
    <w:rsid w:val="00B42031"/>
    <w:rsid w:val="00B430DF"/>
    <w:rsid w:val="00B436B1"/>
    <w:rsid w:val="00B43BEB"/>
    <w:rsid w:val="00B4474C"/>
    <w:rsid w:val="00B44C66"/>
    <w:rsid w:val="00B44CC9"/>
    <w:rsid w:val="00B44E55"/>
    <w:rsid w:val="00B44F00"/>
    <w:rsid w:val="00B45083"/>
    <w:rsid w:val="00B4632B"/>
    <w:rsid w:val="00B46406"/>
    <w:rsid w:val="00B4681D"/>
    <w:rsid w:val="00B47000"/>
    <w:rsid w:val="00B50AA3"/>
    <w:rsid w:val="00B50BB6"/>
    <w:rsid w:val="00B50C3E"/>
    <w:rsid w:val="00B51622"/>
    <w:rsid w:val="00B518CC"/>
    <w:rsid w:val="00B5202E"/>
    <w:rsid w:val="00B5221D"/>
    <w:rsid w:val="00B52E64"/>
    <w:rsid w:val="00B53453"/>
    <w:rsid w:val="00B53577"/>
    <w:rsid w:val="00B53B24"/>
    <w:rsid w:val="00B54E28"/>
    <w:rsid w:val="00B5522A"/>
    <w:rsid w:val="00B5574A"/>
    <w:rsid w:val="00B56FB0"/>
    <w:rsid w:val="00B57F2C"/>
    <w:rsid w:val="00B607A1"/>
    <w:rsid w:val="00B60EBE"/>
    <w:rsid w:val="00B61143"/>
    <w:rsid w:val="00B614E3"/>
    <w:rsid w:val="00B622E2"/>
    <w:rsid w:val="00B62492"/>
    <w:rsid w:val="00B62628"/>
    <w:rsid w:val="00B63DCE"/>
    <w:rsid w:val="00B640B2"/>
    <w:rsid w:val="00B640DE"/>
    <w:rsid w:val="00B64150"/>
    <w:rsid w:val="00B659DB"/>
    <w:rsid w:val="00B65CBE"/>
    <w:rsid w:val="00B65DA8"/>
    <w:rsid w:val="00B66092"/>
    <w:rsid w:val="00B663B8"/>
    <w:rsid w:val="00B67067"/>
    <w:rsid w:val="00B674A1"/>
    <w:rsid w:val="00B67F42"/>
    <w:rsid w:val="00B703B8"/>
    <w:rsid w:val="00B70487"/>
    <w:rsid w:val="00B70B44"/>
    <w:rsid w:val="00B70F77"/>
    <w:rsid w:val="00B714AD"/>
    <w:rsid w:val="00B71A05"/>
    <w:rsid w:val="00B72108"/>
    <w:rsid w:val="00B72236"/>
    <w:rsid w:val="00B72CD9"/>
    <w:rsid w:val="00B73110"/>
    <w:rsid w:val="00B73595"/>
    <w:rsid w:val="00B7455D"/>
    <w:rsid w:val="00B74AD5"/>
    <w:rsid w:val="00B7539B"/>
    <w:rsid w:val="00B754F2"/>
    <w:rsid w:val="00B75BAA"/>
    <w:rsid w:val="00B763A5"/>
    <w:rsid w:val="00B7645A"/>
    <w:rsid w:val="00B76FB9"/>
    <w:rsid w:val="00B76FD5"/>
    <w:rsid w:val="00B77A55"/>
    <w:rsid w:val="00B77C22"/>
    <w:rsid w:val="00B80096"/>
    <w:rsid w:val="00B8060E"/>
    <w:rsid w:val="00B80C12"/>
    <w:rsid w:val="00B80CEB"/>
    <w:rsid w:val="00B80DC7"/>
    <w:rsid w:val="00B816C7"/>
    <w:rsid w:val="00B82F17"/>
    <w:rsid w:val="00B83ED6"/>
    <w:rsid w:val="00B86ABA"/>
    <w:rsid w:val="00B86D79"/>
    <w:rsid w:val="00B875FA"/>
    <w:rsid w:val="00B87E01"/>
    <w:rsid w:val="00B87ECF"/>
    <w:rsid w:val="00B901E8"/>
    <w:rsid w:val="00B90AA9"/>
    <w:rsid w:val="00B91A75"/>
    <w:rsid w:val="00B91E73"/>
    <w:rsid w:val="00B91EB2"/>
    <w:rsid w:val="00B92018"/>
    <w:rsid w:val="00B92A0C"/>
    <w:rsid w:val="00B9316D"/>
    <w:rsid w:val="00B939A6"/>
    <w:rsid w:val="00B94B87"/>
    <w:rsid w:val="00B95E0D"/>
    <w:rsid w:val="00B96805"/>
    <w:rsid w:val="00B968EB"/>
    <w:rsid w:val="00B97D9D"/>
    <w:rsid w:val="00BA02D7"/>
    <w:rsid w:val="00BA0536"/>
    <w:rsid w:val="00BA05A6"/>
    <w:rsid w:val="00BA07F9"/>
    <w:rsid w:val="00BA1097"/>
    <w:rsid w:val="00BA11B7"/>
    <w:rsid w:val="00BA1C1D"/>
    <w:rsid w:val="00BA262F"/>
    <w:rsid w:val="00BA2BC5"/>
    <w:rsid w:val="00BA2C4D"/>
    <w:rsid w:val="00BA2D4F"/>
    <w:rsid w:val="00BA37AC"/>
    <w:rsid w:val="00BA394E"/>
    <w:rsid w:val="00BA3CDE"/>
    <w:rsid w:val="00BA40D4"/>
    <w:rsid w:val="00BA481E"/>
    <w:rsid w:val="00BA4CAE"/>
    <w:rsid w:val="00BA5B88"/>
    <w:rsid w:val="00BA6126"/>
    <w:rsid w:val="00BA61F8"/>
    <w:rsid w:val="00BA6B07"/>
    <w:rsid w:val="00BA6B13"/>
    <w:rsid w:val="00BA6F8A"/>
    <w:rsid w:val="00BB058E"/>
    <w:rsid w:val="00BB0A05"/>
    <w:rsid w:val="00BB199A"/>
    <w:rsid w:val="00BB1C28"/>
    <w:rsid w:val="00BB1E93"/>
    <w:rsid w:val="00BB248E"/>
    <w:rsid w:val="00BB2851"/>
    <w:rsid w:val="00BB3794"/>
    <w:rsid w:val="00BB3CC8"/>
    <w:rsid w:val="00BB4131"/>
    <w:rsid w:val="00BB47E3"/>
    <w:rsid w:val="00BB47E7"/>
    <w:rsid w:val="00BB58A9"/>
    <w:rsid w:val="00BB6388"/>
    <w:rsid w:val="00BB67E3"/>
    <w:rsid w:val="00BB69D4"/>
    <w:rsid w:val="00BB6F70"/>
    <w:rsid w:val="00BB71D1"/>
    <w:rsid w:val="00BB770A"/>
    <w:rsid w:val="00BC014A"/>
    <w:rsid w:val="00BC025D"/>
    <w:rsid w:val="00BC0C3A"/>
    <w:rsid w:val="00BC14E4"/>
    <w:rsid w:val="00BC181D"/>
    <w:rsid w:val="00BC1C12"/>
    <w:rsid w:val="00BC251A"/>
    <w:rsid w:val="00BC35F0"/>
    <w:rsid w:val="00BC3D0F"/>
    <w:rsid w:val="00BC4237"/>
    <w:rsid w:val="00BC442F"/>
    <w:rsid w:val="00BC45F6"/>
    <w:rsid w:val="00BC45F8"/>
    <w:rsid w:val="00BC516A"/>
    <w:rsid w:val="00BC577F"/>
    <w:rsid w:val="00BC5861"/>
    <w:rsid w:val="00BC6C24"/>
    <w:rsid w:val="00BC6D37"/>
    <w:rsid w:val="00BC71AF"/>
    <w:rsid w:val="00BC741B"/>
    <w:rsid w:val="00BC7E12"/>
    <w:rsid w:val="00BD08D4"/>
    <w:rsid w:val="00BD1872"/>
    <w:rsid w:val="00BD1E0B"/>
    <w:rsid w:val="00BD22BC"/>
    <w:rsid w:val="00BD2462"/>
    <w:rsid w:val="00BD2516"/>
    <w:rsid w:val="00BD36D1"/>
    <w:rsid w:val="00BD4899"/>
    <w:rsid w:val="00BD5657"/>
    <w:rsid w:val="00BD7334"/>
    <w:rsid w:val="00BD7537"/>
    <w:rsid w:val="00BD7D9B"/>
    <w:rsid w:val="00BE069C"/>
    <w:rsid w:val="00BE07DC"/>
    <w:rsid w:val="00BE11E9"/>
    <w:rsid w:val="00BE1D13"/>
    <w:rsid w:val="00BE2830"/>
    <w:rsid w:val="00BE2E38"/>
    <w:rsid w:val="00BE3468"/>
    <w:rsid w:val="00BE3615"/>
    <w:rsid w:val="00BE3B50"/>
    <w:rsid w:val="00BE40C1"/>
    <w:rsid w:val="00BE47EC"/>
    <w:rsid w:val="00BE4889"/>
    <w:rsid w:val="00BE6785"/>
    <w:rsid w:val="00BE6B18"/>
    <w:rsid w:val="00BE7321"/>
    <w:rsid w:val="00BE74DE"/>
    <w:rsid w:val="00BE7541"/>
    <w:rsid w:val="00BE7A60"/>
    <w:rsid w:val="00BF0122"/>
    <w:rsid w:val="00BF03DA"/>
    <w:rsid w:val="00BF041A"/>
    <w:rsid w:val="00BF17A8"/>
    <w:rsid w:val="00BF216A"/>
    <w:rsid w:val="00BF2AA7"/>
    <w:rsid w:val="00BF3475"/>
    <w:rsid w:val="00BF3AD4"/>
    <w:rsid w:val="00BF3DE7"/>
    <w:rsid w:val="00BF43C0"/>
    <w:rsid w:val="00BF4796"/>
    <w:rsid w:val="00BF5424"/>
    <w:rsid w:val="00BF5995"/>
    <w:rsid w:val="00BF5B19"/>
    <w:rsid w:val="00BF60B6"/>
    <w:rsid w:val="00BF613F"/>
    <w:rsid w:val="00BF697C"/>
    <w:rsid w:val="00C00AE1"/>
    <w:rsid w:val="00C01035"/>
    <w:rsid w:val="00C01F6A"/>
    <w:rsid w:val="00C021DE"/>
    <w:rsid w:val="00C0238D"/>
    <w:rsid w:val="00C025AC"/>
    <w:rsid w:val="00C04161"/>
    <w:rsid w:val="00C0474E"/>
    <w:rsid w:val="00C04BFC"/>
    <w:rsid w:val="00C04E7A"/>
    <w:rsid w:val="00C05210"/>
    <w:rsid w:val="00C05692"/>
    <w:rsid w:val="00C05937"/>
    <w:rsid w:val="00C06537"/>
    <w:rsid w:val="00C067FC"/>
    <w:rsid w:val="00C06C28"/>
    <w:rsid w:val="00C07A6B"/>
    <w:rsid w:val="00C10211"/>
    <w:rsid w:val="00C119B5"/>
    <w:rsid w:val="00C11CED"/>
    <w:rsid w:val="00C11FFA"/>
    <w:rsid w:val="00C12A2B"/>
    <w:rsid w:val="00C132F6"/>
    <w:rsid w:val="00C13C3F"/>
    <w:rsid w:val="00C144CD"/>
    <w:rsid w:val="00C14695"/>
    <w:rsid w:val="00C14FF7"/>
    <w:rsid w:val="00C158DE"/>
    <w:rsid w:val="00C15B4D"/>
    <w:rsid w:val="00C15C60"/>
    <w:rsid w:val="00C15DAE"/>
    <w:rsid w:val="00C15FE0"/>
    <w:rsid w:val="00C165E0"/>
    <w:rsid w:val="00C16BED"/>
    <w:rsid w:val="00C17752"/>
    <w:rsid w:val="00C208CE"/>
    <w:rsid w:val="00C20D0B"/>
    <w:rsid w:val="00C2120A"/>
    <w:rsid w:val="00C21590"/>
    <w:rsid w:val="00C22316"/>
    <w:rsid w:val="00C22494"/>
    <w:rsid w:val="00C227DA"/>
    <w:rsid w:val="00C2293F"/>
    <w:rsid w:val="00C229F9"/>
    <w:rsid w:val="00C22D57"/>
    <w:rsid w:val="00C22F03"/>
    <w:rsid w:val="00C23214"/>
    <w:rsid w:val="00C23A3F"/>
    <w:rsid w:val="00C244B4"/>
    <w:rsid w:val="00C25849"/>
    <w:rsid w:val="00C259E7"/>
    <w:rsid w:val="00C25F0A"/>
    <w:rsid w:val="00C25F4E"/>
    <w:rsid w:val="00C26D83"/>
    <w:rsid w:val="00C26E99"/>
    <w:rsid w:val="00C2738C"/>
    <w:rsid w:val="00C27A32"/>
    <w:rsid w:val="00C30D36"/>
    <w:rsid w:val="00C31FEE"/>
    <w:rsid w:val="00C32B68"/>
    <w:rsid w:val="00C32EF4"/>
    <w:rsid w:val="00C330F1"/>
    <w:rsid w:val="00C33110"/>
    <w:rsid w:val="00C33F63"/>
    <w:rsid w:val="00C341D9"/>
    <w:rsid w:val="00C34AFB"/>
    <w:rsid w:val="00C35D12"/>
    <w:rsid w:val="00C37202"/>
    <w:rsid w:val="00C40C68"/>
    <w:rsid w:val="00C417BA"/>
    <w:rsid w:val="00C418F8"/>
    <w:rsid w:val="00C41EF3"/>
    <w:rsid w:val="00C429D8"/>
    <w:rsid w:val="00C438EF"/>
    <w:rsid w:val="00C442D7"/>
    <w:rsid w:val="00C44621"/>
    <w:rsid w:val="00C46654"/>
    <w:rsid w:val="00C467DE"/>
    <w:rsid w:val="00C46CCB"/>
    <w:rsid w:val="00C473B9"/>
    <w:rsid w:val="00C47DF7"/>
    <w:rsid w:val="00C50191"/>
    <w:rsid w:val="00C50D3F"/>
    <w:rsid w:val="00C5144A"/>
    <w:rsid w:val="00C51507"/>
    <w:rsid w:val="00C51BD2"/>
    <w:rsid w:val="00C51E0D"/>
    <w:rsid w:val="00C51F83"/>
    <w:rsid w:val="00C52BE1"/>
    <w:rsid w:val="00C52F2B"/>
    <w:rsid w:val="00C54676"/>
    <w:rsid w:val="00C54E75"/>
    <w:rsid w:val="00C55148"/>
    <w:rsid w:val="00C55A74"/>
    <w:rsid w:val="00C5608A"/>
    <w:rsid w:val="00C561FD"/>
    <w:rsid w:val="00C562F6"/>
    <w:rsid w:val="00C5639A"/>
    <w:rsid w:val="00C56681"/>
    <w:rsid w:val="00C56932"/>
    <w:rsid w:val="00C56AD1"/>
    <w:rsid w:val="00C56BE4"/>
    <w:rsid w:val="00C5744E"/>
    <w:rsid w:val="00C57C32"/>
    <w:rsid w:val="00C57D30"/>
    <w:rsid w:val="00C57D8F"/>
    <w:rsid w:val="00C6032A"/>
    <w:rsid w:val="00C60362"/>
    <w:rsid w:val="00C60574"/>
    <w:rsid w:val="00C60622"/>
    <w:rsid w:val="00C60F31"/>
    <w:rsid w:val="00C61222"/>
    <w:rsid w:val="00C62355"/>
    <w:rsid w:val="00C623DD"/>
    <w:rsid w:val="00C62EB7"/>
    <w:rsid w:val="00C6305E"/>
    <w:rsid w:val="00C634DF"/>
    <w:rsid w:val="00C63587"/>
    <w:rsid w:val="00C64246"/>
    <w:rsid w:val="00C646D8"/>
    <w:rsid w:val="00C648FA"/>
    <w:rsid w:val="00C64CC7"/>
    <w:rsid w:val="00C65122"/>
    <w:rsid w:val="00C65DC8"/>
    <w:rsid w:val="00C65E4F"/>
    <w:rsid w:val="00C65FEB"/>
    <w:rsid w:val="00C66328"/>
    <w:rsid w:val="00C671BF"/>
    <w:rsid w:val="00C675C9"/>
    <w:rsid w:val="00C67BAB"/>
    <w:rsid w:val="00C67E34"/>
    <w:rsid w:val="00C7058B"/>
    <w:rsid w:val="00C7072A"/>
    <w:rsid w:val="00C70BAF"/>
    <w:rsid w:val="00C716BC"/>
    <w:rsid w:val="00C72667"/>
    <w:rsid w:val="00C72CD0"/>
    <w:rsid w:val="00C72DED"/>
    <w:rsid w:val="00C73FC9"/>
    <w:rsid w:val="00C762E6"/>
    <w:rsid w:val="00C76397"/>
    <w:rsid w:val="00C7650B"/>
    <w:rsid w:val="00C77212"/>
    <w:rsid w:val="00C7724E"/>
    <w:rsid w:val="00C777ED"/>
    <w:rsid w:val="00C8175B"/>
    <w:rsid w:val="00C8186E"/>
    <w:rsid w:val="00C823DD"/>
    <w:rsid w:val="00C828E9"/>
    <w:rsid w:val="00C82B36"/>
    <w:rsid w:val="00C82CEE"/>
    <w:rsid w:val="00C82ECF"/>
    <w:rsid w:val="00C84739"/>
    <w:rsid w:val="00C84DF1"/>
    <w:rsid w:val="00C85756"/>
    <w:rsid w:val="00C85DA1"/>
    <w:rsid w:val="00C87096"/>
    <w:rsid w:val="00C87529"/>
    <w:rsid w:val="00C879F5"/>
    <w:rsid w:val="00C9026C"/>
    <w:rsid w:val="00C907BE"/>
    <w:rsid w:val="00C91010"/>
    <w:rsid w:val="00C911BD"/>
    <w:rsid w:val="00C915D3"/>
    <w:rsid w:val="00C920E9"/>
    <w:rsid w:val="00C922D1"/>
    <w:rsid w:val="00C922DF"/>
    <w:rsid w:val="00C92ABC"/>
    <w:rsid w:val="00C92B95"/>
    <w:rsid w:val="00C9327F"/>
    <w:rsid w:val="00C93516"/>
    <w:rsid w:val="00C93BBE"/>
    <w:rsid w:val="00C9428B"/>
    <w:rsid w:val="00C94C74"/>
    <w:rsid w:val="00C95BAE"/>
    <w:rsid w:val="00CA07D3"/>
    <w:rsid w:val="00CA168F"/>
    <w:rsid w:val="00CA1D7E"/>
    <w:rsid w:val="00CA1E84"/>
    <w:rsid w:val="00CA30B6"/>
    <w:rsid w:val="00CA3BC3"/>
    <w:rsid w:val="00CA48AF"/>
    <w:rsid w:val="00CA492B"/>
    <w:rsid w:val="00CA4BBA"/>
    <w:rsid w:val="00CA4CE1"/>
    <w:rsid w:val="00CA5D30"/>
    <w:rsid w:val="00CA60D2"/>
    <w:rsid w:val="00CA67E0"/>
    <w:rsid w:val="00CA6AF9"/>
    <w:rsid w:val="00CA6E06"/>
    <w:rsid w:val="00CA6FF4"/>
    <w:rsid w:val="00CA756C"/>
    <w:rsid w:val="00CA79E0"/>
    <w:rsid w:val="00CA7B0A"/>
    <w:rsid w:val="00CB013F"/>
    <w:rsid w:val="00CB0BCD"/>
    <w:rsid w:val="00CB155D"/>
    <w:rsid w:val="00CB1F3B"/>
    <w:rsid w:val="00CB2B9A"/>
    <w:rsid w:val="00CB37DF"/>
    <w:rsid w:val="00CB3BA2"/>
    <w:rsid w:val="00CB46ED"/>
    <w:rsid w:val="00CB49CF"/>
    <w:rsid w:val="00CB4B70"/>
    <w:rsid w:val="00CB5574"/>
    <w:rsid w:val="00CB5F81"/>
    <w:rsid w:val="00CB629C"/>
    <w:rsid w:val="00CB62A5"/>
    <w:rsid w:val="00CB65F7"/>
    <w:rsid w:val="00CB78EF"/>
    <w:rsid w:val="00CC070A"/>
    <w:rsid w:val="00CC0945"/>
    <w:rsid w:val="00CC0FBE"/>
    <w:rsid w:val="00CC11D6"/>
    <w:rsid w:val="00CC15A1"/>
    <w:rsid w:val="00CC16B5"/>
    <w:rsid w:val="00CC1E11"/>
    <w:rsid w:val="00CC29E1"/>
    <w:rsid w:val="00CC2E6E"/>
    <w:rsid w:val="00CC3D8B"/>
    <w:rsid w:val="00CC53E3"/>
    <w:rsid w:val="00CC5D88"/>
    <w:rsid w:val="00CC6384"/>
    <w:rsid w:val="00CC73AF"/>
    <w:rsid w:val="00CC7766"/>
    <w:rsid w:val="00CD0542"/>
    <w:rsid w:val="00CD0A6A"/>
    <w:rsid w:val="00CD1162"/>
    <w:rsid w:val="00CD1D6D"/>
    <w:rsid w:val="00CD1FC2"/>
    <w:rsid w:val="00CD221C"/>
    <w:rsid w:val="00CD2CA7"/>
    <w:rsid w:val="00CD3BD4"/>
    <w:rsid w:val="00CD4871"/>
    <w:rsid w:val="00CD571C"/>
    <w:rsid w:val="00CD5C9A"/>
    <w:rsid w:val="00CD6553"/>
    <w:rsid w:val="00CD6A59"/>
    <w:rsid w:val="00CD6B92"/>
    <w:rsid w:val="00CD6E28"/>
    <w:rsid w:val="00CD7F5C"/>
    <w:rsid w:val="00CE076F"/>
    <w:rsid w:val="00CE1140"/>
    <w:rsid w:val="00CE18F2"/>
    <w:rsid w:val="00CE20E1"/>
    <w:rsid w:val="00CE2880"/>
    <w:rsid w:val="00CE2D5C"/>
    <w:rsid w:val="00CE331C"/>
    <w:rsid w:val="00CE47CB"/>
    <w:rsid w:val="00CE483E"/>
    <w:rsid w:val="00CE497E"/>
    <w:rsid w:val="00CE5787"/>
    <w:rsid w:val="00CE5BBA"/>
    <w:rsid w:val="00CE5E40"/>
    <w:rsid w:val="00CE65B9"/>
    <w:rsid w:val="00CE68F9"/>
    <w:rsid w:val="00CE6AF3"/>
    <w:rsid w:val="00CE6CBA"/>
    <w:rsid w:val="00CE71FD"/>
    <w:rsid w:val="00CE75FF"/>
    <w:rsid w:val="00CE7BC9"/>
    <w:rsid w:val="00CF087D"/>
    <w:rsid w:val="00CF2EF4"/>
    <w:rsid w:val="00CF2FE9"/>
    <w:rsid w:val="00CF3554"/>
    <w:rsid w:val="00CF427E"/>
    <w:rsid w:val="00CF44AF"/>
    <w:rsid w:val="00CF4991"/>
    <w:rsid w:val="00CF601D"/>
    <w:rsid w:val="00CF67AD"/>
    <w:rsid w:val="00CF77DD"/>
    <w:rsid w:val="00D0143D"/>
    <w:rsid w:val="00D0145F"/>
    <w:rsid w:val="00D015C2"/>
    <w:rsid w:val="00D02866"/>
    <w:rsid w:val="00D02B6E"/>
    <w:rsid w:val="00D0352F"/>
    <w:rsid w:val="00D03887"/>
    <w:rsid w:val="00D03BA3"/>
    <w:rsid w:val="00D040FA"/>
    <w:rsid w:val="00D04B5C"/>
    <w:rsid w:val="00D04D46"/>
    <w:rsid w:val="00D05495"/>
    <w:rsid w:val="00D055B5"/>
    <w:rsid w:val="00D05624"/>
    <w:rsid w:val="00D066F1"/>
    <w:rsid w:val="00D068A1"/>
    <w:rsid w:val="00D100FD"/>
    <w:rsid w:val="00D100FE"/>
    <w:rsid w:val="00D10FB5"/>
    <w:rsid w:val="00D1103B"/>
    <w:rsid w:val="00D11236"/>
    <w:rsid w:val="00D122D8"/>
    <w:rsid w:val="00D125FF"/>
    <w:rsid w:val="00D12F8D"/>
    <w:rsid w:val="00D13330"/>
    <w:rsid w:val="00D14802"/>
    <w:rsid w:val="00D14CF7"/>
    <w:rsid w:val="00D158BF"/>
    <w:rsid w:val="00D15AF6"/>
    <w:rsid w:val="00D16156"/>
    <w:rsid w:val="00D17250"/>
    <w:rsid w:val="00D17976"/>
    <w:rsid w:val="00D2063C"/>
    <w:rsid w:val="00D20A39"/>
    <w:rsid w:val="00D20FCA"/>
    <w:rsid w:val="00D21EC5"/>
    <w:rsid w:val="00D22773"/>
    <w:rsid w:val="00D23066"/>
    <w:rsid w:val="00D231F2"/>
    <w:rsid w:val="00D241D0"/>
    <w:rsid w:val="00D2526E"/>
    <w:rsid w:val="00D25394"/>
    <w:rsid w:val="00D25AC0"/>
    <w:rsid w:val="00D25C69"/>
    <w:rsid w:val="00D27529"/>
    <w:rsid w:val="00D3074B"/>
    <w:rsid w:val="00D30822"/>
    <w:rsid w:val="00D30A47"/>
    <w:rsid w:val="00D3110F"/>
    <w:rsid w:val="00D318C7"/>
    <w:rsid w:val="00D31C2C"/>
    <w:rsid w:val="00D31E19"/>
    <w:rsid w:val="00D32607"/>
    <w:rsid w:val="00D32E22"/>
    <w:rsid w:val="00D33537"/>
    <w:rsid w:val="00D33644"/>
    <w:rsid w:val="00D33F10"/>
    <w:rsid w:val="00D33FE9"/>
    <w:rsid w:val="00D345C7"/>
    <w:rsid w:val="00D3494E"/>
    <w:rsid w:val="00D34B1B"/>
    <w:rsid w:val="00D34DBE"/>
    <w:rsid w:val="00D366BA"/>
    <w:rsid w:val="00D36978"/>
    <w:rsid w:val="00D40BBB"/>
    <w:rsid w:val="00D40D30"/>
    <w:rsid w:val="00D41053"/>
    <w:rsid w:val="00D414D0"/>
    <w:rsid w:val="00D41B82"/>
    <w:rsid w:val="00D41D4C"/>
    <w:rsid w:val="00D4268E"/>
    <w:rsid w:val="00D42D61"/>
    <w:rsid w:val="00D4313F"/>
    <w:rsid w:val="00D43A6C"/>
    <w:rsid w:val="00D43FB5"/>
    <w:rsid w:val="00D441F7"/>
    <w:rsid w:val="00D4578D"/>
    <w:rsid w:val="00D458BF"/>
    <w:rsid w:val="00D45A46"/>
    <w:rsid w:val="00D45BC0"/>
    <w:rsid w:val="00D45F45"/>
    <w:rsid w:val="00D45F78"/>
    <w:rsid w:val="00D467BF"/>
    <w:rsid w:val="00D46964"/>
    <w:rsid w:val="00D46A7D"/>
    <w:rsid w:val="00D4706D"/>
    <w:rsid w:val="00D4755B"/>
    <w:rsid w:val="00D5132C"/>
    <w:rsid w:val="00D5170F"/>
    <w:rsid w:val="00D51B78"/>
    <w:rsid w:val="00D51BE0"/>
    <w:rsid w:val="00D51DE3"/>
    <w:rsid w:val="00D51E2D"/>
    <w:rsid w:val="00D524B3"/>
    <w:rsid w:val="00D52544"/>
    <w:rsid w:val="00D52B34"/>
    <w:rsid w:val="00D53504"/>
    <w:rsid w:val="00D53897"/>
    <w:rsid w:val="00D54393"/>
    <w:rsid w:val="00D55E56"/>
    <w:rsid w:val="00D560E7"/>
    <w:rsid w:val="00D56973"/>
    <w:rsid w:val="00D56BC1"/>
    <w:rsid w:val="00D57240"/>
    <w:rsid w:val="00D57263"/>
    <w:rsid w:val="00D575BE"/>
    <w:rsid w:val="00D57E5C"/>
    <w:rsid w:val="00D606AF"/>
    <w:rsid w:val="00D60733"/>
    <w:rsid w:val="00D609AC"/>
    <w:rsid w:val="00D60AB1"/>
    <w:rsid w:val="00D6102F"/>
    <w:rsid w:val="00D6195C"/>
    <w:rsid w:val="00D61976"/>
    <w:rsid w:val="00D62368"/>
    <w:rsid w:val="00D624C8"/>
    <w:rsid w:val="00D62774"/>
    <w:rsid w:val="00D627C3"/>
    <w:rsid w:val="00D63886"/>
    <w:rsid w:val="00D63D63"/>
    <w:rsid w:val="00D642E3"/>
    <w:rsid w:val="00D64816"/>
    <w:rsid w:val="00D649E0"/>
    <w:rsid w:val="00D65075"/>
    <w:rsid w:val="00D656DD"/>
    <w:rsid w:val="00D65DDE"/>
    <w:rsid w:val="00D6615F"/>
    <w:rsid w:val="00D66FDC"/>
    <w:rsid w:val="00D672AB"/>
    <w:rsid w:val="00D721D5"/>
    <w:rsid w:val="00D72A1B"/>
    <w:rsid w:val="00D72B0B"/>
    <w:rsid w:val="00D73159"/>
    <w:rsid w:val="00D73B1A"/>
    <w:rsid w:val="00D741AD"/>
    <w:rsid w:val="00D74644"/>
    <w:rsid w:val="00D74BF5"/>
    <w:rsid w:val="00D75424"/>
    <w:rsid w:val="00D75511"/>
    <w:rsid w:val="00D76921"/>
    <w:rsid w:val="00D76A20"/>
    <w:rsid w:val="00D774FD"/>
    <w:rsid w:val="00D77A38"/>
    <w:rsid w:val="00D77EAD"/>
    <w:rsid w:val="00D77F83"/>
    <w:rsid w:val="00D77F9D"/>
    <w:rsid w:val="00D80508"/>
    <w:rsid w:val="00D8090E"/>
    <w:rsid w:val="00D811B5"/>
    <w:rsid w:val="00D81A8F"/>
    <w:rsid w:val="00D81D4E"/>
    <w:rsid w:val="00D81F15"/>
    <w:rsid w:val="00D82390"/>
    <w:rsid w:val="00D83522"/>
    <w:rsid w:val="00D842CD"/>
    <w:rsid w:val="00D84536"/>
    <w:rsid w:val="00D8484A"/>
    <w:rsid w:val="00D849E7"/>
    <w:rsid w:val="00D85BCC"/>
    <w:rsid w:val="00D85F60"/>
    <w:rsid w:val="00D85FE8"/>
    <w:rsid w:val="00D862D2"/>
    <w:rsid w:val="00D86AB9"/>
    <w:rsid w:val="00D87208"/>
    <w:rsid w:val="00D87496"/>
    <w:rsid w:val="00D87B90"/>
    <w:rsid w:val="00D909D7"/>
    <w:rsid w:val="00D90ADC"/>
    <w:rsid w:val="00D91357"/>
    <w:rsid w:val="00D915FA"/>
    <w:rsid w:val="00D927C7"/>
    <w:rsid w:val="00D930CC"/>
    <w:rsid w:val="00D933E6"/>
    <w:rsid w:val="00D93D7E"/>
    <w:rsid w:val="00D94BB1"/>
    <w:rsid w:val="00D94DAD"/>
    <w:rsid w:val="00D94F97"/>
    <w:rsid w:val="00D97305"/>
    <w:rsid w:val="00D976CC"/>
    <w:rsid w:val="00D979ED"/>
    <w:rsid w:val="00DA04EA"/>
    <w:rsid w:val="00DA079D"/>
    <w:rsid w:val="00DA22EE"/>
    <w:rsid w:val="00DA2E0A"/>
    <w:rsid w:val="00DA39BC"/>
    <w:rsid w:val="00DA438F"/>
    <w:rsid w:val="00DA594D"/>
    <w:rsid w:val="00DA6179"/>
    <w:rsid w:val="00DA69C9"/>
    <w:rsid w:val="00DA6A88"/>
    <w:rsid w:val="00DA6BF1"/>
    <w:rsid w:val="00DA7CCB"/>
    <w:rsid w:val="00DB0350"/>
    <w:rsid w:val="00DB14AC"/>
    <w:rsid w:val="00DB152B"/>
    <w:rsid w:val="00DB1744"/>
    <w:rsid w:val="00DB2D8B"/>
    <w:rsid w:val="00DB4FB9"/>
    <w:rsid w:val="00DB54F5"/>
    <w:rsid w:val="00DB68B1"/>
    <w:rsid w:val="00DB6CA5"/>
    <w:rsid w:val="00DB758B"/>
    <w:rsid w:val="00DC0223"/>
    <w:rsid w:val="00DC0A09"/>
    <w:rsid w:val="00DC18EE"/>
    <w:rsid w:val="00DC3C4C"/>
    <w:rsid w:val="00DC4D9D"/>
    <w:rsid w:val="00DC579D"/>
    <w:rsid w:val="00DC5B6E"/>
    <w:rsid w:val="00DC5B7E"/>
    <w:rsid w:val="00DC5CA9"/>
    <w:rsid w:val="00DC682F"/>
    <w:rsid w:val="00DC7230"/>
    <w:rsid w:val="00DC7534"/>
    <w:rsid w:val="00DD0175"/>
    <w:rsid w:val="00DD0AA4"/>
    <w:rsid w:val="00DD0CA6"/>
    <w:rsid w:val="00DD0EC4"/>
    <w:rsid w:val="00DD2377"/>
    <w:rsid w:val="00DD2B6E"/>
    <w:rsid w:val="00DD335E"/>
    <w:rsid w:val="00DD3D90"/>
    <w:rsid w:val="00DD41EC"/>
    <w:rsid w:val="00DD458A"/>
    <w:rsid w:val="00DD4E1E"/>
    <w:rsid w:val="00DD4EB2"/>
    <w:rsid w:val="00DD5661"/>
    <w:rsid w:val="00DD5F2D"/>
    <w:rsid w:val="00DD65B9"/>
    <w:rsid w:val="00DD6AD5"/>
    <w:rsid w:val="00DD76B1"/>
    <w:rsid w:val="00DE04D3"/>
    <w:rsid w:val="00DE07FC"/>
    <w:rsid w:val="00DE0A16"/>
    <w:rsid w:val="00DE1050"/>
    <w:rsid w:val="00DE111E"/>
    <w:rsid w:val="00DE20B2"/>
    <w:rsid w:val="00DE2AAC"/>
    <w:rsid w:val="00DE300D"/>
    <w:rsid w:val="00DE3411"/>
    <w:rsid w:val="00DE42B5"/>
    <w:rsid w:val="00DE5F8A"/>
    <w:rsid w:val="00DE60E2"/>
    <w:rsid w:val="00DE6A93"/>
    <w:rsid w:val="00DE6D78"/>
    <w:rsid w:val="00DE74D7"/>
    <w:rsid w:val="00DE768E"/>
    <w:rsid w:val="00DE76A0"/>
    <w:rsid w:val="00DF0527"/>
    <w:rsid w:val="00DF0A56"/>
    <w:rsid w:val="00DF166D"/>
    <w:rsid w:val="00DF1E25"/>
    <w:rsid w:val="00DF3000"/>
    <w:rsid w:val="00DF3710"/>
    <w:rsid w:val="00DF3D9B"/>
    <w:rsid w:val="00DF3ECC"/>
    <w:rsid w:val="00DF517C"/>
    <w:rsid w:val="00DF6215"/>
    <w:rsid w:val="00DF63A0"/>
    <w:rsid w:val="00E0113C"/>
    <w:rsid w:val="00E016BD"/>
    <w:rsid w:val="00E018A5"/>
    <w:rsid w:val="00E0285B"/>
    <w:rsid w:val="00E02BF4"/>
    <w:rsid w:val="00E03623"/>
    <w:rsid w:val="00E04512"/>
    <w:rsid w:val="00E04719"/>
    <w:rsid w:val="00E05231"/>
    <w:rsid w:val="00E0524A"/>
    <w:rsid w:val="00E05875"/>
    <w:rsid w:val="00E06111"/>
    <w:rsid w:val="00E06A5D"/>
    <w:rsid w:val="00E072EE"/>
    <w:rsid w:val="00E1067C"/>
    <w:rsid w:val="00E10BFF"/>
    <w:rsid w:val="00E1107E"/>
    <w:rsid w:val="00E1142A"/>
    <w:rsid w:val="00E11709"/>
    <w:rsid w:val="00E12303"/>
    <w:rsid w:val="00E12810"/>
    <w:rsid w:val="00E12B77"/>
    <w:rsid w:val="00E13972"/>
    <w:rsid w:val="00E13AD4"/>
    <w:rsid w:val="00E13EB4"/>
    <w:rsid w:val="00E153E9"/>
    <w:rsid w:val="00E15A53"/>
    <w:rsid w:val="00E16322"/>
    <w:rsid w:val="00E1687C"/>
    <w:rsid w:val="00E171E0"/>
    <w:rsid w:val="00E17418"/>
    <w:rsid w:val="00E17C50"/>
    <w:rsid w:val="00E2112F"/>
    <w:rsid w:val="00E21BE7"/>
    <w:rsid w:val="00E21C10"/>
    <w:rsid w:val="00E2202D"/>
    <w:rsid w:val="00E22206"/>
    <w:rsid w:val="00E223F5"/>
    <w:rsid w:val="00E22501"/>
    <w:rsid w:val="00E2252A"/>
    <w:rsid w:val="00E22613"/>
    <w:rsid w:val="00E227BF"/>
    <w:rsid w:val="00E230FE"/>
    <w:rsid w:val="00E2397F"/>
    <w:rsid w:val="00E2464B"/>
    <w:rsid w:val="00E24C7C"/>
    <w:rsid w:val="00E25130"/>
    <w:rsid w:val="00E26043"/>
    <w:rsid w:val="00E2604B"/>
    <w:rsid w:val="00E2657B"/>
    <w:rsid w:val="00E26671"/>
    <w:rsid w:val="00E26810"/>
    <w:rsid w:val="00E26C62"/>
    <w:rsid w:val="00E27797"/>
    <w:rsid w:val="00E30241"/>
    <w:rsid w:val="00E30718"/>
    <w:rsid w:val="00E31DBB"/>
    <w:rsid w:val="00E31FC5"/>
    <w:rsid w:val="00E3237A"/>
    <w:rsid w:val="00E324F5"/>
    <w:rsid w:val="00E32713"/>
    <w:rsid w:val="00E329A1"/>
    <w:rsid w:val="00E32D1D"/>
    <w:rsid w:val="00E3332E"/>
    <w:rsid w:val="00E337E8"/>
    <w:rsid w:val="00E35D19"/>
    <w:rsid w:val="00E35F69"/>
    <w:rsid w:val="00E36A17"/>
    <w:rsid w:val="00E405A2"/>
    <w:rsid w:val="00E405F2"/>
    <w:rsid w:val="00E40BE3"/>
    <w:rsid w:val="00E40DD7"/>
    <w:rsid w:val="00E41F9A"/>
    <w:rsid w:val="00E427F8"/>
    <w:rsid w:val="00E43232"/>
    <w:rsid w:val="00E45924"/>
    <w:rsid w:val="00E45F96"/>
    <w:rsid w:val="00E4682F"/>
    <w:rsid w:val="00E46C31"/>
    <w:rsid w:val="00E4793B"/>
    <w:rsid w:val="00E47F64"/>
    <w:rsid w:val="00E50A6B"/>
    <w:rsid w:val="00E5155F"/>
    <w:rsid w:val="00E52884"/>
    <w:rsid w:val="00E52956"/>
    <w:rsid w:val="00E544D7"/>
    <w:rsid w:val="00E54F4F"/>
    <w:rsid w:val="00E550FB"/>
    <w:rsid w:val="00E55812"/>
    <w:rsid w:val="00E55A85"/>
    <w:rsid w:val="00E55E28"/>
    <w:rsid w:val="00E56356"/>
    <w:rsid w:val="00E56820"/>
    <w:rsid w:val="00E56F1D"/>
    <w:rsid w:val="00E577D4"/>
    <w:rsid w:val="00E57ACA"/>
    <w:rsid w:val="00E60177"/>
    <w:rsid w:val="00E601D8"/>
    <w:rsid w:val="00E605A5"/>
    <w:rsid w:val="00E60E4F"/>
    <w:rsid w:val="00E63B62"/>
    <w:rsid w:val="00E643DF"/>
    <w:rsid w:val="00E6465D"/>
    <w:rsid w:val="00E646CF"/>
    <w:rsid w:val="00E657A9"/>
    <w:rsid w:val="00E66032"/>
    <w:rsid w:val="00E66C70"/>
    <w:rsid w:val="00E66E57"/>
    <w:rsid w:val="00E67495"/>
    <w:rsid w:val="00E67B0F"/>
    <w:rsid w:val="00E70DCD"/>
    <w:rsid w:val="00E70F93"/>
    <w:rsid w:val="00E713C9"/>
    <w:rsid w:val="00E7228E"/>
    <w:rsid w:val="00E729FA"/>
    <w:rsid w:val="00E72BFE"/>
    <w:rsid w:val="00E73C4B"/>
    <w:rsid w:val="00E742FF"/>
    <w:rsid w:val="00E744FA"/>
    <w:rsid w:val="00E762C8"/>
    <w:rsid w:val="00E76548"/>
    <w:rsid w:val="00E76E59"/>
    <w:rsid w:val="00E77881"/>
    <w:rsid w:val="00E77C2C"/>
    <w:rsid w:val="00E801E2"/>
    <w:rsid w:val="00E805E4"/>
    <w:rsid w:val="00E80C6B"/>
    <w:rsid w:val="00E81419"/>
    <w:rsid w:val="00E81B05"/>
    <w:rsid w:val="00E81CBD"/>
    <w:rsid w:val="00E82512"/>
    <w:rsid w:val="00E826AB"/>
    <w:rsid w:val="00E82D10"/>
    <w:rsid w:val="00E82E9F"/>
    <w:rsid w:val="00E83E2D"/>
    <w:rsid w:val="00E840EC"/>
    <w:rsid w:val="00E84A08"/>
    <w:rsid w:val="00E8516C"/>
    <w:rsid w:val="00E8540E"/>
    <w:rsid w:val="00E8546B"/>
    <w:rsid w:val="00E85D64"/>
    <w:rsid w:val="00E86E13"/>
    <w:rsid w:val="00E86E4C"/>
    <w:rsid w:val="00E872E5"/>
    <w:rsid w:val="00E87807"/>
    <w:rsid w:val="00E904F0"/>
    <w:rsid w:val="00E90698"/>
    <w:rsid w:val="00E90ED9"/>
    <w:rsid w:val="00E91099"/>
    <w:rsid w:val="00E91DF1"/>
    <w:rsid w:val="00E92216"/>
    <w:rsid w:val="00E92932"/>
    <w:rsid w:val="00E93C8B"/>
    <w:rsid w:val="00E94288"/>
    <w:rsid w:val="00E9557E"/>
    <w:rsid w:val="00E95774"/>
    <w:rsid w:val="00E95815"/>
    <w:rsid w:val="00E959A9"/>
    <w:rsid w:val="00E96046"/>
    <w:rsid w:val="00E96409"/>
    <w:rsid w:val="00E96BAD"/>
    <w:rsid w:val="00E970E8"/>
    <w:rsid w:val="00E97254"/>
    <w:rsid w:val="00E97DF8"/>
    <w:rsid w:val="00EA0EB0"/>
    <w:rsid w:val="00EA26AE"/>
    <w:rsid w:val="00EA5181"/>
    <w:rsid w:val="00EA537B"/>
    <w:rsid w:val="00EA5541"/>
    <w:rsid w:val="00EA5C52"/>
    <w:rsid w:val="00EA6081"/>
    <w:rsid w:val="00EA7193"/>
    <w:rsid w:val="00EA7E9D"/>
    <w:rsid w:val="00EB09A3"/>
    <w:rsid w:val="00EB0ECA"/>
    <w:rsid w:val="00EB0ED1"/>
    <w:rsid w:val="00EB1C55"/>
    <w:rsid w:val="00EB1DD0"/>
    <w:rsid w:val="00EB3549"/>
    <w:rsid w:val="00EB4D6F"/>
    <w:rsid w:val="00EB4E8C"/>
    <w:rsid w:val="00EB4F5F"/>
    <w:rsid w:val="00EB5EE2"/>
    <w:rsid w:val="00EB60AF"/>
    <w:rsid w:val="00EB63DE"/>
    <w:rsid w:val="00EB6CE1"/>
    <w:rsid w:val="00EB729E"/>
    <w:rsid w:val="00EB7894"/>
    <w:rsid w:val="00EB7A4F"/>
    <w:rsid w:val="00EB7BF9"/>
    <w:rsid w:val="00EB7C65"/>
    <w:rsid w:val="00EB7D9C"/>
    <w:rsid w:val="00EC0705"/>
    <w:rsid w:val="00EC14FB"/>
    <w:rsid w:val="00EC19B1"/>
    <w:rsid w:val="00EC288E"/>
    <w:rsid w:val="00EC2BEA"/>
    <w:rsid w:val="00EC2CA6"/>
    <w:rsid w:val="00EC4DD8"/>
    <w:rsid w:val="00EC53A4"/>
    <w:rsid w:val="00EC549C"/>
    <w:rsid w:val="00EC5B9F"/>
    <w:rsid w:val="00EC5E6A"/>
    <w:rsid w:val="00EC64C6"/>
    <w:rsid w:val="00EC681B"/>
    <w:rsid w:val="00EC7126"/>
    <w:rsid w:val="00EC7659"/>
    <w:rsid w:val="00EC772A"/>
    <w:rsid w:val="00EC7767"/>
    <w:rsid w:val="00EC7F1B"/>
    <w:rsid w:val="00ED002F"/>
    <w:rsid w:val="00ED010B"/>
    <w:rsid w:val="00ED0A38"/>
    <w:rsid w:val="00ED0B1D"/>
    <w:rsid w:val="00ED0EBE"/>
    <w:rsid w:val="00ED13F7"/>
    <w:rsid w:val="00ED1CEA"/>
    <w:rsid w:val="00ED2E1A"/>
    <w:rsid w:val="00ED3905"/>
    <w:rsid w:val="00ED421D"/>
    <w:rsid w:val="00ED46A5"/>
    <w:rsid w:val="00ED5163"/>
    <w:rsid w:val="00ED53CC"/>
    <w:rsid w:val="00ED54FD"/>
    <w:rsid w:val="00ED54FE"/>
    <w:rsid w:val="00ED5ABC"/>
    <w:rsid w:val="00ED6137"/>
    <w:rsid w:val="00ED624A"/>
    <w:rsid w:val="00ED636D"/>
    <w:rsid w:val="00ED65B5"/>
    <w:rsid w:val="00ED6AFA"/>
    <w:rsid w:val="00ED721C"/>
    <w:rsid w:val="00EE007C"/>
    <w:rsid w:val="00EE1785"/>
    <w:rsid w:val="00EE24E4"/>
    <w:rsid w:val="00EE2D76"/>
    <w:rsid w:val="00EE37A2"/>
    <w:rsid w:val="00EE4BA8"/>
    <w:rsid w:val="00EE4EF4"/>
    <w:rsid w:val="00EE4FCB"/>
    <w:rsid w:val="00EE5576"/>
    <w:rsid w:val="00EE6380"/>
    <w:rsid w:val="00EE647A"/>
    <w:rsid w:val="00EE7097"/>
    <w:rsid w:val="00EF0968"/>
    <w:rsid w:val="00EF1261"/>
    <w:rsid w:val="00EF15E6"/>
    <w:rsid w:val="00EF1AE0"/>
    <w:rsid w:val="00EF2B34"/>
    <w:rsid w:val="00EF2BA7"/>
    <w:rsid w:val="00EF2DF5"/>
    <w:rsid w:val="00EF2ECF"/>
    <w:rsid w:val="00EF3500"/>
    <w:rsid w:val="00EF41B2"/>
    <w:rsid w:val="00EF4E70"/>
    <w:rsid w:val="00EF6ABD"/>
    <w:rsid w:val="00EF7ADC"/>
    <w:rsid w:val="00EF7F25"/>
    <w:rsid w:val="00F009DB"/>
    <w:rsid w:val="00F01979"/>
    <w:rsid w:val="00F0335C"/>
    <w:rsid w:val="00F0414B"/>
    <w:rsid w:val="00F04AFF"/>
    <w:rsid w:val="00F04BCB"/>
    <w:rsid w:val="00F06775"/>
    <w:rsid w:val="00F067F2"/>
    <w:rsid w:val="00F0770C"/>
    <w:rsid w:val="00F07F93"/>
    <w:rsid w:val="00F10B08"/>
    <w:rsid w:val="00F10B8A"/>
    <w:rsid w:val="00F11123"/>
    <w:rsid w:val="00F115C9"/>
    <w:rsid w:val="00F11783"/>
    <w:rsid w:val="00F11BAE"/>
    <w:rsid w:val="00F11E1D"/>
    <w:rsid w:val="00F12232"/>
    <w:rsid w:val="00F12325"/>
    <w:rsid w:val="00F12B2A"/>
    <w:rsid w:val="00F13D17"/>
    <w:rsid w:val="00F14247"/>
    <w:rsid w:val="00F14C6E"/>
    <w:rsid w:val="00F14D2C"/>
    <w:rsid w:val="00F154D0"/>
    <w:rsid w:val="00F15A7E"/>
    <w:rsid w:val="00F15F25"/>
    <w:rsid w:val="00F16A8E"/>
    <w:rsid w:val="00F16ED2"/>
    <w:rsid w:val="00F201B3"/>
    <w:rsid w:val="00F20BD7"/>
    <w:rsid w:val="00F21614"/>
    <w:rsid w:val="00F21D62"/>
    <w:rsid w:val="00F21F54"/>
    <w:rsid w:val="00F22537"/>
    <w:rsid w:val="00F239B4"/>
    <w:rsid w:val="00F23B56"/>
    <w:rsid w:val="00F23DDB"/>
    <w:rsid w:val="00F25E37"/>
    <w:rsid w:val="00F27E85"/>
    <w:rsid w:val="00F31331"/>
    <w:rsid w:val="00F31CB8"/>
    <w:rsid w:val="00F32868"/>
    <w:rsid w:val="00F33493"/>
    <w:rsid w:val="00F34653"/>
    <w:rsid w:val="00F367AC"/>
    <w:rsid w:val="00F36C50"/>
    <w:rsid w:val="00F40A7D"/>
    <w:rsid w:val="00F40FD3"/>
    <w:rsid w:val="00F4278A"/>
    <w:rsid w:val="00F4297B"/>
    <w:rsid w:val="00F4299F"/>
    <w:rsid w:val="00F432D3"/>
    <w:rsid w:val="00F43BC1"/>
    <w:rsid w:val="00F43EA2"/>
    <w:rsid w:val="00F445CF"/>
    <w:rsid w:val="00F44668"/>
    <w:rsid w:val="00F44A91"/>
    <w:rsid w:val="00F45295"/>
    <w:rsid w:val="00F455AF"/>
    <w:rsid w:val="00F459E6"/>
    <w:rsid w:val="00F46661"/>
    <w:rsid w:val="00F47051"/>
    <w:rsid w:val="00F504FB"/>
    <w:rsid w:val="00F5050E"/>
    <w:rsid w:val="00F51A81"/>
    <w:rsid w:val="00F51C2A"/>
    <w:rsid w:val="00F52D51"/>
    <w:rsid w:val="00F52D92"/>
    <w:rsid w:val="00F52DF4"/>
    <w:rsid w:val="00F5369E"/>
    <w:rsid w:val="00F5370F"/>
    <w:rsid w:val="00F5422C"/>
    <w:rsid w:val="00F544F8"/>
    <w:rsid w:val="00F546DE"/>
    <w:rsid w:val="00F55963"/>
    <w:rsid w:val="00F55DDC"/>
    <w:rsid w:val="00F56267"/>
    <w:rsid w:val="00F5679A"/>
    <w:rsid w:val="00F56AB4"/>
    <w:rsid w:val="00F60021"/>
    <w:rsid w:val="00F63066"/>
    <w:rsid w:val="00F63CB7"/>
    <w:rsid w:val="00F63CCE"/>
    <w:rsid w:val="00F63D08"/>
    <w:rsid w:val="00F63E00"/>
    <w:rsid w:val="00F6401A"/>
    <w:rsid w:val="00F643AF"/>
    <w:rsid w:val="00F64AC8"/>
    <w:rsid w:val="00F64F4E"/>
    <w:rsid w:val="00F658A1"/>
    <w:rsid w:val="00F6604B"/>
    <w:rsid w:val="00F660EC"/>
    <w:rsid w:val="00F66718"/>
    <w:rsid w:val="00F67136"/>
    <w:rsid w:val="00F6739C"/>
    <w:rsid w:val="00F67591"/>
    <w:rsid w:val="00F67C08"/>
    <w:rsid w:val="00F70405"/>
    <w:rsid w:val="00F71510"/>
    <w:rsid w:val="00F71820"/>
    <w:rsid w:val="00F719DA"/>
    <w:rsid w:val="00F71A31"/>
    <w:rsid w:val="00F71C7B"/>
    <w:rsid w:val="00F71F0C"/>
    <w:rsid w:val="00F7260D"/>
    <w:rsid w:val="00F728FB"/>
    <w:rsid w:val="00F730F9"/>
    <w:rsid w:val="00F733C2"/>
    <w:rsid w:val="00F7345F"/>
    <w:rsid w:val="00F738DE"/>
    <w:rsid w:val="00F73C00"/>
    <w:rsid w:val="00F73DFE"/>
    <w:rsid w:val="00F745E6"/>
    <w:rsid w:val="00F74CFF"/>
    <w:rsid w:val="00F75456"/>
    <w:rsid w:val="00F75758"/>
    <w:rsid w:val="00F75CBF"/>
    <w:rsid w:val="00F75DE3"/>
    <w:rsid w:val="00F76E8C"/>
    <w:rsid w:val="00F76F12"/>
    <w:rsid w:val="00F77C3F"/>
    <w:rsid w:val="00F800CF"/>
    <w:rsid w:val="00F804FA"/>
    <w:rsid w:val="00F80933"/>
    <w:rsid w:val="00F80BE6"/>
    <w:rsid w:val="00F80E7F"/>
    <w:rsid w:val="00F80F64"/>
    <w:rsid w:val="00F813DA"/>
    <w:rsid w:val="00F81720"/>
    <w:rsid w:val="00F81903"/>
    <w:rsid w:val="00F81E19"/>
    <w:rsid w:val="00F81E5A"/>
    <w:rsid w:val="00F81FC3"/>
    <w:rsid w:val="00F83EBF"/>
    <w:rsid w:val="00F86035"/>
    <w:rsid w:val="00F87B97"/>
    <w:rsid w:val="00F87D7A"/>
    <w:rsid w:val="00F900D1"/>
    <w:rsid w:val="00F90C46"/>
    <w:rsid w:val="00F90D39"/>
    <w:rsid w:val="00F90FAD"/>
    <w:rsid w:val="00F917D5"/>
    <w:rsid w:val="00F922C5"/>
    <w:rsid w:val="00F9250A"/>
    <w:rsid w:val="00F928FC"/>
    <w:rsid w:val="00F9367F"/>
    <w:rsid w:val="00F93B07"/>
    <w:rsid w:val="00F940D3"/>
    <w:rsid w:val="00F940E9"/>
    <w:rsid w:val="00F958E3"/>
    <w:rsid w:val="00F95B79"/>
    <w:rsid w:val="00F95E78"/>
    <w:rsid w:val="00F97129"/>
    <w:rsid w:val="00F977D4"/>
    <w:rsid w:val="00FA0592"/>
    <w:rsid w:val="00FA1592"/>
    <w:rsid w:val="00FA1F6D"/>
    <w:rsid w:val="00FA2E9C"/>
    <w:rsid w:val="00FA30FC"/>
    <w:rsid w:val="00FA43B0"/>
    <w:rsid w:val="00FA58FD"/>
    <w:rsid w:val="00FA5C7E"/>
    <w:rsid w:val="00FA5D06"/>
    <w:rsid w:val="00FA6532"/>
    <w:rsid w:val="00FA663D"/>
    <w:rsid w:val="00FA69EA"/>
    <w:rsid w:val="00FA6B9F"/>
    <w:rsid w:val="00FA6E2C"/>
    <w:rsid w:val="00FA768E"/>
    <w:rsid w:val="00FA7851"/>
    <w:rsid w:val="00FA788C"/>
    <w:rsid w:val="00FA7F61"/>
    <w:rsid w:val="00FB0AC0"/>
    <w:rsid w:val="00FB1386"/>
    <w:rsid w:val="00FB1D19"/>
    <w:rsid w:val="00FB2059"/>
    <w:rsid w:val="00FB2259"/>
    <w:rsid w:val="00FB243B"/>
    <w:rsid w:val="00FB29ED"/>
    <w:rsid w:val="00FB5EFA"/>
    <w:rsid w:val="00FB5F61"/>
    <w:rsid w:val="00FB602B"/>
    <w:rsid w:val="00FB61A7"/>
    <w:rsid w:val="00FB6739"/>
    <w:rsid w:val="00FB6905"/>
    <w:rsid w:val="00FB74C2"/>
    <w:rsid w:val="00FC08EF"/>
    <w:rsid w:val="00FC1536"/>
    <w:rsid w:val="00FC1F11"/>
    <w:rsid w:val="00FC208C"/>
    <w:rsid w:val="00FC2A07"/>
    <w:rsid w:val="00FC3197"/>
    <w:rsid w:val="00FC39E8"/>
    <w:rsid w:val="00FC3A63"/>
    <w:rsid w:val="00FC3CD7"/>
    <w:rsid w:val="00FC4816"/>
    <w:rsid w:val="00FC4BE3"/>
    <w:rsid w:val="00FC4E6A"/>
    <w:rsid w:val="00FC4F1F"/>
    <w:rsid w:val="00FC53B8"/>
    <w:rsid w:val="00FC5808"/>
    <w:rsid w:val="00FC5B20"/>
    <w:rsid w:val="00FC5C87"/>
    <w:rsid w:val="00FC5EE8"/>
    <w:rsid w:val="00FC5FF7"/>
    <w:rsid w:val="00FC663E"/>
    <w:rsid w:val="00FC6BC2"/>
    <w:rsid w:val="00FC7520"/>
    <w:rsid w:val="00FC78D4"/>
    <w:rsid w:val="00FD0B46"/>
    <w:rsid w:val="00FD1C66"/>
    <w:rsid w:val="00FD1D9C"/>
    <w:rsid w:val="00FD4524"/>
    <w:rsid w:val="00FD47BE"/>
    <w:rsid w:val="00FD52B7"/>
    <w:rsid w:val="00FD5507"/>
    <w:rsid w:val="00FD6288"/>
    <w:rsid w:val="00FD69DC"/>
    <w:rsid w:val="00FD6B97"/>
    <w:rsid w:val="00FD739B"/>
    <w:rsid w:val="00FD7C1D"/>
    <w:rsid w:val="00FD7F11"/>
    <w:rsid w:val="00FE02FE"/>
    <w:rsid w:val="00FE0B4D"/>
    <w:rsid w:val="00FE0D89"/>
    <w:rsid w:val="00FE1186"/>
    <w:rsid w:val="00FE131A"/>
    <w:rsid w:val="00FE1707"/>
    <w:rsid w:val="00FE17AB"/>
    <w:rsid w:val="00FE561D"/>
    <w:rsid w:val="00FE5748"/>
    <w:rsid w:val="00FE69B9"/>
    <w:rsid w:val="00FE7259"/>
    <w:rsid w:val="00FE7523"/>
    <w:rsid w:val="00FE7568"/>
    <w:rsid w:val="00FF0589"/>
    <w:rsid w:val="00FF1117"/>
    <w:rsid w:val="00FF16E7"/>
    <w:rsid w:val="00FF2026"/>
    <w:rsid w:val="00FF2581"/>
    <w:rsid w:val="00FF2C54"/>
    <w:rsid w:val="00FF49E0"/>
    <w:rsid w:val="00FF4B56"/>
    <w:rsid w:val="00FF4D79"/>
    <w:rsid w:val="00FF52AB"/>
    <w:rsid w:val="00FF5B29"/>
    <w:rsid w:val="00FF666A"/>
    <w:rsid w:val="00FF727C"/>
    <w:rsid w:val="1FADA213"/>
    <w:rsid w:val="4FF2A7BF"/>
    <w:rsid w:val="660B5114"/>
    <w:rsid w:val="7271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6B6B"/>
  <w15:chartTrackingRefBased/>
  <w15:docId w15:val="{9108BFEB-0CA1-4389-8FAD-8FAEB708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5DA"/>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R1 Char"/>
    <w:basedOn w:val="Normal"/>
    <w:next w:val="Normal"/>
    <w:link w:val="Heading1Char"/>
    <w:uiPriority w:val="99"/>
    <w:qFormat/>
    <w:rsid w:val="003C45DA"/>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3C45DA"/>
    <w:pPr>
      <w:keepNext/>
      <w:numPr>
        <w:numId w:val="1"/>
      </w:numPr>
      <w:tabs>
        <w:tab w:val="clear" w:pos="1082"/>
        <w:tab w:val="num" w:pos="798"/>
      </w:tabs>
      <w:ind w:left="360"/>
      <w:outlineLvl w:val="1"/>
    </w:pPr>
    <w:rPr>
      <w:rFonts w:ascii="CG Omega" w:hAnsi="CG Omega"/>
      <w:b/>
      <w:szCs w:val="20"/>
      <w:lang w:eastAsia="en-US"/>
    </w:rPr>
  </w:style>
  <w:style w:type="paragraph" w:styleId="Heading3">
    <w:name w:val="heading 3"/>
    <w:basedOn w:val="Normal"/>
    <w:next w:val="Normal"/>
    <w:link w:val="Heading3Char"/>
    <w:uiPriority w:val="99"/>
    <w:unhideWhenUsed/>
    <w:qFormat/>
    <w:rsid w:val="003C45DA"/>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C45DA"/>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aliases w:val="Briefing note heading"/>
    <w:basedOn w:val="Normal"/>
    <w:next w:val="Normal"/>
    <w:link w:val="Heading5Char"/>
    <w:qFormat/>
    <w:rsid w:val="003C45DA"/>
    <w:pPr>
      <w:spacing w:before="240" w:after="60"/>
      <w:outlineLvl w:val="4"/>
    </w:pPr>
    <w:rPr>
      <w:rFonts w:ascii="Arial" w:hAnsi="Arial"/>
      <w:b/>
      <w:sz w:val="20"/>
      <w:szCs w:val="20"/>
      <w:lang w:eastAsia="en-US"/>
    </w:rPr>
  </w:style>
  <w:style w:type="paragraph" w:styleId="Heading6">
    <w:name w:val="heading 6"/>
    <w:basedOn w:val="Normal"/>
    <w:next w:val="Normal"/>
    <w:link w:val="Heading6Char"/>
    <w:qFormat/>
    <w:rsid w:val="003C45DA"/>
    <w:pPr>
      <w:spacing w:before="240" w:after="60"/>
      <w:outlineLvl w:val="5"/>
    </w:pPr>
    <w:rPr>
      <w:b/>
      <w:i/>
      <w:sz w:val="22"/>
      <w:szCs w:val="20"/>
      <w:lang w:eastAsia="en-US"/>
    </w:rPr>
  </w:style>
  <w:style w:type="paragraph" w:styleId="Heading7">
    <w:name w:val="heading 7"/>
    <w:basedOn w:val="Normal"/>
    <w:next w:val="Normal"/>
    <w:link w:val="Heading7Char"/>
    <w:qFormat/>
    <w:rsid w:val="003C45DA"/>
    <w:pPr>
      <w:spacing w:before="240" w:after="60"/>
      <w:outlineLvl w:val="6"/>
    </w:pPr>
    <w:rPr>
      <w:rFonts w:ascii="Arial" w:hAnsi="Arial"/>
      <w:b/>
      <w:sz w:val="20"/>
      <w:szCs w:val="20"/>
      <w:lang w:eastAsia="en-US"/>
    </w:rPr>
  </w:style>
  <w:style w:type="paragraph" w:styleId="Heading8">
    <w:name w:val="heading 8"/>
    <w:basedOn w:val="Normal"/>
    <w:next w:val="Normal"/>
    <w:link w:val="Heading8Char"/>
    <w:qFormat/>
    <w:rsid w:val="003C45DA"/>
    <w:pPr>
      <w:spacing w:before="240" w:after="60"/>
      <w:outlineLvl w:val="7"/>
    </w:pPr>
    <w:rPr>
      <w:rFonts w:ascii="Arial" w:hAnsi="Arial"/>
      <w:b/>
      <w:i/>
      <w:sz w:val="20"/>
      <w:szCs w:val="20"/>
      <w:lang w:eastAsia="en-US"/>
    </w:rPr>
  </w:style>
  <w:style w:type="paragraph" w:styleId="Heading9">
    <w:name w:val="heading 9"/>
    <w:basedOn w:val="Normal"/>
    <w:next w:val="Normal"/>
    <w:link w:val="Heading9Char"/>
    <w:qFormat/>
    <w:rsid w:val="003C45DA"/>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R1 Char Char1"/>
    <w:basedOn w:val="DefaultParagraphFont"/>
    <w:link w:val="Heading1"/>
    <w:uiPriority w:val="99"/>
    <w:rsid w:val="003C45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C45DA"/>
    <w:rPr>
      <w:rFonts w:ascii="CG Omega" w:eastAsia="Times New Roman" w:hAnsi="CG Omega" w:cs="Times New Roman"/>
      <w:b/>
      <w:sz w:val="24"/>
      <w:szCs w:val="20"/>
    </w:rPr>
  </w:style>
  <w:style w:type="character" w:customStyle="1" w:styleId="Heading3Char">
    <w:name w:val="Heading 3 Char"/>
    <w:basedOn w:val="DefaultParagraphFont"/>
    <w:link w:val="Heading3"/>
    <w:uiPriority w:val="99"/>
    <w:rsid w:val="003C45DA"/>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rsid w:val="003C45DA"/>
    <w:rPr>
      <w:rFonts w:asciiTheme="majorHAnsi" w:eastAsiaTheme="majorEastAsia" w:hAnsiTheme="majorHAnsi" w:cstheme="majorBidi"/>
      <w:b/>
      <w:bCs/>
      <w:i/>
      <w:iCs/>
      <w:color w:val="4472C4" w:themeColor="accent1"/>
    </w:rPr>
  </w:style>
  <w:style w:type="character" w:customStyle="1" w:styleId="Heading5Char">
    <w:name w:val="Heading 5 Char"/>
    <w:aliases w:val="Briefing note heading Char"/>
    <w:basedOn w:val="DefaultParagraphFont"/>
    <w:link w:val="Heading5"/>
    <w:rsid w:val="003C45DA"/>
    <w:rPr>
      <w:rFonts w:ascii="Arial" w:eastAsia="Times New Roman" w:hAnsi="Arial" w:cs="Times New Roman"/>
      <w:b/>
      <w:sz w:val="20"/>
      <w:szCs w:val="20"/>
    </w:rPr>
  </w:style>
  <w:style w:type="character" w:customStyle="1" w:styleId="Heading6Char">
    <w:name w:val="Heading 6 Char"/>
    <w:basedOn w:val="DefaultParagraphFont"/>
    <w:link w:val="Heading6"/>
    <w:rsid w:val="003C45DA"/>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3C45DA"/>
    <w:rPr>
      <w:rFonts w:ascii="Arial" w:eastAsia="Times New Roman" w:hAnsi="Arial" w:cs="Times New Roman"/>
      <w:b/>
      <w:sz w:val="20"/>
      <w:szCs w:val="20"/>
    </w:rPr>
  </w:style>
  <w:style w:type="character" w:customStyle="1" w:styleId="Heading8Char">
    <w:name w:val="Heading 8 Char"/>
    <w:basedOn w:val="DefaultParagraphFont"/>
    <w:link w:val="Heading8"/>
    <w:rsid w:val="003C45DA"/>
    <w:rPr>
      <w:rFonts w:ascii="Arial" w:eastAsia="Times New Roman" w:hAnsi="Arial" w:cs="Times New Roman"/>
      <w:b/>
      <w:i/>
      <w:sz w:val="20"/>
      <w:szCs w:val="20"/>
    </w:rPr>
  </w:style>
  <w:style w:type="character" w:customStyle="1" w:styleId="Heading9Char">
    <w:name w:val="Heading 9 Char"/>
    <w:basedOn w:val="DefaultParagraphFont"/>
    <w:link w:val="Heading9"/>
    <w:rsid w:val="003C45DA"/>
    <w:rPr>
      <w:rFonts w:ascii="Arial" w:eastAsia="Times New Roman" w:hAnsi="Arial" w:cs="Times New Roman"/>
      <w:b/>
      <w:i/>
      <w:sz w:val="18"/>
      <w:szCs w:val="20"/>
    </w:rPr>
  </w:style>
  <w:style w:type="paragraph" w:styleId="BodyTextIndent">
    <w:name w:val="Body Text Indent"/>
    <w:basedOn w:val="Normal"/>
    <w:link w:val="BodyTextIndentChar"/>
    <w:uiPriority w:val="99"/>
    <w:rsid w:val="003C45DA"/>
    <w:pPr>
      <w:spacing w:after="120"/>
      <w:ind w:left="283"/>
    </w:pPr>
    <w:rPr>
      <w:rFonts w:ascii="CG Omega (W1)" w:hAnsi="CG Omega (W1)"/>
      <w:szCs w:val="20"/>
      <w:lang w:eastAsia="en-US"/>
    </w:rPr>
  </w:style>
  <w:style w:type="character" w:customStyle="1" w:styleId="BodyTextIndentChar">
    <w:name w:val="Body Text Indent Char"/>
    <w:basedOn w:val="DefaultParagraphFont"/>
    <w:link w:val="BodyTextIndent"/>
    <w:uiPriority w:val="99"/>
    <w:rsid w:val="003C45DA"/>
    <w:rPr>
      <w:rFonts w:ascii="CG Omega (W1)" w:eastAsia="Times New Roman" w:hAnsi="CG Omega (W1)" w:cs="Times New Roman"/>
      <w:sz w:val="24"/>
      <w:szCs w:val="20"/>
    </w:rPr>
  </w:style>
  <w:style w:type="paragraph" w:styleId="BodyText">
    <w:name w:val="Body Text"/>
    <w:basedOn w:val="Normal"/>
    <w:link w:val="BodyTextChar"/>
    <w:uiPriority w:val="99"/>
    <w:rsid w:val="003C45DA"/>
    <w:pPr>
      <w:spacing w:after="120"/>
    </w:pPr>
    <w:rPr>
      <w:rFonts w:ascii="CG Omega" w:hAnsi="CG Omega"/>
      <w:szCs w:val="20"/>
      <w:lang w:eastAsia="en-US"/>
    </w:rPr>
  </w:style>
  <w:style w:type="character" w:customStyle="1" w:styleId="BodyTextChar">
    <w:name w:val="Body Text Char"/>
    <w:basedOn w:val="DefaultParagraphFont"/>
    <w:link w:val="BodyText"/>
    <w:uiPriority w:val="99"/>
    <w:rsid w:val="003C45DA"/>
    <w:rPr>
      <w:rFonts w:ascii="CG Omega" w:eastAsia="Times New Roman" w:hAnsi="CG Omega" w:cs="Times New Roman"/>
      <w:sz w:val="24"/>
      <w:szCs w:val="20"/>
    </w:rPr>
  </w:style>
  <w:style w:type="table" w:styleId="TableGrid">
    <w:name w:val="Table Grid"/>
    <w:aliases w:val="Table Beige/white"/>
    <w:basedOn w:val="TableNormal"/>
    <w:uiPriority w:val="99"/>
    <w:rsid w:val="003C4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45DA"/>
    <w:pPr>
      <w:tabs>
        <w:tab w:val="center" w:pos="4513"/>
        <w:tab w:val="right" w:pos="9026"/>
      </w:tabs>
    </w:pPr>
  </w:style>
  <w:style w:type="character" w:customStyle="1" w:styleId="HeaderChar">
    <w:name w:val="Header Char"/>
    <w:basedOn w:val="DefaultParagraphFont"/>
    <w:link w:val="Header"/>
    <w:uiPriority w:val="99"/>
    <w:rsid w:val="003C45D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C45DA"/>
    <w:pPr>
      <w:tabs>
        <w:tab w:val="center" w:pos="4344"/>
      </w:tabs>
    </w:pPr>
    <w:rPr>
      <w:rFonts w:ascii="Arial" w:hAnsi="Arial" w:cs="Arial"/>
      <w:i/>
      <w:sz w:val="22"/>
      <w:szCs w:val="22"/>
    </w:rPr>
  </w:style>
  <w:style w:type="character" w:customStyle="1" w:styleId="FooterChar">
    <w:name w:val="Footer Char"/>
    <w:basedOn w:val="DefaultParagraphFont"/>
    <w:link w:val="Footer"/>
    <w:uiPriority w:val="99"/>
    <w:rsid w:val="003C45DA"/>
    <w:rPr>
      <w:rFonts w:ascii="Arial" w:eastAsia="Times New Roman" w:hAnsi="Arial" w:cs="Arial"/>
      <w:i/>
      <w:lang w:eastAsia="en-GB"/>
    </w:rPr>
  </w:style>
  <w:style w:type="paragraph" w:styleId="BalloonText">
    <w:name w:val="Balloon Text"/>
    <w:basedOn w:val="Normal"/>
    <w:link w:val="BalloonTextChar"/>
    <w:uiPriority w:val="99"/>
    <w:rsid w:val="003C45DA"/>
    <w:rPr>
      <w:rFonts w:ascii="Tahoma" w:hAnsi="Tahoma" w:cs="Tahoma"/>
      <w:sz w:val="16"/>
      <w:szCs w:val="16"/>
    </w:rPr>
  </w:style>
  <w:style w:type="character" w:customStyle="1" w:styleId="BalloonTextChar">
    <w:name w:val="Balloon Text Char"/>
    <w:basedOn w:val="DefaultParagraphFont"/>
    <w:link w:val="BalloonText"/>
    <w:uiPriority w:val="99"/>
    <w:rsid w:val="003C45DA"/>
    <w:rPr>
      <w:rFonts w:ascii="Tahoma" w:eastAsia="Times New Roman" w:hAnsi="Tahoma" w:cs="Tahoma"/>
      <w:sz w:val="16"/>
      <w:szCs w:val="16"/>
      <w:lang w:eastAsia="en-GB"/>
    </w:rPr>
  </w:style>
  <w:style w:type="paragraph" w:styleId="ListParagraph">
    <w:name w:val="List Paragraph"/>
    <w:basedOn w:val="Normal"/>
    <w:uiPriority w:val="34"/>
    <w:qFormat/>
    <w:rsid w:val="003C45DA"/>
    <w:pPr>
      <w:spacing w:after="200" w:line="276" w:lineRule="auto"/>
      <w:ind w:left="720"/>
      <w:contextualSpacing/>
    </w:pPr>
    <w:rPr>
      <w:rFonts w:ascii="Calibri" w:hAnsi="Calibri"/>
      <w:sz w:val="22"/>
      <w:szCs w:val="22"/>
      <w:lang w:eastAsia="en-US"/>
    </w:rPr>
  </w:style>
  <w:style w:type="paragraph" w:styleId="BodyTextIndent2">
    <w:name w:val="Body Text Indent 2"/>
    <w:basedOn w:val="Normal"/>
    <w:link w:val="BodyTextIndent2Char"/>
    <w:uiPriority w:val="99"/>
    <w:rsid w:val="003C45DA"/>
    <w:pPr>
      <w:spacing w:after="120" w:line="480" w:lineRule="auto"/>
      <w:ind w:left="283"/>
    </w:pPr>
  </w:style>
  <w:style w:type="character" w:customStyle="1" w:styleId="BodyTextIndent2Char">
    <w:name w:val="Body Text Indent 2 Char"/>
    <w:basedOn w:val="DefaultParagraphFont"/>
    <w:link w:val="BodyTextIndent2"/>
    <w:uiPriority w:val="99"/>
    <w:rsid w:val="003C45DA"/>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C45DA"/>
    <w:rPr>
      <w:rFonts w:cs="Times New Roman"/>
      <w:color w:val="0000FF"/>
      <w:u w:val="single"/>
    </w:rPr>
  </w:style>
  <w:style w:type="paragraph" w:customStyle="1" w:styleId="tableright">
    <w:name w:val="tableright"/>
    <w:basedOn w:val="Normal"/>
    <w:uiPriority w:val="99"/>
    <w:rsid w:val="003C45DA"/>
    <w:pPr>
      <w:shd w:val="clear" w:color="auto" w:fill="EBEBEB"/>
      <w:spacing w:line="300" w:lineRule="atLeast"/>
      <w:jc w:val="right"/>
    </w:pPr>
    <w:rPr>
      <w:rFonts w:ascii="Verdana" w:hAnsi="Verdana"/>
      <w:sz w:val="15"/>
      <w:szCs w:val="15"/>
    </w:rPr>
  </w:style>
  <w:style w:type="paragraph" w:customStyle="1" w:styleId="tabletextbold">
    <w:name w:val="tabletextbold"/>
    <w:basedOn w:val="Normal"/>
    <w:uiPriority w:val="99"/>
    <w:rsid w:val="003C45DA"/>
    <w:pPr>
      <w:shd w:val="clear" w:color="auto" w:fill="CCCCCC"/>
      <w:spacing w:line="300" w:lineRule="atLeast"/>
    </w:pPr>
    <w:rPr>
      <w:rFonts w:ascii="Verdana" w:hAnsi="Verdana"/>
      <w:b/>
      <w:bCs/>
      <w:sz w:val="15"/>
      <w:szCs w:val="15"/>
    </w:rPr>
  </w:style>
  <w:style w:type="paragraph" w:customStyle="1" w:styleId="tabletext">
    <w:name w:val="tabletext"/>
    <w:basedOn w:val="Normal"/>
    <w:uiPriority w:val="99"/>
    <w:rsid w:val="003C45DA"/>
    <w:pPr>
      <w:shd w:val="clear" w:color="auto" w:fill="EBEBEB"/>
      <w:spacing w:line="300" w:lineRule="atLeast"/>
      <w:ind w:left="45"/>
      <w:textAlignment w:val="top"/>
    </w:pPr>
    <w:rPr>
      <w:rFonts w:ascii="Verdana" w:hAnsi="Verdana"/>
      <w:sz w:val="15"/>
      <w:szCs w:val="15"/>
    </w:rPr>
  </w:style>
  <w:style w:type="paragraph" w:customStyle="1" w:styleId="tablerightbold">
    <w:name w:val="tablerightbold"/>
    <w:basedOn w:val="Normal"/>
    <w:uiPriority w:val="99"/>
    <w:rsid w:val="003C45DA"/>
    <w:pPr>
      <w:shd w:val="clear" w:color="auto" w:fill="CCCCCC"/>
      <w:spacing w:line="300" w:lineRule="atLeast"/>
      <w:jc w:val="right"/>
    </w:pPr>
    <w:rPr>
      <w:rFonts w:ascii="Verdana" w:hAnsi="Verdana"/>
      <w:b/>
      <w:bCs/>
      <w:sz w:val="15"/>
      <w:szCs w:val="15"/>
    </w:rPr>
  </w:style>
  <w:style w:type="paragraph" w:customStyle="1" w:styleId="tablerightbold9">
    <w:name w:val="tablerightbold9"/>
    <w:basedOn w:val="Normal"/>
    <w:uiPriority w:val="99"/>
    <w:rsid w:val="003C45DA"/>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uiPriority w:val="99"/>
    <w:rsid w:val="003C45DA"/>
    <w:rPr>
      <w:rFonts w:cs="Times New Roman"/>
    </w:rPr>
  </w:style>
  <w:style w:type="paragraph" w:customStyle="1" w:styleId="tabletextbold9">
    <w:name w:val="tabletextbold9"/>
    <w:basedOn w:val="Normal"/>
    <w:uiPriority w:val="99"/>
    <w:rsid w:val="003C45DA"/>
    <w:pPr>
      <w:shd w:val="clear" w:color="auto" w:fill="CCCCCC"/>
      <w:spacing w:line="225" w:lineRule="atLeast"/>
      <w:textAlignment w:val="top"/>
    </w:pPr>
    <w:rPr>
      <w:rFonts w:ascii="Verdana" w:hAnsi="Verdana"/>
      <w:b/>
      <w:bCs/>
      <w:sz w:val="12"/>
      <w:szCs w:val="12"/>
    </w:rPr>
  </w:style>
  <w:style w:type="character" w:customStyle="1" w:styleId="purple1">
    <w:name w:val="purple1"/>
    <w:basedOn w:val="DefaultParagraphFont"/>
    <w:uiPriority w:val="99"/>
    <w:rsid w:val="003C45DA"/>
    <w:rPr>
      <w:rFonts w:cs="Times New Roman"/>
      <w:color w:val="60227B"/>
    </w:rPr>
  </w:style>
  <w:style w:type="paragraph" w:customStyle="1" w:styleId="CM111">
    <w:name w:val="CM111"/>
    <w:basedOn w:val="Normal"/>
    <w:next w:val="Normal"/>
    <w:uiPriority w:val="99"/>
    <w:rsid w:val="003C45DA"/>
    <w:pPr>
      <w:autoSpaceDE w:val="0"/>
      <w:autoSpaceDN w:val="0"/>
      <w:adjustRightInd w:val="0"/>
      <w:spacing w:after="393"/>
    </w:pPr>
    <w:rPr>
      <w:rFonts w:ascii="Arial" w:hAnsi="Arial" w:cs="Arial"/>
      <w:lang w:val="en-US" w:eastAsia="en-US"/>
    </w:rPr>
  </w:style>
  <w:style w:type="paragraph" w:customStyle="1" w:styleId="Default">
    <w:name w:val="Default"/>
    <w:rsid w:val="003C45D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00">
    <w:name w:val="CM100"/>
    <w:basedOn w:val="Default"/>
    <w:next w:val="Default"/>
    <w:uiPriority w:val="99"/>
    <w:rsid w:val="003C45DA"/>
    <w:rPr>
      <w:color w:val="auto"/>
    </w:rPr>
  </w:style>
  <w:style w:type="paragraph" w:customStyle="1" w:styleId="ExampleText">
    <w:name w:val="ExampleText"/>
    <w:basedOn w:val="Normal"/>
    <w:uiPriority w:val="99"/>
    <w:rsid w:val="003C45DA"/>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secbody">
    <w:name w:val="secbody"/>
    <w:basedOn w:val="Normal"/>
    <w:uiPriority w:val="99"/>
    <w:rsid w:val="003C45DA"/>
    <w:pPr>
      <w:spacing w:before="100" w:beforeAutospacing="1" w:after="100" w:afterAutospacing="1"/>
    </w:pPr>
    <w:rPr>
      <w:rFonts w:ascii="Verdana" w:hAnsi="Verdana"/>
      <w:color w:val="60227B"/>
      <w:sz w:val="18"/>
      <w:szCs w:val="18"/>
    </w:rPr>
  </w:style>
  <w:style w:type="paragraph" w:customStyle="1" w:styleId="secbullets">
    <w:name w:val="secbullets"/>
    <w:basedOn w:val="Normal"/>
    <w:uiPriority w:val="99"/>
    <w:rsid w:val="003C45DA"/>
    <w:pPr>
      <w:spacing w:after="100" w:afterAutospacing="1"/>
    </w:pPr>
    <w:rPr>
      <w:rFonts w:ascii="Verdana" w:hAnsi="Verdana"/>
      <w:color w:val="60227B"/>
      <w:sz w:val="18"/>
      <w:szCs w:val="18"/>
    </w:rPr>
  </w:style>
  <w:style w:type="paragraph" w:customStyle="1" w:styleId="secheadc">
    <w:name w:val="secheadc"/>
    <w:basedOn w:val="Normal"/>
    <w:uiPriority w:val="99"/>
    <w:rsid w:val="003C45DA"/>
    <w:pPr>
      <w:spacing w:before="100" w:beforeAutospacing="1" w:after="100" w:afterAutospacing="1"/>
    </w:pPr>
    <w:rPr>
      <w:rFonts w:ascii="Verdana" w:hAnsi="Verdana"/>
      <w:b/>
      <w:bCs/>
      <w:color w:val="60227B"/>
      <w:sz w:val="18"/>
      <w:szCs w:val="18"/>
    </w:rPr>
  </w:style>
  <w:style w:type="paragraph" w:customStyle="1" w:styleId="secbodyindent01">
    <w:name w:val="secbodyindent01"/>
    <w:basedOn w:val="Normal"/>
    <w:uiPriority w:val="99"/>
    <w:rsid w:val="003C45DA"/>
    <w:pPr>
      <w:spacing w:before="100" w:beforeAutospacing="1" w:after="100" w:afterAutospacing="1"/>
    </w:pPr>
    <w:rPr>
      <w:rFonts w:ascii="Verdana" w:hAnsi="Verdana"/>
      <w:color w:val="60227B"/>
      <w:sz w:val="18"/>
      <w:szCs w:val="18"/>
    </w:rPr>
  </w:style>
  <w:style w:type="character" w:customStyle="1" w:styleId="italic1">
    <w:name w:val="italic1"/>
    <w:basedOn w:val="DefaultParagraphFont"/>
    <w:uiPriority w:val="99"/>
    <w:rsid w:val="003C45DA"/>
    <w:rPr>
      <w:rFonts w:cs="Times New Roman"/>
      <w:i/>
      <w:iCs/>
    </w:rPr>
  </w:style>
  <w:style w:type="character" w:styleId="Emphasis">
    <w:name w:val="Emphasis"/>
    <w:basedOn w:val="DefaultParagraphFont"/>
    <w:uiPriority w:val="99"/>
    <w:qFormat/>
    <w:rsid w:val="003C45DA"/>
    <w:rPr>
      <w:rFonts w:cs="Times New Roman"/>
      <w:i/>
      <w:iCs/>
    </w:rPr>
  </w:style>
  <w:style w:type="paragraph" w:customStyle="1" w:styleId="BodyText1">
    <w:name w:val="Body Text1"/>
    <w:basedOn w:val="Normal"/>
    <w:link w:val="BodytextChar0"/>
    <w:uiPriority w:val="99"/>
    <w:rsid w:val="003C45DA"/>
    <w:pPr>
      <w:spacing w:before="140" w:line="300" w:lineRule="atLeast"/>
    </w:pPr>
    <w:rPr>
      <w:rFonts w:ascii="Arial" w:hAnsi="Arial"/>
      <w:sz w:val="22"/>
    </w:rPr>
  </w:style>
  <w:style w:type="paragraph" w:customStyle="1" w:styleId="Bullet1">
    <w:name w:val="Bullet 1"/>
    <w:basedOn w:val="Normal"/>
    <w:link w:val="Bullet1CharChar"/>
    <w:uiPriority w:val="99"/>
    <w:rsid w:val="003C45DA"/>
    <w:pPr>
      <w:numPr>
        <w:numId w:val="5"/>
      </w:numPr>
      <w:spacing w:line="300" w:lineRule="atLeast"/>
    </w:pPr>
    <w:rPr>
      <w:rFonts w:ascii="Arial" w:hAnsi="Arial"/>
      <w:sz w:val="22"/>
    </w:rPr>
  </w:style>
  <w:style w:type="character" w:customStyle="1" w:styleId="BodytextChar0">
    <w:name w:val="Body text Char"/>
    <w:basedOn w:val="DefaultParagraphFont"/>
    <w:link w:val="BodyText1"/>
    <w:uiPriority w:val="99"/>
    <w:locked/>
    <w:rsid w:val="003C45DA"/>
    <w:rPr>
      <w:rFonts w:ascii="Arial" w:eastAsia="Times New Roman" w:hAnsi="Arial" w:cs="Times New Roman"/>
      <w:szCs w:val="24"/>
      <w:lang w:eastAsia="en-GB"/>
    </w:rPr>
  </w:style>
  <w:style w:type="character" w:customStyle="1" w:styleId="Bullet1CharChar">
    <w:name w:val="Bullet 1 Char Char"/>
    <w:basedOn w:val="DefaultParagraphFont"/>
    <w:link w:val="Bullet1"/>
    <w:uiPriority w:val="99"/>
    <w:locked/>
    <w:rsid w:val="003C45DA"/>
    <w:rPr>
      <w:rFonts w:ascii="Arial" w:eastAsia="Times New Roman" w:hAnsi="Arial" w:cs="Times New Roman"/>
      <w:szCs w:val="24"/>
      <w:lang w:eastAsia="en-GB"/>
    </w:rPr>
  </w:style>
  <w:style w:type="character" w:styleId="Strong">
    <w:name w:val="Strong"/>
    <w:basedOn w:val="DefaultParagraphFont"/>
    <w:uiPriority w:val="99"/>
    <w:qFormat/>
    <w:rsid w:val="003C45DA"/>
    <w:rPr>
      <w:rFonts w:cs="Times New Roman"/>
      <w:b/>
      <w:bCs/>
    </w:rPr>
  </w:style>
  <w:style w:type="paragraph" w:customStyle="1" w:styleId="bullets">
    <w:name w:val="bullets"/>
    <w:basedOn w:val="Normal"/>
    <w:uiPriority w:val="99"/>
    <w:rsid w:val="003C45DA"/>
    <w:pPr>
      <w:spacing w:after="100" w:afterAutospacing="1"/>
    </w:pPr>
    <w:rPr>
      <w:rFonts w:ascii="Verdana" w:hAnsi="Verdana"/>
      <w:color w:val="000000"/>
      <w:sz w:val="21"/>
      <w:szCs w:val="21"/>
    </w:rPr>
  </w:style>
  <w:style w:type="paragraph" w:customStyle="1" w:styleId="headc">
    <w:name w:val="headc"/>
    <w:basedOn w:val="Normal"/>
    <w:uiPriority w:val="99"/>
    <w:rsid w:val="003C45DA"/>
    <w:pPr>
      <w:spacing w:before="100" w:beforeAutospacing="1" w:after="100" w:afterAutospacing="1"/>
    </w:pPr>
    <w:rPr>
      <w:rFonts w:ascii="Verdana" w:hAnsi="Verdana"/>
      <w:b/>
      <w:bCs/>
      <w:sz w:val="21"/>
      <w:szCs w:val="21"/>
    </w:rPr>
  </w:style>
  <w:style w:type="paragraph" w:customStyle="1" w:styleId="bodyindent">
    <w:name w:val="bodyindent"/>
    <w:basedOn w:val="Normal"/>
    <w:uiPriority w:val="99"/>
    <w:rsid w:val="003C45DA"/>
    <w:pPr>
      <w:spacing w:before="100" w:beforeAutospacing="1" w:after="100" w:afterAutospacing="1"/>
    </w:pPr>
    <w:rPr>
      <w:rFonts w:ascii="Verdana" w:hAnsi="Verdana"/>
      <w:color w:val="000000"/>
      <w:sz w:val="21"/>
      <w:szCs w:val="21"/>
    </w:rPr>
  </w:style>
  <w:style w:type="paragraph" w:customStyle="1" w:styleId="examplesub02">
    <w:name w:val="examplesub02"/>
    <w:basedOn w:val="Normal"/>
    <w:uiPriority w:val="99"/>
    <w:rsid w:val="003C45DA"/>
    <w:pPr>
      <w:spacing w:before="100" w:beforeAutospacing="1" w:after="100" w:afterAutospacing="1"/>
    </w:pPr>
    <w:rPr>
      <w:rFonts w:ascii="Verdana" w:hAnsi="Verdana"/>
      <w:b/>
      <w:bCs/>
      <w:color w:val="602292"/>
      <w:sz w:val="21"/>
      <w:szCs w:val="21"/>
    </w:rPr>
  </w:style>
  <w:style w:type="character" w:customStyle="1" w:styleId="footnoteref1">
    <w:name w:val="footnoteref1"/>
    <w:basedOn w:val="DefaultParagraphFont"/>
    <w:rsid w:val="003C45DA"/>
    <w:rPr>
      <w:rFonts w:cs="Times New Roman"/>
      <w:sz w:val="16"/>
      <w:szCs w:val="16"/>
      <w:u w:val="single"/>
    </w:rPr>
  </w:style>
  <w:style w:type="character" w:styleId="CommentReference">
    <w:name w:val="annotation reference"/>
    <w:basedOn w:val="DefaultParagraphFont"/>
    <w:uiPriority w:val="99"/>
    <w:rsid w:val="003C45DA"/>
    <w:rPr>
      <w:rFonts w:cs="Times New Roman"/>
      <w:sz w:val="16"/>
      <w:szCs w:val="16"/>
    </w:rPr>
  </w:style>
  <w:style w:type="paragraph" w:styleId="CommentText">
    <w:name w:val="annotation text"/>
    <w:aliases w:val=" Char1"/>
    <w:basedOn w:val="Normal"/>
    <w:link w:val="CommentTextChar"/>
    <w:uiPriority w:val="99"/>
    <w:rsid w:val="003C45DA"/>
    <w:rPr>
      <w:sz w:val="20"/>
      <w:szCs w:val="20"/>
    </w:rPr>
  </w:style>
  <w:style w:type="character" w:customStyle="1" w:styleId="CommentTextChar">
    <w:name w:val="Comment Text Char"/>
    <w:aliases w:val=" Char1 Char"/>
    <w:basedOn w:val="DefaultParagraphFont"/>
    <w:link w:val="CommentText"/>
    <w:uiPriority w:val="99"/>
    <w:rsid w:val="003C45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3C45DA"/>
    <w:rPr>
      <w:b/>
      <w:bCs/>
    </w:rPr>
  </w:style>
  <w:style w:type="character" w:customStyle="1" w:styleId="CommentSubjectChar">
    <w:name w:val="Comment Subject Char"/>
    <w:basedOn w:val="CommentTextChar"/>
    <w:link w:val="CommentSubject"/>
    <w:uiPriority w:val="99"/>
    <w:rsid w:val="003C45DA"/>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3C45DA"/>
    <w:pPr>
      <w:spacing w:before="100" w:beforeAutospacing="1" w:after="100" w:afterAutospacing="1"/>
    </w:pPr>
  </w:style>
  <w:style w:type="paragraph" w:styleId="Revision">
    <w:name w:val="Revision"/>
    <w:hidden/>
    <w:uiPriority w:val="99"/>
    <w:semiHidden/>
    <w:rsid w:val="003C45DA"/>
    <w:pPr>
      <w:spacing w:after="0" w:line="240" w:lineRule="auto"/>
    </w:pPr>
    <w:rPr>
      <w:rFonts w:ascii="Times New Roman" w:eastAsia="Times New Roman" w:hAnsi="Times New Roman" w:cs="Times New Roman"/>
      <w:sz w:val="24"/>
      <w:szCs w:val="24"/>
      <w:lang w:eastAsia="en-GB"/>
    </w:rPr>
  </w:style>
  <w:style w:type="paragraph" w:customStyle="1" w:styleId="BodyTextGrey">
    <w:name w:val="Body Text Grey"/>
    <w:basedOn w:val="Normal"/>
    <w:link w:val="BodyTextGreyChar"/>
    <w:qFormat/>
    <w:rsid w:val="003C45DA"/>
    <w:pPr>
      <w:spacing w:after="200" w:line="280" w:lineRule="atLeast"/>
    </w:pPr>
    <w:rPr>
      <w:rFonts w:ascii="Arial" w:hAnsi="Arial" w:cs="Arial"/>
      <w:iCs/>
      <w:color w:val="4B4B4B"/>
      <w:sz w:val="20"/>
      <w:szCs w:val="20"/>
      <w:lang w:eastAsia="en-US"/>
    </w:rPr>
  </w:style>
  <w:style w:type="character" w:customStyle="1" w:styleId="BodyTextGreyChar">
    <w:name w:val="Body Text Grey Char"/>
    <w:basedOn w:val="DefaultParagraphFont"/>
    <w:link w:val="BodyTextGrey"/>
    <w:locked/>
    <w:rsid w:val="003C45DA"/>
    <w:rPr>
      <w:rFonts w:ascii="Arial" w:eastAsia="Times New Roman" w:hAnsi="Arial" w:cs="Arial"/>
      <w:iCs/>
      <w:color w:val="4B4B4B"/>
      <w:sz w:val="20"/>
      <w:szCs w:val="20"/>
    </w:rPr>
  </w:style>
  <w:style w:type="paragraph" w:styleId="BodyText2">
    <w:name w:val="Body Text 2"/>
    <w:basedOn w:val="Normal"/>
    <w:link w:val="BodyText2Char"/>
    <w:rsid w:val="003C45DA"/>
    <w:pPr>
      <w:spacing w:after="120" w:line="480" w:lineRule="auto"/>
    </w:pPr>
    <w:rPr>
      <w:rFonts w:ascii="Arial" w:hAnsi="Arial"/>
      <w:sz w:val="22"/>
    </w:rPr>
  </w:style>
  <w:style w:type="character" w:customStyle="1" w:styleId="BodyText2Char">
    <w:name w:val="Body Text 2 Char"/>
    <w:basedOn w:val="DefaultParagraphFont"/>
    <w:link w:val="BodyText2"/>
    <w:rsid w:val="003C45DA"/>
    <w:rPr>
      <w:rFonts w:ascii="Arial" w:eastAsia="Times New Roman" w:hAnsi="Arial" w:cs="Times New Roman"/>
      <w:szCs w:val="24"/>
      <w:lang w:eastAsia="en-GB"/>
    </w:rPr>
  </w:style>
  <w:style w:type="paragraph" w:customStyle="1" w:styleId="inlinenormal">
    <w:name w:val="inlinenormal"/>
    <w:basedOn w:val="Normal"/>
    <w:rsid w:val="003C45DA"/>
    <w:pPr>
      <w:autoSpaceDN w:val="0"/>
      <w:spacing w:before="120" w:after="60" w:line="264" w:lineRule="auto"/>
    </w:pPr>
    <w:rPr>
      <w:rFonts w:ascii="Arial" w:hAnsi="Arial" w:cs="Arial"/>
    </w:rPr>
  </w:style>
  <w:style w:type="paragraph" w:styleId="FootnoteText">
    <w:name w:val="footnote text"/>
    <w:basedOn w:val="Normal"/>
    <w:link w:val="FootnoteTextChar"/>
    <w:rsid w:val="003C45DA"/>
    <w:rPr>
      <w:sz w:val="20"/>
      <w:szCs w:val="20"/>
    </w:rPr>
  </w:style>
  <w:style w:type="character" w:customStyle="1" w:styleId="FootnoteTextChar">
    <w:name w:val="Footnote Text Char"/>
    <w:basedOn w:val="DefaultParagraphFont"/>
    <w:link w:val="FootnoteText"/>
    <w:rsid w:val="003C45D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C45DA"/>
    <w:rPr>
      <w:vertAlign w:val="superscript"/>
    </w:rPr>
  </w:style>
  <w:style w:type="character" w:styleId="FollowedHyperlink">
    <w:name w:val="FollowedHyperlink"/>
    <w:basedOn w:val="DefaultParagraphFont"/>
    <w:rsid w:val="003C45DA"/>
    <w:rPr>
      <w:color w:val="954F72" w:themeColor="followedHyperlink"/>
      <w:u w:val="single"/>
    </w:rPr>
  </w:style>
  <w:style w:type="character" w:customStyle="1" w:styleId="st1">
    <w:name w:val="st1"/>
    <w:basedOn w:val="DefaultParagraphFont"/>
    <w:rsid w:val="003C45DA"/>
  </w:style>
  <w:style w:type="paragraph" w:customStyle="1" w:styleId="HRsub1">
    <w:name w:val="HRsub1"/>
    <w:basedOn w:val="Heading3"/>
    <w:next w:val="BodyText"/>
    <w:rsid w:val="003C45DA"/>
    <w:pPr>
      <w:keepNext w:val="0"/>
      <w:keepLines w:val="0"/>
      <w:spacing w:before="240" w:after="240"/>
      <w:outlineLvl w:val="9"/>
    </w:pPr>
    <w:rPr>
      <w:rFonts w:ascii="Arial" w:hAnsi="Arial"/>
      <w:bCs w:val="0"/>
      <w:color w:val="00257E"/>
      <w:sz w:val="22"/>
      <w:szCs w:val="20"/>
      <w:lang w:eastAsia="en-US"/>
    </w:rPr>
  </w:style>
  <w:style w:type="paragraph" w:styleId="ListBullet">
    <w:name w:val="List Bullet"/>
    <w:basedOn w:val="Normal"/>
    <w:autoRedefine/>
    <w:rsid w:val="003C45DA"/>
    <w:pPr>
      <w:numPr>
        <w:numId w:val="11"/>
      </w:numPr>
    </w:pPr>
    <w:rPr>
      <w:rFonts w:ascii="Helvetica" w:hAnsi="Helvetica"/>
      <w:b/>
      <w:sz w:val="20"/>
      <w:szCs w:val="20"/>
      <w:lang w:eastAsia="en-US"/>
    </w:rPr>
  </w:style>
  <w:style w:type="paragraph" w:customStyle="1" w:styleId="HRbullet">
    <w:name w:val="HRbullet"/>
    <w:basedOn w:val="Heading4"/>
    <w:rsid w:val="003C45DA"/>
    <w:pPr>
      <w:keepNext w:val="0"/>
      <w:keepLines w:val="0"/>
      <w:numPr>
        <w:numId w:val="12"/>
      </w:numPr>
      <w:spacing w:before="0" w:after="240" w:line="240" w:lineRule="auto"/>
      <w:ind w:left="1440"/>
      <w:jc w:val="both"/>
      <w:outlineLvl w:val="9"/>
    </w:pPr>
    <w:rPr>
      <w:rFonts w:ascii="Garamond" w:eastAsia="Times New Roman" w:hAnsi="Garamond" w:cs="Times New Roman"/>
      <w:b w:val="0"/>
      <w:bCs w:val="0"/>
      <w:i w:val="0"/>
      <w:iCs w:val="0"/>
      <w:color w:val="000000"/>
      <w:sz w:val="24"/>
      <w:szCs w:val="20"/>
    </w:rPr>
  </w:style>
  <w:style w:type="paragraph" w:customStyle="1" w:styleId="hBullet3">
    <w:name w:val="hBullet3"/>
    <w:basedOn w:val="BodyText"/>
    <w:rsid w:val="003C45DA"/>
    <w:pPr>
      <w:widowControl w:val="0"/>
      <w:numPr>
        <w:numId w:val="13"/>
      </w:numPr>
      <w:tabs>
        <w:tab w:val="clear" w:pos="567"/>
        <w:tab w:val="num" w:pos="360"/>
      </w:tabs>
      <w:spacing w:before="120" w:line="280" w:lineRule="atLeast"/>
      <w:ind w:left="0" w:firstLine="0"/>
    </w:pPr>
    <w:rPr>
      <w:rFonts w:ascii="Arial" w:hAnsi="Arial"/>
      <w:color w:val="4B4B4B"/>
      <w:sz w:val="20"/>
      <w:szCs w:val="24"/>
    </w:rPr>
  </w:style>
  <w:style w:type="numbering" w:customStyle="1" w:styleId="HRBullet0">
    <w:name w:val="HR Bullet"/>
    <w:uiPriority w:val="99"/>
    <w:rsid w:val="003C45DA"/>
    <w:pPr>
      <w:numPr>
        <w:numId w:val="14"/>
      </w:numPr>
    </w:pPr>
  </w:style>
  <w:style w:type="paragraph" w:customStyle="1" w:styleId="BulletHymans">
    <w:name w:val="Bullet Hymans"/>
    <w:link w:val="BulletHymansChar"/>
    <w:uiPriority w:val="2"/>
    <w:qFormat/>
    <w:rsid w:val="003C45DA"/>
    <w:pPr>
      <w:numPr>
        <w:numId w:val="14"/>
      </w:numPr>
      <w:spacing w:before="20" w:after="140" w:line="280" w:lineRule="exact"/>
    </w:pPr>
    <w:rPr>
      <w:rFonts w:ascii="Arial" w:eastAsia="Times New Roman" w:hAnsi="Arial" w:cs="Arial"/>
      <w:iCs/>
      <w:color w:val="4B4B4B"/>
      <w:sz w:val="20"/>
      <w:szCs w:val="20"/>
    </w:rPr>
  </w:style>
  <w:style w:type="character" w:styleId="PageNumber">
    <w:name w:val="page number"/>
    <w:basedOn w:val="DefaultParagraphFont"/>
    <w:rsid w:val="003C45DA"/>
  </w:style>
  <w:style w:type="paragraph" w:customStyle="1" w:styleId="Appendix1">
    <w:name w:val="Appendix 1"/>
    <w:basedOn w:val="Heading1"/>
    <w:next w:val="BodyTextGrey"/>
    <w:uiPriority w:val="3"/>
    <w:qFormat/>
    <w:rsid w:val="003C45DA"/>
    <w:pPr>
      <w:keepLines/>
      <w:pageBreakBefore/>
      <w:spacing w:before="140" w:after="140" w:line="360" w:lineRule="atLeast"/>
    </w:pPr>
    <w:rPr>
      <w:rFonts w:ascii="Arial" w:hAnsi="Arial"/>
      <w:b w:val="0"/>
      <w:bCs w:val="0"/>
      <w:color w:val="3FA6CC"/>
      <w:kern w:val="28"/>
      <w:sz w:val="36"/>
      <w:szCs w:val="20"/>
    </w:rPr>
  </w:style>
  <w:style w:type="paragraph" w:customStyle="1" w:styleId="srch-metadata">
    <w:name w:val="srch-metadata"/>
    <w:basedOn w:val="Normal"/>
    <w:rsid w:val="003C45DA"/>
    <w:pPr>
      <w:spacing w:before="100" w:beforeAutospacing="1" w:after="100" w:afterAutospacing="1"/>
    </w:pPr>
  </w:style>
  <w:style w:type="character" w:customStyle="1" w:styleId="srch-url">
    <w:name w:val="srch-url"/>
    <w:basedOn w:val="DefaultParagraphFont"/>
    <w:rsid w:val="003C45DA"/>
  </w:style>
  <w:style w:type="paragraph" w:customStyle="1" w:styleId="TitleLogo">
    <w:name w:val="Title Logo"/>
    <w:basedOn w:val="Normal"/>
    <w:rsid w:val="003C45DA"/>
    <w:pPr>
      <w:spacing w:before="1200" w:after="1560"/>
    </w:pPr>
    <w:rPr>
      <w:rFonts w:ascii="ORupert" w:hAnsi="ORupert"/>
      <w:sz w:val="56"/>
      <w:szCs w:val="20"/>
      <w:lang w:eastAsia="en-US"/>
    </w:rPr>
  </w:style>
  <w:style w:type="paragraph" w:customStyle="1" w:styleId="TitleTitle">
    <w:name w:val="Title Title"/>
    <w:basedOn w:val="TitleLogo"/>
    <w:rsid w:val="003C45DA"/>
    <w:pPr>
      <w:pBdr>
        <w:top w:val="single" w:sz="6" w:space="30" w:color="auto"/>
      </w:pBdr>
      <w:spacing w:after="0"/>
      <w:ind w:left="2410"/>
    </w:pPr>
    <w:rPr>
      <w:rFonts w:ascii="Helvetica" w:hAnsi="Helvetica"/>
      <w:b/>
      <w:i/>
      <w:caps/>
      <w:color w:val="00257E"/>
      <w:sz w:val="28"/>
    </w:rPr>
  </w:style>
  <w:style w:type="paragraph" w:customStyle="1" w:styleId="TitleSubTitle">
    <w:name w:val="Title Sub Title"/>
    <w:basedOn w:val="TitleTitle"/>
    <w:rsid w:val="003C45DA"/>
    <w:pPr>
      <w:pBdr>
        <w:top w:val="none" w:sz="0" w:space="0" w:color="auto"/>
        <w:bottom w:val="single" w:sz="6" w:space="31" w:color="auto"/>
      </w:pBdr>
      <w:spacing w:before="240"/>
    </w:pPr>
    <w:rPr>
      <w:i w:val="0"/>
      <w:caps w:val="0"/>
      <w:color w:val="auto"/>
      <w:sz w:val="24"/>
    </w:rPr>
  </w:style>
  <w:style w:type="paragraph" w:customStyle="1" w:styleId="TitlePreparedBy">
    <w:name w:val="Title Prepared By"/>
    <w:basedOn w:val="Normal"/>
    <w:rsid w:val="003C45DA"/>
    <w:pPr>
      <w:spacing w:before="600"/>
      <w:ind w:left="2880"/>
    </w:pPr>
    <w:rPr>
      <w:rFonts w:ascii="Garamond" w:hAnsi="Garamond"/>
      <w:b/>
      <w:sz w:val="22"/>
      <w:szCs w:val="20"/>
      <w:lang w:eastAsia="en-US"/>
    </w:rPr>
  </w:style>
  <w:style w:type="paragraph" w:customStyle="1" w:styleId="TitleAlsoPreparedBy">
    <w:name w:val="Title Also Prepared By"/>
    <w:basedOn w:val="TitlePreparedBy"/>
    <w:rsid w:val="003C45DA"/>
  </w:style>
  <w:style w:type="paragraph" w:customStyle="1" w:styleId="ByLine">
    <w:name w:val="ByLine"/>
    <w:basedOn w:val="TitleAlsoPreparedBy"/>
    <w:rsid w:val="003C45DA"/>
  </w:style>
  <w:style w:type="paragraph" w:customStyle="1" w:styleId="BodyHeader">
    <w:name w:val="Body Header"/>
    <w:basedOn w:val="Header"/>
    <w:rsid w:val="003C45DA"/>
  </w:style>
  <w:style w:type="paragraph" w:styleId="TOC1">
    <w:name w:val="toc 1"/>
    <w:basedOn w:val="Normal"/>
    <w:next w:val="Normal"/>
    <w:rsid w:val="003C45DA"/>
    <w:pPr>
      <w:tabs>
        <w:tab w:val="right" w:pos="8648"/>
      </w:tabs>
      <w:spacing w:before="360"/>
    </w:pPr>
    <w:rPr>
      <w:rFonts w:ascii="Arial" w:hAnsi="Arial"/>
      <w:b/>
      <w:caps/>
      <w:sz w:val="22"/>
      <w:szCs w:val="20"/>
      <w:lang w:eastAsia="en-US"/>
    </w:rPr>
  </w:style>
  <w:style w:type="paragraph" w:styleId="TOC2">
    <w:name w:val="toc 2"/>
    <w:basedOn w:val="Normal"/>
    <w:next w:val="Normal"/>
    <w:rsid w:val="003C45DA"/>
    <w:pPr>
      <w:tabs>
        <w:tab w:val="right" w:pos="8648"/>
      </w:tabs>
      <w:spacing w:before="240"/>
    </w:pPr>
    <w:rPr>
      <w:b/>
      <w:sz w:val="20"/>
      <w:szCs w:val="20"/>
      <w:lang w:eastAsia="en-US"/>
    </w:rPr>
  </w:style>
  <w:style w:type="paragraph" w:customStyle="1" w:styleId="body">
    <w:name w:val="body"/>
    <w:basedOn w:val="Normal"/>
    <w:rsid w:val="003C45DA"/>
    <w:pPr>
      <w:spacing w:after="240"/>
      <w:ind w:left="720" w:hanging="720"/>
    </w:pPr>
    <w:rPr>
      <w:rFonts w:ascii="Garamond" w:hAnsi="Garamond"/>
      <w:szCs w:val="20"/>
      <w:lang w:eastAsia="en-US"/>
    </w:rPr>
  </w:style>
  <w:style w:type="paragraph" w:styleId="TOC3">
    <w:name w:val="toc 3"/>
    <w:basedOn w:val="Normal"/>
    <w:next w:val="Normal"/>
    <w:rsid w:val="003C45DA"/>
    <w:pPr>
      <w:tabs>
        <w:tab w:val="right" w:pos="8648"/>
      </w:tabs>
      <w:ind w:left="200"/>
    </w:pPr>
    <w:rPr>
      <w:sz w:val="20"/>
      <w:szCs w:val="20"/>
      <w:lang w:eastAsia="en-US"/>
    </w:rPr>
  </w:style>
  <w:style w:type="paragraph" w:styleId="TOC4">
    <w:name w:val="toc 4"/>
    <w:basedOn w:val="Normal"/>
    <w:next w:val="Normal"/>
    <w:rsid w:val="003C45DA"/>
    <w:pPr>
      <w:tabs>
        <w:tab w:val="right" w:pos="8648"/>
      </w:tabs>
      <w:ind w:left="400"/>
    </w:pPr>
    <w:rPr>
      <w:sz w:val="20"/>
      <w:szCs w:val="20"/>
      <w:lang w:eastAsia="en-US"/>
    </w:rPr>
  </w:style>
  <w:style w:type="paragraph" w:styleId="TOC5">
    <w:name w:val="toc 5"/>
    <w:basedOn w:val="Normal"/>
    <w:next w:val="Normal"/>
    <w:semiHidden/>
    <w:rsid w:val="003C45DA"/>
    <w:pPr>
      <w:tabs>
        <w:tab w:val="right" w:pos="8648"/>
      </w:tabs>
      <w:ind w:left="600"/>
    </w:pPr>
    <w:rPr>
      <w:sz w:val="20"/>
      <w:szCs w:val="20"/>
      <w:lang w:eastAsia="en-US"/>
    </w:rPr>
  </w:style>
  <w:style w:type="paragraph" w:styleId="TOC6">
    <w:name w:val="toc 6"/>
    <w:basedOn w:val="Normal"/>
    <w:next w:val="Normal"/>
    <w:semiHidden/>
    <w:rsid w:val="003C45DA"/>
    <w:pPr>
      <w:tabs>
        <w:tab w:val="right" w:pos="8648"/>
      </w:tabs>
      <w:ind w:left="800"/>
    </w:pPr>
    <w:rPr>
      <w:sz w:val="20"/>
      <w:szCs w:val="20"/>
      <w:lang w:eastAsia="en-US"/>
    </w:rPr>
  </w:style>
  <w:style w:type="paragraph" w:styleId="TOC7">
    <w:name w:val="toc 7"/>
    <w:basedOn w:val="Normal"/>
    <w:next w:val="Normal"/>
    <w:semiHidden/>
    <w:rsid w:val="003C45DA"/>
    <w:pPr>
      <w:tabs>
        <w:tab w:val="right" w:pos="8648"/>
      </w:tabs>
      <w:ind w:left="1000"/>
    </w:pPr>
    <w:rPr>
      <w:sz w:val="20"/>
      <w:szCs w:val="20"/>
      <w:lang w:eastAsia="en-US"/>
    </w:rPr>
  </w:style>
  <w:style w:type="paragraph" w:styleId="TOC8">
    <w:name w:val="toc 8"/>
    <w:basedOn w:val="Normal"/>
    <w:next w:val="Normal"/>
    <w:semiHidden/>
    <w:rsid w:val="003C45DA"/>
    <w:pPr>
      <w:tabs>
        <w:tab w:val="right" w:pos="8648"/>
      </w:tabs>
      <w:ind w:left="1200"/>
    </w:pPr>
    <w:rPr>
      <w:sz w:val="20"/>
      <w:szCs w:val="20"/>
      <w:lang w:eastAsia="en-US"/>
    </w:rPr>
  </w:style>
  <w:style w:type="paragraph" w:styleId="TOC9">
    <w:name w:val="toc 9"/>
    <w:basedOn w:val="Normal"/>
    <w:next w:val="Normal"/>
    <w:semiHidden/>
    <w:rsid w:val="003C45DA"/>
    <w:pPr>
      <w:tabs>
        <w:tab w:val="right" w:pos="8648"/>
      </w:tabs>
      <w:ind w:left="1400"/>
    </w:pPr>
    <w:rPr>
      <w:sz w:val="20"/>
      <w:szCs w:val="20"/>
      <w:lang w:eastAsia="en-US"/>
    </w:rPr>
  </w:style>
  <w:style w:type="paragraph" w:customStyle="1" w:styleId="Gap">
    <w:name w:val="Gap"/>
    <w:basedOn w:val="BodyHeader"/>
    <w:rsid w:val="003C45DA"/>
  </w:style>
  <w:style w:type="paragraph" w:customStyle="1" w:styleId="Appendix">
    <w:name w:val="Appendix"/>
    <w:basedOn w:val="Heading2"/>
    <w:rsid w:val="003C45DA"/>
    <w:pPr>
      <w:keepNext w:val="0"/>
      <w:numPr>
        <w:numId w:val="0"/>
      </w:numPr>
      <w:spacing w:before="240" w:after="240"/>
      <w:jc w:val="center"/>
      <w:outlineLvl w:val="9"/>
    </w:pPr>
    <w:rPr>
      <w:rFonts w:ascii="Garamond" w:hAnsi="Garamond"/>
      <w:sz w:val="32"/>
    </w:rPr>
  </w:style>
  <w:style w:type="paragraph" w:customStyle="1" w:styleId="AppendixNormal">
    <w:name w:val="AppendixNormal"/>
    <w:basedOn w:val="BodyText"/>
    <w:rsid w:val="003C45DA"/>
    <w:pPr>
      <w:spacing w:after="240"/>
      <w:jc w:val="both"/>
    </w:pPr>
    <w:rPr>
      <w:rFonts w:ascii="Garamond" w:hAnsi="Garamond"/>
    </w:rPr>
  </w:style>
  <w:style w:type="paragraph" w:customStyle="1" w:styleId="MainHeadingChar">
    <w:name w:val="MainHeading Char"/>
    <w:basedOn w:val="Heading1"/>
    <w:next w:val="BodyText"/>
    <w:link w:val="MainHeadingCharChar"/>
    <w:rsid w:val="003C45DA"/>
    <w:pPr>
      <w:keepNext w:val="0"/>
      <w:pBdr>
        <w:left w:val="single" w:sz="6" w:space="1" w:color="00257E"/>
        <w:bottom w:val="single" w:sz="6" w:space="1" w:color="00257E"/>
      </w:pBdr>
      <w:spacing w:before="0" w:after="480"/>
      <w:outlineLvl w:val="9"/>
    </w:pPr>
    <w:rPr>
      <w:rFonts w:ascii="Arial" w:hAnsi="Arial"/>
      <w:bCs w:val="0"/>
      <w:kern w:val="28"/>
      <w:sz w:val="28"/>
      <w:szCs w:val="20"/>
    </w:rPr>
  </w:style>
  <w:style w:type="paragraph" w:customStyle="1" w:styleId="HR3">
    <w:name w:val="HR3"/>
    <w:basedOn w:val="Heading4"/>
    <w:next w:val="Heading2"/>
    <w:rsid w:val="003C45DA"/>
    <w:pPr>
      <w:keepLines w:val="0"/>
      <w:spacing w:before="240" w:after="60" w:line="240" w:lineRule="auto"/>
      <w:ind w:left="720"/>
      <w:outlineLvl w:val="9"/>
    </w:pPr>
    <w:rPr>
      <w:rFonts w:ascii="Garamond" w:eastAsia="Times New Roman" w:hAnsi="Garamond" w:cs="Times New Roman"/>
      <w:bCs w:val="0"/>
      <w:iCs w:val="0"/>
      <w:color w:val="00257E"/>
      <w:szCs w:val="20"/>
    </w:rPr>
  </w:style>
  <w:style w:type="paragraph" w:customStyle="1" w:styleId="HRsub2">
    <w:name w:val="HRsub2"/>
    <w:basedOn w:val="HR3"/>
    <w:next w:val="BodyText"/>
    <w:rsid w:val="003C45DA"/>
  </w:style>
  <w:style w:type="paragraph" w:customStyle="1" w:styleId="HRtable">
    <w:name w:val="HRtable"/>
    <w:basedOn w:val="Heading3"/>
    <w:rsid w:val="003C45DA"/>
    <w:pPr>
      <w:keepNext w:val="0"/>
      <w:keepLines w:val="0"/>
      <w:spacing w:before="0"/>
      <w:outlineLvl w:val="9"/>
    </w:pPr>
    <w:rPr>
      <w:rFonts w:ascii="Arial" w:hAnsi="Arial"/>
      <w:b w:val="0"/>
      <w:bCs w:val="0"/>
      <w:color w:val="000000"/>
      <w:sz w:val="22"/>
      <w:szCs w:val="20"/>
      <w:lang w:eastAsia="en-US"/>
    </w:rPr>
  </w:style>
  <w:style w:type="paragraph" w:customStyle="1" w:styleId="TableSpacer">
    <w:name w:val="TableSpacer"/>
    <w:basedOn w:val="Normal"/>
    <w:next w:val="Heading2"/>
    <w:rsid w:val="003C45DA"/>
    <w:pPr>
      <w:spacing w:before="240"/>
    </w:pPr>
    <w:rPr>
      <w:rFonts w:ascii="Arial" w:hAnsi="Arial"/>
      <w:b/>
      <w:color w:val="FFFFFF"/>
      <w:sz w:val="28"/>
      <w:szCs w:val="20"/>
      <w:lang w:eastAsia="en-US"/>
    </w:rPr>
  </w:style>
  <w:style w:type="paragraph" w:customStyle="1" w:styleId="HRnum">
    <w:name w:val="HRnum"/>
    <w:basedOn w:val="HRbullet"/>
    <w:rsid w:val="003C45DA"/>
    <w:pPr>
      <w:numPr>
        <w:numId w:val="0"/>
      </w:numPr>
      <w:tabs>
        <w:tab w:val="num" w:pos="720"/>
      </w:tabs>
      <w:ind w:left="1440" w:hanging="720"/>
    </w:pPr>
  </w:style>
  <w:style w:type="character" w:customStyle="1" w:styleId="BodyTextChar1">
    <w:name w:val="Body Text Char1"/>
    <w:aliases w:val="Body Text Char Char"/>
    <w:basedOn w:val="DefaultParagraphFont"/>
    <w:rsid w:val="003C45DA"/>
    <w:rPr>
      <w:rFonts w:ascii="Garamond" w:hAnsi="Garamond"/>
      <w:sz w:val="24"/>
      <w:lang w:val="en-GB" w:eastAsia="en-US" w:bidi="ar-SA"/>
    </w:rPr>
  </w:style>
  <w:style w:type="character" w:customStyle="1" w:styleId="Heading1Char1">
    <w:name w:val="Heading 1 Char1"/>
    <w:aliases w:val="Heading 1 Char Char,HR1 Char Char"/>
    <w:basedOn w:val="DefaultParagraphFont"/>
    <w:rsid w:val="003C45DA"/>
    <w:rPr>
      <w:rFonts w:ascii="Arial" w:hAnsi="Arial"/>
      <w:b/>
      <w:kern w:val="28"/>
      <w:sz w:val="28"/>
      <w:lang w:val="en-GB" w:eastAsia="en-US" w:bidi="ar-SA"/>
    </w:rPr>
  </w:style>
  <w:style w:type="character" w:customStyle="1" w:styleId="MainHeadingCharChar">
    <w:name w:val="MainHeading Char Char"/>
    <w:basedOn w:val="Heading1Char1"/>
    <w:link w:val="MainHeadingChar"/>
    <w:rsid w:val="003C45DA"/>
    <w:rPr>
      <w:rFonts w:ascii="Arial" w:eastAsia="Times New Roman" w:hAnsi="Arial" w:cs="Times New Roman"/>
      <w:b/>
      <w:kern w:val="28"/>
      <w:sz w:val="28"/>
      <w:szCs w:val="20"/>
      <w:lang w:val="en-GB" w:eastAsia="en-US" w:bidi="ar-SA"/>
    </w:rPr>
  </w:style>
  <w:style w:type="character" w:customStyle="1" w:styleId="BulletHymansChar">
    <w:name w:val="Bullet Hymans Char"/>
    <w:basedOn w:val="DefaultParagraphFont"/>
    <w:link w:val="BulletHymans"/>
    <w:uiPriority w:val="2"/>
    <w:rsid w:val="003C45DA"/>
    <w:rPr>
      <w:rFonts w:ascii="Arial" w:eastAsia="Times New Roman" w:hAnsi="Arial" w:cs="Arial"/>
      <w:iCs/>
      <w:color w:val="4B4B4B"/>
      <w:sz w:val="20"/>
      <w:szCs w:val="20"/>
    </w:rPr>
  </w:style>
  <w:style w:type="numbering" w:customStyle="1" w:styleId="HRNumber">
    <w:name w:val="HR Number"/>
    <w:uiPriority w:val="99"/>
    <w:rsid w:val="003C45DA"/>
    <w:pPr>
      <w:numPr>
        <w:numId w:val="15"/>
      </w:numPr>
    </w:pPr>
  </w:style>
  <w:style w:type="paragraph" w:customStyle="1" w:styleId="NumberHymans">
    <w:name w:val="Number Hymans"/>
    <w:uiPriority w:val="2"/>
    <w:qFormat/>
    <w:rsid w:val="003C45DA"/>
    <w:pPr>
      <w:numPr>
        <w:numId w:val="16"/>
      </w:numPr>
      <w:spacing w:after="140" w:line="280" w:lineRule="exact"/>
    </w:pPr>
    <w:rPr>
      <w:rFonts w:ascii="Arial" w:eastAsia="Times New Roman" w:hAnsi="Arial" w:cs="Arial"/>
      <w:iCs/>
      <w:color w:val="4B4B4B"/>
      <w:sz w:val="20"/>
      <w:szCs w:val="20"/>
    </w:rPr>
  </w:style>
  <w:style w:type="numbering" w:customStyle="1" w:styleId="NoList1">
    <w:name w:val="No List1"/>
    <w:next w:val="NoList"/>
    <w:uiPriority w:val="99"/>
    <w:semiHidden/>
    <w:unhideWhenUsed/>
    <w:rsid w:val="003C45DA"/>
  </w:style>
  <w:style w:type="table" w:customStyle="1" w:styleId="TableGrid1">
    <w:name w:val="Table Grid1"/>
    <w:basedOn w:val="TableNormal"/>
    <w:next w:val="TableGrid"/>
    <w:uiPriority w:val="99"/>
    <w:rsid w:val="003C4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
    <w:name w:val="Body Text Num"/>
    <w:basedOn w:val="BodyText"/>
    <w:rsid w:val="003C45DA"/>
    <w:pPr>
      <w:spacing w:before="20" w:after="200" w:line="280" w:lineRule="atLeast"/>
    </w:pPr>
    <w:rPr>
      <w:rFonts w:ascii="Arial" w:hAnsi="Arial" w:cs="Arial"/>
      <w:iCs/>
      <w:color w:val="4B4B4B"/>
      <w:sz w:val="20"/>
    </w:rPr>
  </w:style>
  <w:style w:type="paragraph" w:customStyle="1" w:styleId="NumberedParagraph">
    <w:name w:val="Numbered Paragraph"/>
    <w:basedOn w:val="Heading2"/>
    <w:rsid w:val="003C45DA"/>
    <w:pPr>
      <w:numPr>
        <w:numId w:val="0"/>
      </w:numPr>
      <w:tabs>
        <w:tab w:val="num" w:pos="720"/>
      </w:tabs>
    </w:pPr>
    <w:rPr>
      <w:rFonts w:ascii="Arial" w:hAnsi="Arial" w:cs="Arial"/>
      <w:b w:val="0"/>
      <w:szCs w:val="24"/>
    </w:rPr>
  </w:style>
  <w:style w:type="paragraph" w:customStyle="1" w:styleId="text">
    <w:name w:val="text"/>
    <w:basedOn w:val="Normal"/>
    <w:rsid w:val="003C45DA"/>
    <w:pPr>
      <w:spacing w:before="100" w:beforeAutospacing="1" w:after="100" w:afterAutospacing="1"/>
    </w:pPr>
    <w:rPr>
      <w:rFonts w:ascii="Arial" w:hAnsi="Arial" w:cs="Arial"/>
      <w:color w:val="666666"/>
      <w:sz w:val="20"/>
      <w:szCs w:val="20"/>
    </w:rPr>
  </w:style>
  <w:style w:type="paragraph" w:customStyle="1" w:styleId="hBullet2">
    <w:name w:val="hBullet2"/>
    <w:basedOn w:val="BodyText"/>
    <w:rsid w:val="003C45DA"/>
    <w:pPr>
      <w:widowControl w:val="0"/>
      <w:numPr>
        <w:numId w:val="17"/>
      </w:numPr>
      <w:tabs>
        <w:tab w:val="clear" w:pos="1418"/>
        <w:tab w:val="num" w:pos="360"/>
      </w:tabs>
      <w:spacing w:before="120" w:line="280" w:lineRule="atLeast"/>
      <w:ind w:left="0" w:firstLine="0"/>
    </w:pPr>
    <w:rPr>
      <w:rFonts w:ascii="Arial" w:hAnsi="Arial"/>
      <w:color w:val="4B4B4B"/>
      <w:sz w:val="20"/>
      <w:szCs w:val="24"/>
    </w:rPr>
  </w:style>
  <w:style w:type="paragraph" w:customStyle="1" w:styleId="hBullet1">
    <w:name w:val="hBullet1"/>
    <w:basedOn w:val="BodyText"/>
    <w:rsid w:val="003C45DA"/>
    <w:pPr>
      <w:widowControl w:val="0"/>
      <w:numPr>
        <w:numId w:val="19"/>
      </w:numPr>
      <w:tabs>
        <w:tab w:val="clear" w:pos="851"/>
        <w:tab w:val="num" w:pos="360"/>
      </w:tabs>
      <w:spacing w:before="120" w:line="280" w:lineRule="atLeast"/>
      <w:ind w:left="0" w:firstLine="0"/>
    </w:pPr>
    <w:rPr>
      <w:rFonts w:ascii="Arial" w:hAnsi="Arial"/>
      <w:color w:val="4B4B4B"/>
      <w:sz w:val="20"/>
      <w:szCs w:val="24"/>
    </w:rPr>
  </w:style>
  <w:style w:type="character" w:customStyle="1" w:styleId="Mention1">
    <w:name w:val="Mention1"/>
    <w:basedOn w:val="DefaultParagraphFont"/>
    <w:uiPriority w:val="99"/>
    <w:semiHidden/>
    <w:unhideWhenUsed/>
    <w:rsid w:val="003C45DA"/>
    <w:rPr>
      <w:color w:val="2B579A"/>
      <w:shd w:val="clear" w:color="auto" w:fill="E6E6E6"/>
    </w:rPr>
  </w:style>
  <w:style w:type="paragraph" w:customStyle="1" w:styleId="Appendix2">
    <w:name w:val="Appendix 2"/>
    <w:basedOn w:val="Heading2"/>
    <w:next w:val="BodyTextGrey"/>
    <w:uiPriority w:val="3"/>
    <w:qFormat/>
    <w:rsid w:val="003C45DA"/>
    <w:pPr>
      <w:keepLines/>
      <w:numPr>
        <w:numId w:val="0"/>
      </w:numPr>
      <w:spacing w:line="280" w:lineRule="atLeast"/>
    </w:pPr>
    <w:rPr>
      <w:rFonts w:ascii="Arial" w:hAnsi="Arial" w:cs="Arial"/>
      <w:iCs/>
      <w:color w:val="4472C4" w:themeColor="accent1"/>
      <w:sz w:val="20"/>
      <w:szCs w:val="22"/>
    </w:rPr>
  </w:style>
  <w:style w:type="paragraph" w:customStyle="1" w:styleId="Appendix3">
    <w:name w:val="Appendix 3"/>
    <w:basedOn w:val="Heading3"/>
    <w:next w:val="BodyTextGrey"/>
    <w:uiPriority w:val="3"/>
    <w:qFormat/>
    <w:rsid w:val="003C45DA"/>
    <w:pPr>
      <w:spacing w:before="20" w:after="20" w:line="280" w:lineRule="atLeast"/>
    </w:pPr>
    <w:rPr>
      <w:rFonts w:ascii="Arial" w:hAnsi="Arial" w:cs="Arial"/>
      <w:bCs w:val="0"/>
      <w:iCs/>
      <w:color w:val="000000" w:themeColor="text1"/>
      <w:sz w:val="20"/>
      <w:szCs w:val="20"/>
      <w:lang w:eastAsia="en-US"/>
    </w:rPr>
  </w:style>
  <w:style w:type="paragraph" w:customStyle="1" w:styleId="FooterText">
    <w:name w:val="Footer Text"/>
    <w:basedOn w:val="Normal"/>
    <w:uiPriority w:val="4"/>
    <w:rsid w:val="003C45DA"/>
    <w:pPr>
      <w:keepLines/>
      <w:pBdr>
        <w:top w:val="single" w:sz="2" w:space="4" w:color="646464"/>
      </w:pBdr>
      <w:spacing w:before="20" w:line="280" w:lineRule="atLeast"/>
      <w:ind w:left="-425"/>
    </w:pPr>
    <w:rPr>
      <w:rFonts w:ascii="Arial" w:hAnsi="Arial" w:cs="Arial"/>
      <w:iCs/>
      <w:color w:val="4B4B4B"/>
      <w:sz w:val="20"/>
      <w:szCs w:val="20"/>
    </w:rPr>
  </w:style>
  <w:style w:type="paragraph" w:customStyle="1" w:styleId="FreedomHeading">
    <w:name w:val="Freedom Heading"/>
    <w:basedOn w:val="Heading1"/>
    <w:next w:val="Normal"/>
    <w:uiPriority w:val="4"/>
    <w:rsid w:val="003C45DA"/>
    <w:pPr>
      <w:keepLines/>
      <w:spacing w:before="140" w:after="140" w:line="360" w:lineRule="atLeast"/>
    </w:pPr>
    <w:rPr>
      <w:rFonts w:ascii="Arial" w:hAnsi="Arial"/>
      <w:b w:val="0"/>
      <w:bCs w:val="0"/>
      <w:caps/>
      <w:color w:val="40A6CC"/>
      <w:kern w:val="28"/>
      <w:sz w:val="36"/>
      <w:szCs w:val="20"/>
    </w:rPr>
  </w:style>
  <w:style w:type="paragraph" w:customStyle="1" w:styleId="hBullets">
    <w:name w:val="hBullets"/>
    <w:uiPriority w:val="3"/>
    <w:rsid w:val="003C45DA"/>
    <w:pPr>
      <w:numPr>
        <w:numId w:val="20"/>
      </w:numPr>
      <w:spacing w:before="20" w:after="20" w:line="280" w:lineRule="atLeast"/>
    </w:pPr>
    <w:rPr>
      <w:rFonts w:ascii="Arial" w:eastAsia="Times New Roman" w:hAnsi="Arial" w:cs="Times New Roman"/>
      <w:color w:val="4B4B4B"/>
      <w:sz w:val="20"/>
      <w:szCs w:val="24"/>
      <w:lang w:eastAsia="en-GB"/>
    </w:rPr>
  </w:style>
  <w:style w:type="paragraph" w:customStyle="1" w:styleId="Heading1Num">
    <w:name w:val="Heading 1 Num"/>
    <w:basedOn w:val="Heading1"/>
    <w:next w:val="BodyTextGrey"/>
    <w:uiPriority w:val="1"/>
    <w:qFormat/>
    <w:rsid w:val="003C45DA"/>
    <w:pPr>
      <w:keepLines/>
      <w:numPr>
        <w:numId w:val="23"/>
      </w:numPr>
      <w:spacing w:before="140" w:after="140" w:line="360" w:lineRule="atLeast"/>
    </w:pPr>
    <w:rPr>
      <w:rFonts w:ascii="Arial" w:hAnsi="Arial"/>
      <w:b w:val="0"/>
      <w:bCs w:val="0"/>
      <w:color w:val="3FA6CC"/>
      <w:kern w:val="28"/>
      <w:sz w:val="36"/>
      <w:szCs w:val="20"/>
    </w:rPr>
  </w:style>
  <w:style w:type="paragraph" w:customStyle="1" w:styleId="Heading2Num">
    <w:name w:val="Heading 2 Num"/>
    <w:basedOn w:val="Heading2"/>
    <w:next w:val="BodyTextGrey"/>
    <w:uiPriority w:val="1"/>
    <w:qFormat/>
    <w:rsid w:val="003C45DA"/>
    <w:pPr>
      <w:keepLines/>
      <w:numPr>
        <w:ilvl w:val="1"/>
        <w:numId w:val="23"/>
      </w:numPr>
      <w:spacing w:line="280" w:lineRule="atLeast"/>
    </w:pPr>
    <w:rPr>
      <w:rFonts w:ascii="Arial" w:hAnsi="Arial" w:cs="Arial"/>
      <w:iCs/>
      <w:color w:val="4472C4" w:themeColor="accent1"/>
      <w:sz w:val="20"/>
    </w:rPr>
  </w:style>
  <w:style w:type="paragraph" w:customStyle="1" w:styleId="Heading3Num">
    <w:name w:val="Heading 3 Num"/>
    <w:basedOn w:val="Heading3"/>
    <w:next w:val="BodyTextGrey"/>
    <w:uiPriority w:val="1"/>
    <w:qFormat/>
    <w:rsid w:val="003C45DA"/>
    <w:pPr>
      <w:numPr>
        <w:ilvl w:val="2"/>
        <w:numId w:val="23"/>
      </w:numPr>
      <w:spacing w:before="20" w:after="20" w:line="280" w:lineRule="atLeast"/>
    </w:pPr>
    <w:rPr>
      <w:rFonts w:ascii="Arial" w:hAnsi="Arial" w:cs="Arial"/>
      <w:bCs w:val="0"/>
      <w:iCs/>
      <w:color w:val="000000" w:themeColor="text1"/>
      <w:sz w:val="20"/>
      <w:szCs w:val="20"/>
      <w:lang w:eastAsia="en-US"/>
    </w:rPr>
  </w:style>
  <w:style w:type="paragraph" w:customStyle="1" w:styleId="hNumber1">
    <w:name w:val="hNumber1"/>
    <w:rsid w:val="003C45DA"/>
    <w:pPr>
      <w:widowControl w:val="0"/>
      <w:numPr>
        <w:numId w:val="21"/>
      </w:numPr>
      <w:spacing w:before="20" w:after="20" w:line="280" w:lineRule="atLeast"/>
    </w:pPr>
    <w:rPr>
      <w:rFonts w:ascii="Arial" w:eastAsia="Times New Roman" w:hAnsi="Arial" w:cs="Times New Roman"/>
      <w:color w:val="4B4B4B"/>
      <w:sz w:val="20"/>
      <w:szCs w:val="24"/>
      <w:lang w:eastAsia="en-GB"/>
    </w:rPr>
  </w:style>
  <w:style w:type="paragraph" w:customStyle="1" w:styleId="HymanHeader">
    <w:name w:val="HymanHeader"/>
    <w:basedOn w:val="Normal"/>
    <w:uiPriority w:val="3"/>
    <w:rsid w:val="003C45DA"/>
    <w:pPr>
      <w:pBdr>
        <w:top w:val="single" w:sz="2" w:space="4" w:color="646464"/>
      </w:pBdr>
      <w:spacing w:before="20" w:after="200" w:line="280" w:lineRule="atLeast"/>
      <w:ind w:left="-425"/>
    </w:pPr>
    <w:rPr>
      <w:rFonts w:ascii="Arial" w:hAnsi="Arial" w:cs="Arial"/>
      <w:iCs/>
      <w:color w:val="4B4B4B"/>
      <w:sz w:val="20"/>
      <w:szCs w:val="20"/>
      <w:lang w:val="fr-FR"/>
    </w:rPr>
  </w:style>
  <w:style w:type="paragraph" w:customStyle="1" w:styleId="LetterDate">
    <w:name w:val="Letter Date"/>
    <w:basedOn w:val="Normal"/>
    <w:uiPriority w:val="3"/>
    <w:rsid w:val="003C45DA"/>
    <w:pPr>
      <w:spacing w:before="480" w:after="480" w:line="280" w:lineRule="atLeast"/>
    </w:pPr>
    <w:rPr>
      <w:rFonts w:ascii="Arial" w:hAnsi="Arial"/>
      <w:iCs/>
      <w:color w:val="646464"/>
      <w:sz w:val="20"/>
      <w:szCs w:val="28"/>
    </w:rPr>
  </w:style>
  <w:style w:type="paragraph" w:customStyle="1" w:styleId="ListBullet-Hymans">
    <w:name w:val="List Bullet - Hymans"/>
    <w:basedOn w:val="Normal"/>
    <w:uiPriority w:val="3"/>
    <w:rsid w:val="003C45DA"/>
    <w:pPr>
      <w:tabs>
        <w:tab w:val="num" w:pos="360"/>
      </w:tabs>
      <w:spacing w:before="20" w:line="280" w:lineRule="atLeast"/>
      <w:ind w:left="360" w:hanging="360"/>
      <w:jc w:val="both"/>
    </w:pPr>
    <w:rPr>
      <w:rFonts w:ascii="Arial" w:hAnsi="Arial" w:cs="Arial"/>
      <w:iCs/>
      <w:color w:val="000000" w:themeColor="text1"/>
      <w:sz w:val="20"/>
      <w:szCs w:val="20"/>
    </w:rPr>
  </w:style>
  <w:style w:type="paragraph" w:customStyle="1" w:styleId="NormalLeft">
    <w:name w:val="Normal Left"/>
    <w:basedOn w:val="Normal"/>
    <w:uiPriority w:val="3"/>
    <w:rsid w:val="003C45DA"/>
    <w:pPr>
      <w:spacing w:before="20" w:line="280" w:lineRule="atLeast"/>
      <w:ind w:left="-400"/>
      <w:jc w:val="both"/>
    </w:pPr>
    <w:rPr>
      <w:rFonts w:ascii="Arial" w:hAnsi="Arial"/>
      <w:iCs/>
      <w:color w:val="000000" w:themeColor="text1"/>
      <w:sz w:val="20"/>
      <w:szCs w:val="20"/>
    </w:rPr>
  </w:style>
  <w:style w:type="paragraph" w:customStyle="1" w:styleId="Signatory">
    <w:name w:val="Signatory"/>
    <w:basedOn w:val="Normal"/>
    <w:uiPriority w:val="3"/>
    <w:rsid w:val="003C45DA"/>
    <w:pPr>
      <w:spacing w:before="20" w:after="200" w:line="280" w:lineRule="atLeast"/>
    </w:pPr>
    <w:rPr>
      <w:rFonts w:ascii="Arial" w:hAnsi="Arial" w:cs="Arial"/>
      <w:iCs/>
      <w:sz w:val="16"/>
      <w:szCs w:val="20"/>
    </w:rPr>
  </w:style>
  <w:style w:type="paragraph" w:customStyle="1" w:styleId="StyleLeft45cm">
    <w:name w:val="Style Left:  4.5 cm"/>
    <w:basedOn w:val="Normal"/>
    <w:uiPriority w:val="3"/>
    <w:rsid w:val="003C45DA"/>
    <w:pPr>
      <w:spacing w:before="20" w:line="280" w:lineRule="atLeast"/>
      <w:ind w:left="2552"/>
      <w:jc w:val="both"/>
    </w:pPr>
    <w:rPr>
      <w:rFonts w:ascii="Arial" w:hAnsi="Arial"/>
      <w:iCs/>
      <w:color w:val="000000" w:themeColor="text1"/>
      <w:sz w:val="20"/>
      <w:szCs w:val="20"/>
    </w:rPr>
  </w:style>
  <w:style w:type="paragraph" w:customStyle="1" w:styleId="StyleTenderVerticalSmallLeftBefore1ptAfter1pt">
    <w:name w:val="Style Tender Vertical Small + Left Before:  1 pt After:  1 pt"/>
    <w:basedOn w:val="TenderVerticalSmall"/>
    <w:uiPriority w:val="3"/>
    <w:rsid w:val="003C45DA"/>
    <w:pPr>
      <w:spacing w:after="20"/>
      <w:jc w:val="left"/>
    </w:pPr>
    <w:rPr>
      <w:rFonts w:cs="Times New Roman"/>
      <w:iCs w:val="0"/>
      <w:szCs w:val="20"/>
    </w:rPr>
  </w:style>
  <w:style w:type="paragraph" w:customStyle="1" w:styleId="TableColumn1">
    <w:name w:val="Table Column1"/>
    <w:basedOn w:val="TableHeader"/>
    <w:autoRedefine/>
    <w:uiPriority w:val="3"/>
    <w:rsid w:val="003C45DA"/>
  </w:style>
  <w:style w:type="paragraph" w:customStyle="1" w:styleId="TableHeader">
    <w:name w:val="Table Header"/>
    <w:basedOn w:val="TableText0"/>
    <w:uiPriority w:val="3"/>
    <w:rsid w:val="003C45DA"/>
    <w:pPr>
      <w:spacing w:after="20"/>
    </w:pPr>
    <w:rPr>
      <w:color w:val="FFFFFF"/>
    </w:rPr>
  </w:style>
  <w:style w:type="paragraph" w:customStyle="1" w:styleId="TableText0">
    <w:name w:val="Table Text"/>
    <w:basedOn w:val="Normal"/>
    <w:uiPriority w:val="3"/>
    <w:rsid w:val="003C45DA"/>
    <w:pPr>
      <w:spacing w:before="20" w:after="200" w:line="280" w:lineRule="atLeast"/>
    </w:pPr>
    <w:rPr>
      <w:rFonts w:ascii="Arial" w:hAnsi="Arial" w:cs="Arial"/>
      <w:iCs/>
      <w:sz w:val="20"/>
      <w:szCs w:val="20"/>
    </w:rPr>
  </w:style>
  <w:style w:type="paragraph" w:customStyle="1" w:styleId="TableHeaderText-Hymans">
    <w:name w:val="TableHeaderText - Hymans"/>
    <w:basedOn w:val="Normal"/>
    <w:uiPriority w:val="3"/>
    <w:rsid w:val="003C45DA"/>
    <w:pPr>
      <w:spacing w:before="20" w:line="280" w:lineRule="atLeast"/>
      <w:jc w:val="both"/>
    </w:pPr>
    <w:rPr>
      <w:iCs/>
      <w:color w:val="000000" w:themeColor="text1"/>
    </w:rPr>
  </w:style>
  <w:style w:type="paragraph" w:customStyle="1" w:styleId="TableText-Hymans">
    <w:name w:val="TableText - Hymans"/>
    <w:basedOn w:val="Normal"/>
    <w:uiPriority w:val="3"/>
    <w:rsid w:val="003C45DA"/>
    <w:pPr>
      <w:spacing w:before="20" w:line="280" w:lineRule="atLeast"/>
      <w:jc w:val="both"/>
    </w:pPr>
    <w:rPr>
      <w:iCs/>
      <w:color w:val="000000" w:themeColor="text1"/>
    </w:rPr>
  </w:style>
  <w:style w:type="paragraph" w:customStyle="1" w:styleId="TenderAppendix">
    <w:name w:val="Tender Appendix"/>
    <w:next w:val="Normal"/>
    <w:uiPriority w:val="3"/>
    <w:rsid w:val="003C45DA"/>
    <w:pPr>
      <w:keepNext/>
      <w:keepLines/>
      <w:spacing w:before="20" w:after="0" w:line="240" w:lineRule="auto"/>
    </w:pPr>
    <w:rPr>
      <w:rFonts w:ascii="Arial" w:eastAsia="Times New Roman" w:hAnsi="Arial" w:cs="Times New Roman"/>
      <w:caps/>
      <w:color w:val="40A6CC"/>
      <w:sz w:val="36"/>
      <w:szCs w:val="20"/>
      <w:lang w:eastAsia="en-GB"/>
    </w:rPr>
  </w:style>
  <w:style w:type="paragraph" w:customStyle="1" w:styleId="TenderBluetext">
    <w:name w:val="Tender Blue text"/>
    <w:basedOn w:val="Normal"/>
    <w:rsid w:val="003C45DA"/>
    <w:pPr>
      <w:tabs>
        <w:tab w:val="right" w:pos="6271"/>
      </w:tabs>
      <w:spacing w:before="120" w:line="280" w:lineRule="atLeast"/>
    </w:pPr>
    <w:rPr>
      <w:rFonts w:ascii="Arial" w:hAnsi="Arial"/>
      <w:color w:val="3FA6CC"/>
      <w:sz w:val="20"/>
      <w:szCs w:val="20"/>
    </w:rPr>
  </w:style>
  <w:style w:type="paragraph" w:customStyle="1" w:styleId="TenderBullet">
    <w:name w:val="Tender Bullet"/>
    <w:basedOn w:val="Normal"/>
    <w:uiPriority w:val="3"/>
    <w:rsid w:val="003C45DA"/>
    <w:pPr>
      <w:tabs>
        <w:tab w:val="num" w:pos="360"/>
      </w:tabs>
      <w:spacing w:before="20" w:after="240" w:line="280" w:lineRule="atLeast"/>
      <w:ind w:left="360" w:right="-3" w:hanging="360"/>
      <w:jc w:val="both"/>
    </w:pPr>
    <w:rPr>
      <w:rFonts w:ascii="Arial" w:hAnsi="Arial" w:cs="Arial"/>
      <w:b/>
      <w:iCs/>
      <w:color w:val="000000" w:themeColor="text1"/>
      <w:sz w:val="20"/>
      <w:szCs w:val="20"/>
    </w:rPr>
  </w:style>
  <w:style w:type="paragraph" w:customStyle="1" w:styleId="TenderH1">
    <w:name w:val="Tender H1"/>
    <w:next w:val="Normal"/>
    <w:uiPriority w:val="3"/>
    <w:rsid w:val="003C45DA"/>
    <w:pPr>
      <w:keepNext/>
      <w:keepLines/>
      <w:tabs>
        <w:tab w:val="num" w:pos="0"/>
      </w:tabs>
      <w:spacing w:before="20" w:after="360" w:line="240" w:lineRule="auto"/>
      <w:ind w:hanging="403"/>
    </w:pPr>
    <w:rPr>
      <w:rFonts w:ascii="Arial" w:eastAsia="Times New Roman" w:hAnsi="Arial" w:cs="Times New Roman"/>
      <w:caps/>
      <w:color w:val="40A6CC"/>
      <w:sz w:val="36"/>
      <w:szCs w:val="20"/>
      <w:lang w:eastAsia="en-GB"/>
    </w:rPr>
  </w:style>
  <w:style w:type="paragraph" w:customStyle="1" w:styleId="TenderH2">
    <w:name w:val="Tender H2"/>
    <w:basedOn w:val="Normal"/>
    <w:next w:val="Normal"/>
    <w:uiPriority w:val="3"/>
    <w:rsid w:val="003C45DA"/>
    <w:pPr>
      <w:keepNext/>
      <w:keepLines/>
      <w:tabs>
        <w:tab w:val="num" w:pos="0"/>
      </w:tabs>
      <w:spacing w:before="20" w:line="280" w:lineRule="atLeast"/>
      <w:jc w:val="both"/>
    </w:pPr>
    <w:rPr>
      <w:rFonts w:ascii="Arial" w:hAnsi="Arial" w:cs="Arial"/>
      <w:iCs/>
      <w:caps/>
      <w:color w:val="F06A00"/>
      <w:sz w:val="20"/>
      <w:szCs w:val="20"/>
    </w:rPr>
  </w:style>
  <w:style w:type="paragraph" w:customStyle="1" w:styleId="TenderIntro">
    <w:name w:val="Tender Intro"/>
    <w:uiPriority w:val="3"/>
    <w:rsid w:val="003C45DA"/>
    <w:pPr>
      <w:spacing w:before="20" w:after="360" w:line="240" w:lineRule="auto"/>
      <w:ind w:left="-403"/>
    </w:pPr>
    <w:rPr>
      <w:rFonts w:ascii="Arial" w:eastAsia="Times New Roman" w:hAnsi="Arial" w:cs="Times New Roman"/>
      <w:caps/>
      <w:color w:val="40A6CC"/>
      <w:sz w:val="36"/>
      <w:szCs w:val="20"/>
      <w:lang w:eastAsia="en-GB"/>
    </w:rPr>
  </w:style>
  <w:style w:type="paragraph" w:customStyle="1" w:styleId="TenderQuestion">
    <w:name w:val="Tender Question"/>
    <w:next w:val="BodyTextGrey"/>
    <w:qFormat/>
    <w:rsid w:val="003C45DA"/>
    <w:pPr>
      <w:numPr>
        <w:numId w:val="22"/>
      </w:numPr>
      <w:tabs>
        <w:tab w:val="left" w:pos="567"/>
      </w:tabs>
      <w:spacing w:before="20" w:after="20" w:line="240" w:lineRule="auto"/>
    </w:pPr>
    <w:rPr>
      <w:rFonts w:ascii="Arial" w:eastAsia="Times New Roman" w:hAnsi="Arial" w:cs="Arial"/>
      <w:iCs/>
      <w:color w:val="3FA6CC"/>
      <w:sz w:val="20"/>
      <w:szCs w:val="20"/>
    </w:rPr>
  </w:style>
  <w:style w:type="paragraph" w:customStyle="1" w:styleId="TenderTableHeader">
    <w:name w:val="Tender Table Header"/>
    <w:basedOn w:val="Normal"/>
    <w:uiPriority w:val="3"/>
    <w:rsid w:val="003C45DA"/>
    <w:pPr>
      <w:spacing w:before="20" w:line="280" w:lineRule="atLeast"/>
      <w:jc w:val="both"/>
    </w:pPr>
    <w:rPr>
      <w:rFonts w:ascii="Arial" w:hAnsi="Arial" w:cs="Arial"/>
      <w:iCs/>
      <w:color w:val="FFFFFF"/>
      <w:sz w:val="20"/>
      <w:szCs w:val="20"/>
    </w:rPr>
  </w:style>
  <w:style w:type="paragraph" w:customStyle="1" w:styleId="TenderVerticalBigBlue">
    <w:name w:val="Tender Vertical Big Blue"/>
    <w:uiPriority w:val="3"/>
    <w:rsid w:val="003C45DA"/>
    <w:pPr>
      <w:tabs>
        <w:tab w:val="right" w:pos="9180"/>
      </w:tabs>
      <w:spacing w:before="20" w:after="0" w:line="280" w:lineRule="atLeast"/>
    </w:pPr>
    <w:rPr>
      <w:rFonts w:ascii="Arial" w:eastAsia="Times New Roman" w:hAnsi="Arial" w:cs="Arial"/>
      <w:iCs/>
      <w:caps/>
      <w:color w:val="40A6CC"/>
      <w:sz w:val="112"/>
      <w:szCs w:val="112"/>
      <w:lang w:eastAsia="en-GB"/>
    </w:rPr>
  </w:style>
  <w:style w:type="paragraph" w:customStyle="1" w:styleId="TenderVerticalSmall">
    <w:name w:val="Tender Vertical Small"/>
    <w:basedOn w:val="Normal"/>
    <w:uiPriority w:val="3"/>
    <w:rsid w:val="003C45DA"/>
    <w:pPr>
      <w:tabs>
        <w:tab w:val="right" w:pos="9180"/>
      </w:tabs>
      <w:spacing w:before="20" w:line="280" w:lineRule="atLeast"/>
      <w:jc w:val="both"/>
    </w:pPr>
    <w:rPr>
      <w:rFonts w:ascii="Arial" w:hAnsi="Arial" w:cs="Arial"/>
      <w:iCs/>
      <w:caps/>
      <w:color w:val="646464"/>
      <w:sz w:val="36"/>
      <w:szCs w:val="36"/>
    </w:rPr>
  </w:style>
  <w:style w:type="paragraph" w:customStyle="1" w:styleId="Action">
    <w:name w:val="Action"/>
    <w:basedOn w:val="Normal"/>
    <w:link w:val="ActionChar"/>
    <w:uiPriority w:val="3"/>
    <w:rsid w:val="003C45DA"/>
    <w:pPr>
      <w:spacing w:before="20" w:after="200" w:line="280" w:lineRule="atLeast"/>
    </w:pPr>
    <w:rPr>
      <w:rFonts w:ascii="Arial" w:hAnsi="Arial" w:cs="Arial"/>
      <w:iCs/>
      <w:color w:val="3FA6CC"/>
      <w:sz w:val="20"/>
      <w:szCs w:val="20"/>
    </w:rPr>
  </w:style>
  <w:style w:type="character" w:customStyle="1" w:styleId="ActionChar">
    <w:name w:val="Action Char"/>
    <w:basedOn w:val="DefaultParagraphFont"/>
    <w:link w:val="Action"/>
    <w:uiPriority w:val="3"/>
    <w:rsid w:val="003C45DA"/>
    <w:rPr>
      <w:rFonts w:ascii="Arial" w:eastAsia="Times New Roman" w:hAnsi="Arial" w:cs="Arial"/>
      <w:iCs/>
      <w:color w:val="3FA6CC"/>
      <w:sz w:val="20"/>
      <w:szCs w:val="20"/>
      <w:lang w:eastAsia="en-GB"/>
    </w:rPr>
  </w:style>
  <w:style w:type="table" w:customStyle="1" w:styleId="LightShading-Accent11">
    <w:name w:val="Light Shading - Accent 11"/>
    <w:aliases w:val="serena"/>
    <w:basedOn w:val="TableNormal"/>
    <w:uiPriority w:val="60"/>
    <w:rsid w:val="003C45DA"/>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color w:val="auto"/>
      </w:rPr>
      <w:tblPr/>
      <w:tcPr>
        <w:shd w:val="clear" w:color="auto" w:fill="222A35" w:themeFill="text2" w:themeFillShade="80"/>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3C45DA"/>
    <w:pPr>
      <w:spacing w:before="20" w:after="0" w:line="240" w:lineRule="auto"/>
    </w:pPr>
    <w:rPr>
      <w:rFonts w:ascii="Times New Roman" w:eastAsia="Times New Roman" w:hAnsi="Times New Roman" w:cs="Times New Roman"/>
      <w:color w:val="2E74B5" w:themeColor="accent5" w:themeShade="BF"/>
      <w:sz w:val="20"/>
      <w:szCs w:val="20"/>
      <w:lang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aption">
    <w:name w:val="caption"/>
    <w:basedOn w:val="Normal"/>
    <w:next w:val="Normal"/>
    <w:uiPriority w:val="4"/>
    <w:rsid w:val="003C45DA"/>
    <w:pPr>
      <w:spacing w:before="120" w:after="120" w:line="280" w:lineRule="atLeast"/>
      <w:jc w:val="both"/>
    </w:pPr>
    <w:rPr>
      <w:rFonts w:ascii="Arial" w:hAnsi="Arial" w:cs="Arial"/>
      <w:bCs/>
      <w:iCs/>
      <w:color w:val="000000" w:themeColor="text1"/>
      <w:sz w:val="20"/>
      <w:szCs w:val="20"/>
    </w:rPr>
  </w:style>
  <w:style w:type="paragraph" w:customStyle="1" w:styleId="OrangeTitle">
    <w:name w:val="OrangeTitle"/>
    <w:basedOn w:val="Normal"/>
    <w:uiPriority w:val="3"/>
    <w:rsid w:val="003C45DA"/>
    <w:pPr>
      <w:spacing w:before="20" w:after="60" w:line="280" w:lineRule="atLeast"/>
    </w:pPr>
    <w:rPr>
      <w:rFonts w:ascii="Arial" w:hAnsi="Arial" w:cs="Arial"/>
      <w:iCs/>
      <w:caps/>
      <w:color w:val="F06A00"/>
      <w:sz w:val="20"/>
      <w:szCs w:val="20"/>
    </w:rPr>
  </w:style>
  <w:style w:type="paragraph" w:customStyle="1" w:styleId="ReportDate">
    <w:name w:val="ReportDate"/>
    <w:basedOn w:val="Normal"/>
    <w:next w:val="Normal"/>
    <w:uiPriority w:val="3"/>
    <w:rsid w:val="003C45DA"/>
    <w:pPr>
      <w:framePr w:w="2030" w:hSpace="187" w:wrap="auto" w:vAnchor="page" w:hAnchor="page" w:x="8699" w:y="13249" w:anchorLock="1"/>
      <w:spacing w:before="20"/>
      <w:jc w:val="right"/>
    </w:pPr>
    <w:rPr>
      <w:rFonts w:ascii="Arial" w:hAnsi="Arial" w:cs="Arial"/>
      <w:b/>
      <w:noProof/>
      <w:sz w:val="18"/>
      <w:szCs w:val="20"/>
    </w:rPr>
  </w:style>
  <w:style w:type="paragraph" w:styleId="TableofFigures">
    <w:name w:val="table of figures"/>
    <w:basedOn w:val="Normal"/>
    <w:next w:val="Normal"/>
    <w:semiHidden/>
    <w:rsid w:val="003C45DA"/>
    <w:pPr>
      <w:spacing w:before="20" w:line="280" w:lineRule="atLeast"/>
      <w:jc w:val="both"/>
    </w:pPr>
    <w:rPr>
      <w:rFonts w:ascii="Arial" w:hAnsi="Arial" w:cs="Arial"/>
      <w:iCs/>
      <w:color w:val="000000" w:themeColor="text1"/>
      <w:sz w:val="20"/>
      <w:szCs w:val="20"/>
    </w:rPr>
  </w:style>
  <w:style w:type="paragraph" w:styleId="NoSpacing">
    <w:name w:val="No Spacing"/>
    <w:uiPriority w:val="3"/>
    <w:rsid w:val="003C45DA"/>
    <w:pPr>
      <w:spacing w:before="20" w:after="0" w:line="240" w:lineRule="auto"/>
      <w:jc w:val="both"/>
    </w:pPr>
    <w:rPr>
      <w:rFonts w:ascii="Arial" w:eastAsia="Times New Roman" w:hAnsi="Arial" w:cs="Arial"/>
      <w:iCs/>
      <w:color w:val="4B4B4B"/>
      <w:sz w:val="20"/>
      <w:szCs w:val="20"/>
      <w:lang w:eastAsia="en-GB"/>
    </w:rPr>
  </w:style>
  <w:style w:type="table" w:styleId="MediumGrid3-Accent2">
    <w:name w:val="Medium Grid 3 Accent 2"/>
    <w:basedOn w:val="TableNormal"/>
    <w:uiPriority w:val="69"/>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Shading1-Accent4">
    <w:name w:val="Medium Shading 1 Accent 4"/>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3C45DA"/>
    <w:pPr>
      <w:spacing w:before="20"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LightList-Accent11">
    <w:name w:val="Light List - Accent 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val="0"/>
        <w:bCs/>
        <w:color w:val="FFFFFF" w:themeColor="background1"/>
      </w:rPr>
      <w:tblPr/>
      <w:tcPr>
        <w:shd w:val="clear" w:color="auto" w:fill="D5DCE4" w:themeFill="text2" w:themeFillTint="3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i w:val="0"/>
      </w:rPr>
    </w:tblStylePr>
    <w:tblStylePr w:type="lastCol">
      <w:rPr>
        <w:b w:val="0"/>
        <w:bCs/>
        <w:i w:val="0"/>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000000" w:themeColor="text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color w:val="000000" w:themeColor="text1"/>
      </w:rPr>
    </w:tblStylePr>
  </w:style>
  <w:style w:type="table" w:customStyle="1" w:styleId="LightShading1">
    <w:name w:val="Light Shading1"/>
    <w:basedOn w:val="TableNormal"/>
    <w:uiPriority w:val="60"/>
    <w:rsid w:val="003C45DA"/>
    <w:pPr>
      <w:spacing w:before="20"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3C45DA"/>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C45DA"/>
    <w:pPr>
      <w:spacing w:before="20"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C45DA"/>
    <w:pPr>
      <w:spacing w:before="20"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1-Accent11">
    <w:name w:val="Medium Shading 1 - Accent 11"/>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White">
    <w:name w:val="White"/>
    <w:basedOn w:val="BodyText"/>
    <w:next w:val="BodyTextGrey"/>
    <w:uiPriority w:val="2"/>
    <w:qFormat/>
    <w:rsid w:val="003C45DA"/>
    <w:pPr>
      <w:spacing w:before="20" w:after="200" w:line="280" w:lineRule="atLeast"/>
    </w:pPr>
    <w:rPr>
      <w:rFonts w:ascii="Arial" w:hAnsi="Arial" w:cs="Arial"/>
      <w:iCs/>
      <w:color w:val="FFFFFF" w:themeColor="background1"/>
      <w:sz w:val="20"/>
    </w:rPr>
  </w:style>
  <w:style w:type="paragraph" w:customStyle="1" w:styleId="Orange">
    <w:name w:val="Orange"/>
    <w:basedOn w:val="Normal"/>
    <w:next w:val="BodyTextGrey"/>
    <w:uiPriority w:val="2"/>
    <w:qFormat/>
    <w:rsid w:val="003C45DA"/>
    <w:pPr>
      <w:spacing w:before="20" w:after="200" w:line="280" w:lineRule="atLeast"/>
    </w:pPr>
    <w:rPr>
      <w:rFonts w:ascii="Arial" w:hAnsi="Arial" w:cs="Arial"/>
      <w:iCs/>
      <w:color w:val="4472C4" w:themeColor="accent1"/>
      <w:sz w:val="20"/>
      <w:szCs w:val="20"/>
      <w:lang w:eastAsia="en-US"/>
    </w:rPr>
  </w:style>
  <w:style w:type="paragraph" w:customStyle="1" w:styleId="Blue">
    <w:name w:val="Blue"/>
    <w:basedOn w:val="BodyText"/>
    <w:next w:val="BodyTextGrey"/>
    <w:uiPriority w:val="2"/>
    <w:qFormat/>
    <w:rsid w:val="003C45DA"/>
    <w:pPr>
      <w:spacing w:before="20" w:after="200" w:line="280" w:lineRule="atLeast"/>
    </w:pPr>
    <w:rPr>
      <w:rFonts w:ascii="Arial" w:hAnsi="Arial" w:cs="Arial"/>
      <w:iCs/>
      <w:color w:val="000000" w:themeColor="text1"/>
      <w:sz w:val="20"/>
    </w:rPr>
  </w:style>
  <w:style w:type="paragraph" w:customStyle="1" w:styleId="HRTest18">
    <w:name w:val="HRTest18"/>
    <w:basedOn w:val="Normal"/>
    <w:uiPriority w:val="3"/>
    <w:rsid w:val="003C45DA"/>
    <w:pPr>
      <w:spacing w:before="20" w:after="20" w:line="280" w:lineRule="atLeast"/>
      <w:ind w:left="200"/>
      <w:jc w:val="both"/>
    </w:pPr>
    <w:rPr>
      <w:rFonts w:ascii="Arial" w:hAnsi="Arial" w:cs="Arial"/>
      <w:iCs/>
      <w:caps/>
      <w:color w:val="FF9900"/>
      <w:sz w:val="20"/>
      <w:szCs w:val="20"/>
    </w:rPr>
  </w:style>
  <w:style w:type="table" w:styleId="LightList-Accent4">
    <w:name w:val="Light List Accent 4"/>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MeetingHeader">
    <w:name w:val="MeetingHeader"/>
    <w:basedOn w:val="Normal"/>
    <w:uiPriority w:val="3"/>
    <w:rsid w:val="003C45DA"/>
    <w:pPr>
      <w:spacing w:before="20" w:after="20" w:line="280" w:lineRule="atLeast"/>
      <w:jc w:val="both"/>
    </w:pPr>
    <w:rPr>
      <w:rFonts w:ascii="Arial" w:hAnsi="Arial" w:cs="Arial"/>
      <w:color w:val="4B4B4B"/>
      <w:sz w:val="20"/>
      <w:szCs w:val="20"/>
    </w:rPr>
  </w:style>
  <w:style w:type="paragraph" w:customStyle="1" w:styleId="MeetingHeaderCaps">
    <w:name w:val="MeetingHeaderCaps"/>
    <w:basedOn w:val="Normal"/>
    <w:uiPriority w:val="3"/>
    <w:rsid w:val="003C45DA"/>
    <w:pPr>
      <w:spacing w:before="20" w:after="20" w:line="280" w:lineRule="atLeast"/>
      <w:jc w:val="both"/>
    </w:pPr>
    <w:rPr>
      <w:rFonts w:ascii="Arial" w:hAnsi="Arial" w:cs="Arial"/>
      <w:caps/>
      <w:color w:val="4B4B4B"/>
      <w:sz w:val="20"/>
      <w:szCs w:val="20"/>
    </w:rPr>
  </w:style>
  <w:style w:type="paragraph" w:customStyle="1" w:styleId="MeetingTitle">
    <w:name w:val="MeetingTitle"/>
    <w:basedOn w:val="MeetingHeaderCaps"/>
    <w:next w:val="MeetingHeaderCaps"/>
    <w:uiPriority w:val="3"/>
    <w:rsid w:val="003C45DA"/>
  </w:style>
  <w:style w:type="character" w:customStyle="1" w:styleId="Style1">
    <w:name w:val="Style1"/>
    <w:uiPriority w:val="1"/>
    <w:rsid w:val="003C45DA"/>
  </w:style>
  <w:style w:type="character" w:styleId="SubtleEmphasis">
    <w:name w:val="Subtle Emphasis"/>
    <w:basedOn w:val="DefaultParagraphFont"/>
    <w:uiPriority w:val="19"/>
    <w:rsid w:val="003C45DA"/>
    <w:rPr>
      <w:i/>
      <w:iCs/>
      <w:color w:val="808080" w:themeColor="text1" w:themeTint="7F"/>
    </w:rPr>
  </w:style>
  <w:style w:type="paragraph" w:styleId="Title">
    <w:name w:val="Title"/>
    <w:basedOn w:val="Normal"/>
    <w:link w:val="TitleChar"/>
    <w:uiPriority w:val="3"/>
    <w:rsid w:val="003C45DA"/>
    <w:pPr>
      <w:spacing w:before="240" w:after="60" w:line="280" w:lineRule="exact"/>
      <w:outlineLvl w:val="0"/>
    </w:pPr>
    <w:rPr>
      <w:rFonts w:ascii="Arial" w:hAnsi="Arial" w:cs="Arial"/>
      <w:bCs/>
      <w:iCs/>
      <w:caps/>
      <w:color w:val="3FA6CC"/>
      <w:kern w:val="28"/>
      <w:sz w:val="36"/>
      <w:szCs w:val="36"/>
    </w:rPr>
  </w:style>
  <w:style w:type="character" w:customStyle="1" w:styleId="TitleChar">
    <w:name w:val="Title Char"/>
    <w:basedOn w:val="DefaultParagraphFont"/>
    <w:link w:val="Title"/>
    <w:uiPriority w:val="3"/>
    <w:rsid w:val="003C45DA"/>
    <w:rPr>
      <w:rFonts w:ascii="Arial" w:eastAsia="Times New Roman" w:hAnsi="Arial" w:cs="Arial"/>
      <w:bCs/>
      <w:iCs/>
      <w:caps/>
      <w:color w:val="3FA6CC"/>
      <w:kern w:val="28"/>
      <w:sz w:val="36"/>
      <w:szCs w:val="36"/>
      <w:lang w:eastAsia="en-GB"/>
    </w:rPr>
  </w:style>
  <w:style w:type="paragraph" w:customStyle="1" w:styleId="StyleTenderVerticalBigBlue48ptLeft02cmRight02">
    <w:name w:val="Style Tender Vertical Big Blue + 48 pt Left:  0.2 cm Right:  0.2 ..."/>
    <w:basedOn w:val="TenderVerticalBigBlue"/>
    <w:rsid w:val="003C45DA"/>
    <w:pPr>
      <w:spacing w:after="20"/>
      <w:ind w:left="113" w:right="113"/>
    </w:pPr>
    <w:rPr>
      <w:rFonts w:cs="Times New Roman"/>
      <w:iCs w:val="0"/>
      <w:caps w:val="0"/>
    </w:rPr>
  </w:style>
  <w:style w:type="paragraph" w:customStyle="1" w:styleId="StyleTenderBluetextBefore1pt">
    <w:name w:val="Style Tender Blue text + Before:  1 pt"/>
    <w:basedOn w:val="TenderBluetext"/>
    <w:rsid w:val="003C45DA"/>
    <w:pPr>
      <w:spacing w:before="20"/>
    </w:pPr>
    <w:rPr>
      <w:caps/>
    </w:rPr>
  </w:style>
  <w:style w:type="paragraph" w:customStyle="1" w:styleId="Filepath">
    <w:name w:val="Filepath"/>
    <w:uiPriority w:val="3"/>
    <w:rsid w:val="003C45DA"/>
    <w:pPr>
      <w:spacing w:before="20" w:after="20" w:line="280" w:lineRule="atLeast"/>
      <w:ind w:left="-425"/>
    </w:pPr>
    <w:rPr>
      <w:rFonts w:ascii="Arial" w:eastAsia="Times New Roman" w:hAnsi="Arial" w:cs="Arial"/>
      <w:color w:val="4B4B4B"/>
      <w:sz w:val="14"/>
      <w:szCs w:val="20"/>
      <w:lang w:eastAsia="en-GB"/>
    </w:rPr>
  </w:style>
  <w:style w:type="character" w:styleId="UnresolvedMention">
    <w:name w:val="Unresolved Mention"/>
    <w:basedOn w:val="DefaultParagraphFont"/>
    <w:uiPriority w:val="99"/>
    <w:semiHidden/>
    <w:unhideWhenUsed/>
    <w:rsid w:val="003C45DA"/>
    <w:rPr>
      <w:color w:val="808080"/>
      <w:shd w:val="clear" w:color="auto" w:fill="E6E6E6"/>
    </w:rPr>
  </w:style>
  <w:style w:type="table" w:customStyle="1" w:styleId="serena1">
    <w:name w:val="serena1"/>
    <w:basedOn w:val="TableNormal"/>
    <w:uiPriority w:val="60"/>
    <w:rsid w:val="003C45DA"/>
    <w:pPr>
      <w:spacing w:before="20" w:after="0" w:line="240" w:lineRule="auto"/>
    </w:pPr>
    <w:rPr>
      <w:rFonts w:ascii="Times New Roman" w:eastAsia="Times New Roman" w:hAnsi="Times New Roman" w:cs="Times New Roman"/>
      <w:color w:val="2F5496"/>
      <w:sz w:val="20"/>
      <w:szCs w:val="20"/>
      <w:lang w:eastAsia="en-GB"/>
    </w:rPr>
    <w:tblPr>
      <w:tblStyleRowBandSize w:val="1"/>
      <w:tblStyleColBandSize w:val="1"/>
      <w:tblBorders>
        <w:top w:val="single" w:sz="8" w:space="0" w:color="4472C4"/>
        <w:bottom w:val="single" w:sz="8" w:space="0" w:color="4472C4"/>
      </w:tblBorders>
    </w:tblPr>
    <w:tcPr>
      <w:shd w:val="clear" w:color="auto" w:fill="auto"/>
    </w:tcPr>
    <w:tblStylePr w:type="firstRow">
      <w:pPr>
        <w:spacing w:before="0" w:after="0" w:line="240" w:lineRule="auto"/>
      </w:pPr>
      <w:rPr>
        <w:b/>
        <w:bCs/>
        <w:color w:val="auto"/>
      </w:rPr>
      <w:tblPr/>
      <w:tcPr>
        <w:shd w:val="clear" w:color="auto" w:fill="222A35"/>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1">
    <w:name w:val="Light Shading - Accent 51"/>
    <w:basedOn w:val="TableNormal"/>
    <w:next w:val="LightShading-Accent5"/>
    <w:uiPriority w:val="60"/>
    <w:rsid w:val="003C45DA"/>
    <w:pPr>
      <w:spacing w:before="20" w:after="0" w:line="240" w:lineRule="auto"/>
    </w:pPr>
    <w:rPr>
      <w:rFonts w:ascii="Times New Roman" w:eastAsia="Times New Roman" w:hAnsi="Times New Roman" w:cs="Times New Roman"/>
      <w:color w:val="2E74B5"/>
      <w:sz w:val="20"/>
      <w:szCs w:val="20"/>
      <w:lang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21">
    <w:name w:val="Medium Grid 3 - Accent 21"/>
    <w:basedOn w:val="TableNormal"/>
    <w:next w:val="MediumGrid3-Accent2"/>
    <w:uiPriority w:val="69"/>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41">
    <w:name w:val="Medium Shading 1 - Accent 41"/>
    <w:basedOn w:val="TableNormal"/>
    <w:next w:val="MediumShading1-Accent4"/>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rFonts w:ascii="Arial" w:hAnsi="Arial"/>
        <w:b/>
        <w:bCs/>
        <w:i w:val="0"/>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31">
    <w:name w:val="Dark List - Accent 31"/>
    <w:basedOn w:val="TableNormal"/>
    <w:next w:val="DarkList-Accent3"/>
    <w:uiPriority w:val="70"/>
    <w:rsid w:val="003C45DA"/>
    <w:pPr>
      <w:spacing w:before="20"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ghtList-Accent111">
    <w:name w:val="Light List - Accent 1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11">
    <w:name w:val="Light List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val="0"/>
        <w:bCs/>
        <w:color w:val="FFFFFF"/>
      </w:rPr>
      <w:tblPr/>
      <w:tcPr>
        <w:shd w:val="clear" w:color="auto" w:fill="D5DCE4"/>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i w:val="0"/>
      </w:rPr>
    </w:tblStylePr>
    <w:tblStylePr w:type="lastCol">
      <w:rPr>
        <w:b w:val="0"/>
        <w:bCs/>
        <w:i w:val="0"/>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color w:val="000000"/>
      </w:rPr>
    </w:tblStylePr>
  </w:style>
  <w:style w:type="table" w:customStyle="1" w:styleId="LightShading11">
    <w:name w:val="Light Shading11"/>
    <w:basedOn w:val="TableNormal"/>
    <w:uiPriority w:val="60"/>
    <w:rsid w:val="003C45DA"/>
    <w:pPr>
      <w:spacing w:before="20"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3C45DA"/>
    <w:pPr>
      <w:spacing w:before="20" w:after="0" w:line="240" w:lineRule="auto"/>
    </w:pPr>
    <w:rPr>
      <w:rFonts w:ascii="Times New Roman" w:eastAsia="Times New Roman" w:hAnsi="Times New Roman" w:cs="Times New Roman"/>
      <w:color w:val="2F5496"/>
      <w:sz w:val="20"/>
      <w:szCs w:val="20"/>
      <w:lang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3C45DA"/>
    <w:pPr>
      <w:spacing w:before="20" w:after="0" w:line="240" w:lineRule="auto"/>
    </w:pPr>
    <w:rPr>
      <w:rFonts w:ascii="Times New Roman" w:eastAsia="Times New Roman" w:hAnsi="Times New Roman" w:cs="Times New Roman"/>
      <w:color w:val="C45911"/>
      <w:sz w:val="20"/>
      <w:szCs w:val="20"/>
      <w:lang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3C45DA"/>
    <w:pPr>
      <w:spacing w:before="20" w:after="0" w:line="240" w:lineRule="auto"/>
    </w:pPr>
    <w:rPr>
      <w:rFonts w:ascii="Times New Roman" w:eastAsia="Times New Roman" w:hAnsi="Times New Roman" w:cs="Times New Roman"/>
      <w:color w:val="7B7B7B"/>
      <w:sz w:val="20"/>
      <w:szCs w:val="20"/>
      <w:lang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21">
    <w:name w:val="Light List - Accent 21"/>
    <w:basedOn w:val="TableNormal"/>
    <w:next w:val="LightList-Accent2"/>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11">
    <w:name w:val="Medium Shading 1 - Accent 111"/>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64">
      <w:bodyDiv w:val="1"/>
      <w:marLeft w:val="0"/>
      <w:marRight w:val="0"/>
      <w:marTop w:val="0"/>
      <w:marBottom w:val="0"/>
      <w:divBdr>
        <w:top w:val="none" w:sz="0" w:space="0" w:color="auto"/>
        <w:left w:val="none" w:sz="0" w:space="0" w:color="auto"/>
        <w:bottom w:val="none" w:sz="0" w:space="0" w:color="auto"/>
        <w:right w:val="none" w:sz="0" w:space="0" w:color="auto"/>
      </w:divBdr>
    </w:div>
    <w:div w:id="141654625">
      <w:bodyDiv w:val="1"/>
      <w:marLeft w:val="0"/>
      <w:marRight w:val="0"/>
      <w:marTop w:val="0"/>
      <w:marBottom w:val="0"/>
      <w:divBdr>
        <w:top w:val="none" w:sz="0" w:space="0" w:color="auto"/>
        <w:left w:val="none" w:sz="0" w:space="0" w:color="auto"/>
        <w:bottom w:val="none" w:sz="0" w:space="0" w:color="auto"/>
        <w:right w:val="none" w:sz="0" w:space="0" w:color="auto"/>
      </w:divBdr>
    </w:div>
    <w:div w:id="157236092">
      <w:bodyDiv w:val="1"/>
      <w:marLeft w:val="0"/>
      <w:marRight w:val="0"/>
      <w:marTop w:val="0"/>
      <w:marBottom w:val="0"/>
      <w:divBdr>
        <w:top w:val="none" w:sz="0" w:space="0" w:color="auto"/>
        <w:left w:val="none" w:sz="0" w:space="0" w:color="auto"/>
        <w:bottom w:val="none" w:sz="0" w:space="0" w:color="auto"/>
        <w:right w:val="none" w:sz="0" w:space="0" w:color="auto"/>
      </w:divBdr>
    </w:div>
    <w:div w:id="157380061">
      <w:bodyDiv w:val="1"/>
      <w:marLeft w:val="0"/>
      <w:marRight w:val="0"/>
      <w:marTop w:val="0"/>
      <w:marBottom w:val="0"/>
      <w:divBdr>
        <w:top w:val="none" w:sz="0" w:space="0" w:color="auto"/>
        <w:left w:val="none" w:sz="0" w:space="0" w:color="auto"/>
        <w:bottom w:val="none" w:sz="0" w:space="0" w:color="auto"/>
        <w:right w:val="none" w:sz="0" w:space="0" w:color="auto"/>
      </w:divBdr>
    </w:div>
    <w:div w:id="190146521">
      <w:bodyDiv w:val="1"/>
      <w:marLeft w:val="0"/>
      <w:marRight w:val="0"/>
      <w:marTop w:val="0"/>
      <w:marBottom w:val="0"/>
      <w:divBdr>
        <w:top w:val="none" w:sz="0" w:space="0" w:color="auto"/>
        <w:left w:val="none" w:sz="0" w:space="0" w:color="auto"/>
        <w:bottom w:val="none" w:sz="0" w:space="0" w:color="auto"/>
        <w:right w:val="none" w:sz="0" w:space="0" w:color="auto"/>
      </w:divBdr>
    </w:div>
    <w:div w:id="211844724">
      <w:bodyDiv w:val="1"/>
      <w:marLeft w:val="0"/>
      <w:marRight w:val="0"/>
      <w:marTop w:val="0"/>
      <w:marBottom w:val="0"/>
      <w:divBdr>
        <w:top w:val="none" w:sz="0" w:space="0" w:color="auto"/>
        <w:left w:val="none" w:sz="0" w:space="0" w:color="auto"/>
        <w:bottom w:val="none" w:sz="0" w:space="0" w:color="auto"/>
        <w:right w:val="none" w:sz="0" w:space="0" w:color="auto"/>
      </w:divBdr>
    </w:div>
    <w:div w:id="254629318">
      <w:bodyDiv w:val="1"/>
      <w:marLeft w:val="0"/>
      <w:marRight w:val="0"/>
      <w:marTop w:val="0"/>
      <w:marBottom w:val="0"/>
      <w:divBdr>
        <w:top w:val="none" w:sz="0" w:space="0" w:color="auto"/>
        <w:left w:val="none" w:sz="0" w:space="0" w:color="auto"/>
        <w:bottom w:val="none" w:sz="0" w:space="0" w:color="auto"/>
        <w:right w:val="none" w:sz="0" w:space="0" w:color="auto"/>
      </w:divBdr>
    </w:div>
    <w:div w:id="271012954">
      <w:bodyDiv w:val="1"/>
      <w:marLeft w:val="0"/>
      <w:marRight w:val="0"/>
      <w:marTop w:val="0"/>
      <w:marBottom w:val="0"/>
      <w:divBdr>
        <w:top w:val="none" w:sz="0" w:space="0" w:color="auto"/>
        <w:left w:val="none" w:sz="0" w:space="0" w:color="auto"/>
        <w:bottom w:val="none" w:sz="0" w:space="0" w:color="auto"/>
        <w:right w:val="none" w:sz="0" w:space="0" w:color="auto"/>
      </w:divBdr>
    </w:div>
    <w:div w:id="281694881">
      <w:bodyDiv w:val="1"/>
      <w:marLeft w:val="0"/>
      <w:marRight w:val="0"/>
      <w:marTop w:val="0"/>
      <w:marBottom w:val="0"/>
      <w:divBdr>
        <w:top w:val="none" w:sz="0" w:space="0" w:color="auto"/>
        <w:left w:val="none" w:sz="0" w:space="0" w:color="auto"/>
        <w:bottom w:val="none" w:sz="0" w:space="0" w:color="auto"/>
        <w:right w:val="none" w:sz="0" w:space="0" w:color="auto"/>
      </w:divBdr>
    </w:div>
    <w:div w:id="317613482">
      <w:bodyDiv w:val="1"/>
      <w:marLeft w:val="0"/>
      <w:marRight w:val="0"/>
      <w:marTop w:val="0"/>
      <w:marBottom w:val="0"/>
      <w:divBdr>
        <w:top w:val="none" w:sz="0" w:space="0" w:color="auto"/>
        <w:left w:val="none" w:sz="0" w:space="0" w:color="auto"/>
        <w:bottom w:val="none" w:sz="0" w:space="0" w:color="auto"/>
        <w:right w:val="none" w:sz="0" w:space="0" w:color="auto"/>
      </w:divBdr>
    </w:div>
    <w:div w:id="364595364">
      <w:bodyDiv w:val="1"/>
      <w:marLeft w:val="0"/>
      <w:marRight w:val="0"/>
      <w:marTop w:val="0"/>
      <w:marBottom w:val="0"/>
      <w:divBdr>
        <w:top w:val="none" w:sz="0" w:space="0" w:color="auto"/>
        <w:left w:val="none" w:sz="0" w:space="0" w:color="auto"/>
        <w:bottom w:val="none" w:sz="0" w:space="0" w:color="auto"/>
        <w:right w:val="none" w:sz="0" w:space="0" w:color="auto"/>
      </w:divBdr>
    </w:div>
    <w:div w:id="365106900">
      <w:bodyDiv w:val="1"/>
      <w:marLeft w:val="0"/>
      <w:marRight w:val="0"/>
      <w:marTop w:val="0"/>
      <w:marBottom w:val="0"/>
      <w:divBdr>
        <w:top w:val="none" w:sz="0" w:space="0" w:color="auto"/>
        <w:left w:val="none" w:sz="0" w:space="0" w:color="auto"/>
        <w:bottom w:val="none" w:sz="0" w:space="0" w:color="auto"/>
        <w:right w:val="none" w:sz="0" w:space="0" w:color="auto"/>
      </w:divBdr>
    </w:div>
    <w:div w:id="383993996">
      <w:bodyDiv w:val="1"/>
      <w:marLeft w:val="0"/>
      <w:marRight w:val="0"/>
      <w:marTop w:val="0"/>
      <w:marBottom w:val="0"/>
      <w:divBdr>
        <w:top w:val="none" w:sz="0" w:space="0" w:color="auto"/>
        <w:left w:val="none" w:sz="0" w:space="0" w:color="auto"/>
        <w:bottom w:val="none" w:sz="0" w:space="0" w:color="auto"/>
        <w:right w:val="none" w:sz="0" w:space="0" w:color="auto"/>
      </w:divBdr>
    </w:div>
    <w:div w:id="404038520">
      <w:bodyDiv w:val="1"/>
      <w:marLeft w:val="0"/>
      <w:marRight w:val="0"/>
      <w:marTop w:val="0"/>
      <w:marBottom w:val="0"/>
      <w:divBdr>
        <w:top w:val="none" w:sz="0" w:space="0" w:color="auto"/>
        <w:left w:val="none" w:sz="0" w:space="0" w:color="auto"/>
        <w:bottom w:val="none" w:sz="0" w:space="0" w:color="auto"/>
        <w:right w:val="none" w:sz="0" w:space="0" w:color="auto"/>
      </w:divBdr>
    </w:div>
    <w:div w:id="521285642">
      <w:bodyDiv w:val="1"/>
      <w:marLeft w:val="0"/>
      <w:marRight w:val="0"/>
      <w:marTop w:val="0"/>
      <w:marBottom w:val="0"/>
      <w:divBdr>
        <w:top w:val="none" w:sz="0" w:space="0" w:color="auto"/>
        <w:left w:val="none" w:sz="0" w:space="0" w:color="auto"/>
        <w:bottom w:val="none" w:sz="0" w:space="0" w:color="auto"/>
        <w:right w:val="none" w:sz="0" w:space="0" w:color="auto"/>
      </w:divBdr>
    </w:div>
    <w:div w:id="539783663">
      <w:bodyDiv w:val="1"/>
      <w:marLeft w:val="0"/>
      <w:marRight w:val="0"/>
      <w:marTop w:val="0"/>
      <w:marBottom w:val="0"/>
      <w:divBdr>
        <w:top w:val="none" w:sz="0" w:space="0" w:color="auto"/>
        <w:left w:val="none" w:sz="0" w:space="0" w:color="auto"/>
        <w:bottom w:val="none" w:sz="0" w:space="0" w:color="auto"/>
        <w:right w:val="none" w:sz="0" w:space="0" w:color="auto"/>
      </w:divBdr>
    </w:div>
    <w:div w:id="563030134">
      <w:bodyDiv w:val="1"/>
      <w:marLeft w:val="0"/>
      <w:marRight w:val="0"/>
      <w:marTop w:val="0"/>
      <w:marBottom w:val="0"/>
      <w:divBdr>
        <w:top w:val="none" w:sz="0" w:space="0" w:color="auto"/>
        <w:left w:val="none" w:sz="0" w:space="0" w:color="auto"/>
        <w:bottom w:val="none" w:sz="0" w:space="0" w:color="auto"/>
        <w:right w:val="none" w:sz="0" w:space="0" w:color="auto"/>
      </w:divBdr>
    </w:div>
    <w:div w:id="569004172">
      <w:bodyDiv w:val="1"/>
      <w:marLeft w:val="0"/>
      <w:marRight w:val="0"/>
      <w:marTop w:val="0"/>
      <w:marBottom w:val="0"/>
      <w:divBdr>
        <w:top w:val="none" w:sz="0" w:space="0" w:color="auto"/>
        <w:left w:val="none" w:sz="0" w:space="0" w:color="auto"/>
        <w:bottom w:val="none" w:sz="0" w:space="0" w:color="auto"/>
        <w:right w:val="none" w:sz="0" w:space="0" w:color="auto"/>
      </w:divBdr>
    </w:div>
    <w:div w:id="609553678">
      <w:bodyDiv w:val="1"/>
      <w:marLeft w:val="0"/>
      <w:marRight w:val="0"/>
      <w:marTop w:val="0"/>
      <w:marBottom w:val="0"/>
      <w:divBdr>
        <w:top w:val="none" w:sz="0" w:space="0" w:color="auto"/>
        <w:left w:val="none" w:sz="0" w:space="0" w:color="auto"/>
        <w:bottom w:val="none" w:sz="0" w:space="0" w:color="auto"/>
        <w:right w:val="none" w:sz="0" w:space="0" w:color="auto"/>
      </w:divBdr>
    </w:div>
    <w:div w:id="667369433">
      <w:bodyDiv w:val="1"/>
      <w:marLeft w:val="0"/>
      <w:marRight w:val="0"/>
      <w:marTop w:val="0"/>
      <w:marBottom w:val="0"/>
      <w:divBdr>
        <w:top w:val="none" w:sz="0" w:space="0" w:color="auto"/>
        <w:left w:val="none" w:sz="0" w:space="0" w:color="auto"/>
        <w:bottom w:val="none" w:sz="0" w:space="0" w:color="auto"/>
        <w:right w:val="none" w:sz="0" w:space="0" w:color="auto"/>
      </w:divBdr>
    </w:div>
    <w:div w:id="711197107">
      <w:bodyDiv w:val="1"/>
      <w:marLeft w:val="0"/>
      <w:marRight w:val="0"/>
      <w:marTop w:val="0"/>
      <w:marBottom w:val="0"/>
      <w:divBdr>
        <w:top w:val="none" w:sz="0" w:space="0" w:color="auto"/>
        <w:left w:val="none" w:sz="0" w:space="0" w:color="auto"/>
        <w:bottom w:val="none" w:sz="0" w:space="0" w:color="auto"/>
        <w:right w:val="none" w:sz="0" w:space="0" w:color="auto"/>
      </w:divBdr>
    </w:div>
    <w:div w:id="748893873">
      <w:bodyDiv w:val="1"/>
      <w:marLeft w:val="0"/>
      <w:marRight w:val="0"/>
      <w:marTop w:val="0"/>
      <w:marBottom w:val="0"/>
      <w:divBdr>
        <w:top w:val="none" w:sz="0" w:space="0" w:color="auto"/>
        <w:left w:val="none" w:sz="0" w:space="0" w:color="auto"/>
        <w:bottom w:val="none" w:sz="0" w:space="0" w:color="auto"/>
        <w:right w:val="none" w:sz="0" w:space="0" w:color="auto"/>
      </w:divBdr>
    </w:div>
    <w:div w:id="765611394">
      <w:bodyDiv w:val="1"/>
      <w:marLeft w:val="0"/>
      <w:marRight w:val="0"/>
      <w:marTop w:val="0"/>
      <w:marBottom w:val="0"/>
      <w:divBdr>
        <w:top w:val="none" w:sz="0" w:space="0" w:color="auto"/>
        <w:left w:val="none" w:sz="0" w:space="0" w:color="auto"/>
        <w:bottom w:val="none" w:sz="0" w:space="0" w:color="auto"/>
        <w:right w:val="none" w:sz="0" w:space="0" w:color="auto"/>
      </w:divBdr>
    </w:div>
    <w:div w:id="838693481">
      <w:bodyDiv w:val="1"/>
      <w:marLeft w:val="0"/>
      <w:marRight w:val="0"/>
      <w:marTop w:val="0"/>
      <w:marBottom w:val="0"/>
      <w:divBdr>
        <w:top w:val="none" w:sz="0" w:space="0" w:color="auto"/>
        <w:left w:val="none" w:sz="0" w:space="0" w:color="auto"/>
        <w:bottom w:val="none" w:sz="0" w:space="0" w:color="auto"/>
        <w:right w:val="none" w:sz="0" w:space="0" w:color="auto"/>
      </w:divBdr>
    </w:div>
    <w:div w:id="841235589">
      <w:bodyDiv w:val="1"/>
      <w:marLeft w:val="0"/>
      <w:marRight w:val="0"/>
      <w:marTop w:val="0"/>
      <w:marBottom w:val="0"/>
      <w:divBdr>
        <w:top w:val="none" w:sz="0" w:space="0" w:color="auto"/>
        <w:left w:val="none" w:sz="0" w:space="0" w:color="auto"/>
        <w:bottom w:val="none" w:sz="0" w:space="0" w:color="auto"/>
        <w:right w:val="none" w:sz="0" w:space="0" w:color="auto"/>
      </w:divBdr>
    </w:div>
    <w:div w:id="848330703">
      <w:bodyDiv w:val="1"/>
      <w:marLeft w:val="0"/>
      <w:marRight w:val="0"/>
      <w:marTop w:val="0"/>
      <w:marBottom w:val="0"/>
      <w:divBdr>
        <w:top w:val="none" w:sz="0" w:space="0" w:color="auto"/>
        <w:left w:val="none" w:sz="0" w:space="0" w:color="auto"/>
        <w:bottom w:val="none" w:sz="0" w:space="0" w:color="auto"/>
        <w:right w:val="none" w:sz="0" w:space="0" w:color="auto"/>
      </w:divBdr>
    </w:div>
    <w:div w:id="867983680">
      <w:bodyDiv w:val="1"/>
      <w:marLeft w:val="0"/>
      <w:marRight w:val="0"/>
      <w:marTop w:val="0"/>
      <w:marBottom w:val="0"/>
      <w:divBdr>
        <w:top w:val="none" w:sz="0" w:space="0" w:color="auto"/>
        <w:left w:val="none" w:sz="0" w:space="0" w:color="auto"/>
        <w:bottom w:val="none" w:sz="0" w:space="0" w:color="auto"/>
        <w:right w:val="none" w:sz="0" w:space="0" w:color="auto"/>
      </w:divBdr>
    </w:div>
    <w:div w:id="889994009">
      <w:bodyDiv w:val="1"/>
      <w:marLeft w:val="0"/>
      <w:marRight w:val="0"/>
      <w:marTop w:val="0"/>
      <w:marBottom w:val="0"/>
      <w:divBdr>
        <w:top w:val="none" w:sz="0" w:space="0" w:color="auto"/>
        <w:left w:val="none" w:sz="0" w:space="0" w:color="auto"/>
        <w:bottom w:val="none" w:sz="0" w:space="0" w:color="auto"/>
        <w:right w:val="none" w:sz="0" w:space="0" w:color="auto"/>
      </w:divBdr>
    </w:div>
    <w:div w:id="947469138">
      <w:bodyDiv w:val="1"/>
      <w:marLeft w:val="0"/>
      <w:marRight w:val="0"/>
      <w:marTop w:val="0"/>
      <w:marBottom w:val="0"/>
      <w:divBdr>
        <w:top w:val="none" w:sz="0" w:space="0" w:color="auto"/>
        <w:left w:val="none" w:sz="0" w:space="0" w:color="auto"/>
        <w:bottom w:val="none" w:sz="0" w:space="0" w:color="auto"/>
        <w:right w:val="none" w:sz="0" w:space="0" w:color="auto"/>
      </w:divBdr>
    </w:div>
    <w:div w:id="996617907">
      <w:bodyDiv w:val="1"/>
      <w:marLeft w:val="0"/>
      <w:marRight w:val="0"/>
      <w:marTop w:val="0"/>
      <w:marBottom w:val="0"/>
      <w:divBdr>
        <w:top w:val="none" w:sz="0" w:space="0" w:color="auto"/>
        <w:left w:val="none" w:sz="0" w:space="0" w:color="auto"/>
        <w:bottom w:val="none" w:sz="0" w:space="0" w:color="auto"/>
        <w:right w:val="none" w:sz="0" w:space="0" w:color="auto"/>
      </w:divBdr>
    </w:div>
    <w:div w:id="1005475896">
      <w:bodyDiv w:val="1"/>
      <w:marLeft w:val="0"/>
      <w:marRight w:val="0"/>
      <w:marTop w:val="0"/>
      <w:marBottom w:val="0"/>
      <w:divBdr>
        <w:top w:val="none" w:sz="0" w:space="0" w:color="auto"/>
        <w:left w:val="none" w:sz="0" w:space="0" w:color="auto"/>
        <w:bottom w:val="none" w:sz="0" w:space="0" w:color="auto"/>
        <w:right w:val="none" w:sz="0" w:space="0" w:color="auto"/>
      </w:divBdr>
    </w:div>
    <w:div w:id="1157527683">
      <w:bodyDiv w:val="1"/>
      <w:marLeft w:val="0"/>
      <w:marRight w:val="0"/>
      <w:marTop w:val="0"/>
      <w:marBottom w:val="0"/>
      <w:divBdr>
        <w:top w:val="none" w:sz="0" w:space="0" w:color="auto"/>
        <w:left w:val="none" w:sz="0" w:space="0" w:color="auto"/>
        <w:bottom w:val="none" w:sz="0" w:space="0" w:color="auto"/>
        <w:right w:val="none" w:sz="0" w:space="0" w:color="auto"/>
      </w:divBdr>
    </w:div>
    <w:div w:id="1159081951">
      <w:bodyDiv w:val="1"/>
      <w:marLeft w:val="0"/>
      <w:marRight w:val="0"/>
      <w:marTop w:val="0"/>
      <w:marBottom w:val="0"/>
      <w:divBdr>
        <w:top w:val="none" w:sz="0" w:space="0" w:color="auto"/>
        <w:left w:val="none" w:sz="0" w:space="0" w:color="auto"/>
        <w:bottom w:val="none" w:sz="0" w:space="0" w:color="auto"/>
        <w:right w:val="none" w:sz="0" w:space="0" w:color="auto"/>
      </w:divBdr>
    </w:div>
    <w:div w:id="1188837068">
      <w:bodyDiv w:val="1"/>
      <w:marLeft w:val="0"/>
      <w:marRight w:val="0"/>
      <w:marTop w:val="0"/>
      <w:marBottom w:val="0"/>
      <w:divBdr>
        <w:top w:val="none" w:sz="0" w:space="0" w:color="auto"/>
        <w:left w:val="none" w:sz="0" w:space="0" w:color="auto"/>
        <w:bottom w:val="none" w:sz="0" w:space="0" w:color="auto"/>
        <w:right w:val="none" w:sz="0" w:space="0" w:color="auto"/>
      </w:divBdr>
    </w:div>
    <w:div w:id="1280604059">
      <w:bodyDiv w:val="1"/>
      <w:marLeft w:val="0"/>
      <w:marRight w:val="0"/>
      <w:marTop w:val="0"/>
      <w:marBottom w:val="0"/>
      <w:divBdr>
        <w:top w:val="none" w:sz="0" w:space="0" w:color="auto"/>
        <w:left w:val="none" w:sz="0" w:space="0" w:color="auto"/>
        <w:bottom w:val="none" w:sz="0" w:space="0" w:color="auto"/>
        <w:right w:val="none" w:sz="0" w:space="0" w:color="auto"/>
      </w:divBdr>
    </w:div>
    <w:div w:id="1330017679">
      <w:bodyDiv w:val="1"/>
      <w:marLeft w:val="0"/>
      <w:marRight w:val="0"/>
      <w:marTop w:val="0"/>
      <w:marBottom w:val="0"/>
      <w:divBdr>
        <w:top w:val="none" w:sz="0" w:space="0" w:color="auto"/>
        <w:left w:val="none" w:sz="0" w:space="0" w:color="auto"/>
        <w:bottom w:val="none" w:sz="0" w:space="0" w:color="auto"/>
        <w:right w:val="none" w:sz="0" w:space="0" w:color="auto"/>
      </w:divBdr>
    </w:div>
    <w:div w:id="1385831293">
      <w:bodyDiv w:val="1"/>
      <w:marLeft w:val="0"/>
      <w:marRight w:val="0"/>
      <w:marTop w:val="0"/>
      <w:marBottom w:val="0"/>
      <w:divBdr>
        <w:top w:val="none" w:sz="0" w:space="0" w:color="auto"/>
        <w:left w:val="none" w:sz="0" w:space="0" w:color="auto"/>
        <w:bottom w:val="none" w:sz="0" w:space="0" w:color="auto"/>
        <w:right w:val="none" w:sz="0" w:space="0" w:color="auto"/>
      </w:divBdr>
    </w:div>
    <w:div w:id="1401294554">
      <w:bodyDiv w:val="1"/>
      <w:marLeft w:val="0"/>
      <w:marRight w:val="0"/>
      <w:marTop w:val="0"/>
      <w:marBottom w:val="0"/>
      <w:divBdr>
        <w:top w:val="none" w:sz="0" w:space="0" w:color="auto"/>
        <w:left w:val="none" w:sz="0" w:space="0" w:color="auto"/>
        <w:bottom w:val="none" w:sz="0" w:space="0" w:color="auto"/>
        <w:right w:val="none" w:sz="0" w:space="0" w:color="auto"/>
      </w:divBdr>
    </w:div>
    <w:div w:id="1433820290">
      <w:bodyDiv w:val="1"/>
      <w:marLeft w:val="0"/>
      <w:marRight w:val="0"/>
      <w:marTop w:val="0"/>
      <w:marBottom w:val="0"/>
      <w:divBdr>
        <w:top w:val="none" w:sz="0" w:space="0" w:color="auto"/>
        <w:left w:val="none" w:sz="0" w:space="0" w:color="auto"/>
        <w:bottom w:val="none" w:sz="0" w:space="0" w:color="auto"/>
        <w:right w:val="none" w:sz="0" w:space="0" w:color="auto"/>
      </w:divBdr>
    </w:div>
    <w:div w:id="1449276004">
      <w:bodyDiv w:val="1"/>
      <w:marLeft w:val="0"/>
      <w:marRight w:val="0"/>
      <w:marTop w:val="0"/>
      <w:marBottom w:val="0"/>
      <w:divBdr>
        <w:top w:val="none" w:sz="0" w:space="0" w:color="auto"/>
        <w:left w:val="none" w:sz="0" w:space="0" w:color="auto"/>
        <w:bottom w:val="none" w:sz="0" w:space="0" w:color="auto"/>
        <w:right w:val="none" w:sz="0" w:space="0" w:color="auto"/>
      </w:divBdr>
    </w:div>
    <w:div w:id="1450591402">
      <w:bodyDiv w:val="1"/>
      <w:marLeft w:val="0"/>
      <w:marRight w:val="0"/>
      <w:marTop w:val="0"/>
      <w:marBottom w:val="0"/>
      <w:divBdr>
        <w:top w:val="none" w:sz="0" w:space="0" w:color="auto"/>
        <w:left w:val="none" w:sz="0" w:space="0" w:color="auto"/>
        <w:bottom w:val="none" w:sz="0" w:space="0" w:color="auto"/>
        <w:right w:val="none" w:sz="0" w:space="0" w:color="auto"/>
      </w:divBdr>
    </w:div>
    <w:div w:id="1525365560">
      <w:bodyDiv w:val="1"/>
      <w:marLeft w:val="0"/>
      <w:marRight w:val="0"/>
      <w:marTop w:val="0"/>
      <w:marBottom w:val="0"/>
      <w:divBdr>
        <w:top w:val="none" w:sz="0" w:space="0" w:color="auto"/>
        <w:left w:val="none" w:sz="0" w:space="0" w:color="auto"/>
        <w:bottom w:val="none" w:sz="0" w:space="0" w:color="auto"/>
        <w:right w:val="none" w:sz="0" w:space="0" w:color="auto"/>
      </w:divBdr>
    </w:div>
    <w:div w:id="1538346218">
      <w:bodyDiv w:val="1"/>
      <w:marLeft w:val="0"/>
      <w:marRight w:val="0"/>
      <w:marTop w:val="0"/>
      <w:marBottom w:val="0"/>
      <w:divBdr>
        <w:top w:val="none" w:sz="0" w:space="0" w:color="auto"/>
        <w:left w:val="none" w:sz="0" w:space="0" w:color="auto"/>
        <w:bottom w:val="none" w:sz="0" w:space="0" w:color="auto"/>
        <w:right w:val="none" w:sz="0" w:space="0" w:color="auto"/>
      </w:divBdr>
    </w:div>
    <w:div w:id="1614827472">
      <w:bodyDiv w:val="1"/>
      <w:marLeft w:val="0"/>
      <w:marRight w:val="0"/>
      <w:marTop w:val="0"/>
      <w:marBottom w:val="0"/>
      <w:divBdr>
        <w:top w:val="none" w:sz="0" w:space="0" w:color="auto"/>
        <w:left w:val="none" w:sz="0" w:space="0" w:color="auto"/>
        <w:bottom w:val="none" w:sz="0" w:space="0" w:color="auto"/>
        <w:right w:val="none" w:sz="0" w:space="0" w:color="auto"/>
      </w:divBdr>
    </w:div>
    <w:div w:id="1618488881">
      <w:bodyDiv w:val="1"/>
      <w:marLeft w:val="0"/>
      <w:marRight w:val="0"/>
      <w:marTop w:val="0"/>
      <w:marBottom w:val="0"/>
      <w:divBdr>
        <w:top w:val="none" w:sz="0" w:space="0" w:color="auto"/>
        <w:left w:val="none" w:sz="0" w:space="0" w:color="auto"/>
        <w:bottom w:val="none" w:sz="0" w:space="0" w:color="auto"/>
        <w:right w:val="none" w:sz="0" w:space="0" w:color="auto"/>
      </w:divBdr>
    </w:div>
    <w:div w:id="1688024471">
      <w:bodyDiv w:val="1"/>
      <w:marLeft w:val="0"/>
      <w:marRight w:val="0"/>
      <w:marTop w:val="0"/>
      <w:marBottom w:val="0"/>
      <w:divBdr>
        <w:top w:val="none" w:sz="0" w:space="0" w:color="auto"/>
        <w:left w:val="none" w:sz="0" w:space="0" w:color="auto"/>
        <w:bottom w:val="none" w:sz="0" w:space="0" w:color="auto"/>
        <w:right w:val="none" w:sz="0" w:space="0" w:color="auto"/>
      </w:divBdr>
    </w:div>
    <w:div w:id="1689525716">
      <w:bodyDiv w:val="1"/>
      <w:marLeft w:val="0"/>
      <w:marRight w:val="0"/>
      <w:marTop w:val="0"/>
      <w:marBottom w:val="0"/>
      <w:divBdr>
        <w:top w:val="none" w:sz="0" w:space="0" w:color="auto"/>
        <w:left w:val="none" w:sz="0" w:space="0" w:color="auto"/>
        <w:bottom w:val="none" w:sz="0" w:space="0" w:color="auto"/>
        <w:right w:val="none" w:sz="0" w:space="0" w:color="auto"/>
      </w:divBdr>
    </w:div>
    <w:div w:id="1724719968">
      <w:bodyDiv w:val="1"/>
      <w:marLeft w:val="0"/>
      <w:marRight w:val="0"/>
      <w:marTop w:val="0"/>
      <w:marBottom w:val="0"/>
      <w:divBdr>
        <w:top w:val="none" w:sz="0" w:space="0" w:color="auto"/>
        <w:left w:val="none" w:sz="0" w:space="0" w:color="auto"/>
        <w:bottom w:val="none" w:sz="0" w:space="0" w:color="auto"/>
        <w:right w:val="none" w:sz="0" w:space="0" w:color="auto"/>
      </w:divBdr>
    </w:div>
    <w:div w:id="1871381223">
      <w:bodyDiv w:val="1"/>
      <w:marLeft w:val="0"/>
      <w:marRight w:val="0"/>
      <w:marTop w:val="0"/>
      <w:marBottom w:val="0"/>
      <w:divBdr>
        <w:top w:val="none" w:sz="0" w:space="0" w:color="auto"/>
        <w:left w:val="none" w:sz="0" w:space="0" w:color="auto"/>
        <w:bottom w:val="none" w:sz="0" w:space="0" w:color="auto"/>
        <w:right w:val="none" w:sz="0" w:space="0" w:color="auto"/>
      </w:divBdr>
    </w:div>
    <w:div w:id="1921718902">
      <w:bodyDiv w:val="1"/>
      <w:marLeft w:val="0"/>
      <w:marRight w:val="0"/>
      <w:marTop w:val="0"/>
      <w:marBottom w:val="0"/>
      <w:divBdr>
        <w:top w:val="none" w:sz="0" w:space="0" w:color="auto"/>
        <w:left w:val="none" w:sz="0" w:space="0" w:color="auto"/>
        <w:bottom w:val="none" w:sz="0" w:space="0" w:color="auto"/>
        <w:right w:val="none" w:sz="0" w:space="0" w:color="auto"/>
      </w:divBdr>
    </w:div>
    <w:div w:id="1953395885">
      <w:bodyDiv w:val="1"/>
      <w:marLeft w:val="0"/>
      <w:marRight w:val="0"/>
      <w:marTop w:val="0"/>
      <w:marBottom w:val="0"/>
      <w:divBdr>
        <w:top w:val="none" w:sz="0" w:space="0" w:color="auto"/>
        <w:left w:val="none" w:sz="0" w:space="0" w:color="auto"/>
        <w:bottom w:val="none" w:sz="0" w:space="0" w:color="auto"/>
        <w:right w:val="none" w:sz="0" w:space="0" w:color="auto"/>
      </w:divBdr>
    </w:div>
    <w:div w:id="1955166240">
      <w:bodyDiv w:val="1"/>
      <w:marLeft w:val="0"/>
      <w:marRight w:val="0"/>
      <w:marTop w:val="0"/>
      <w:marBottom w:val="0"/>
      <w:divBdr>
        <w:top w:val="none" w:sz="0" w:space="0" w:color="auto"/>
        <w:left w:val="none" w:sz="0" w:space="0" w:color="auto"/>
        <w:bottom w:val="none" w:sz="0" w:space="0" w:color="auto"/>
        <w:right w:val="none" w:sz="0" w:space="0" w:color="auto"/>
      </w:divBdr>
    </w:div>
    <w:div w:id="1989547961">
      <w:bodyDiv w:val="1"/>
      <w:marLeft w:val="0"/>
      <w:marRight w:val="0"/>
      <w:marTop w:val="0"/>
      <w:marBottom w:val="0"/>
      <w:divBdr>
        <w:top w:val="none" w:sz="0" w:space="0" w:color="auto"/>
        <w:left w:val="none" w:sz="0" w:space="0" w:color="auto"/>
        <w:bottom w:val="none" w:sz="0" w:space="0" w:color="auto"/>
        <w:right w:val="none" w:sz="0" w:space="0" w:color="auto"/>
      </w:divBdr>
    </w:div>
    <w:div w:id="1994068352">
      <w:bodyDiv w:val="1"/>
      <w:marLeft w:val="0"/>
      <w:marRight w:val="0"/>
      <w:marTop w:val="0"/>
      <w:marBottom w:val="0"/>
      <w:divBdr>
        <w:top w:val="none" w:sz="0" w:space="0" w:color="auto"/>
        <w:left w:val="none" w:sz="0" w:space="0" w:color="auto"/>
        <w:bottom w:val="none" w:sz="0" w:space="0" w:color="auto"/>
        <w:right w:val="none" w:sz="0" w:space="0" w:color="auto"/>
      </w:divBdr>
    </w:div>
    <w:div w:id="1995602097">
      <w:bodyDiv w:val="1"/>
      <w:marLeft w:val="0"/>
      <w:marRight w:val="0"/>
      <w:marTop w:val="0"/>
      <w:marBottom w:val="0"/>
      <w:divBdr>
        <w:top w:val="none" w:sz="0" w:space="0" w:color="auto"/>
        <w:left w:val="none" w:sz="0" w:space="0" w:color="auto"/>
        <w:bottom w:val="none" w:sz="0" w:space="0" w:color="auto"/>
        <w:right w:val="none" w:sz="0" w:space="0" w:color="auto"/>
      </w:divBdr>
    </w:div>
    <w:div w:id="1998798751">
      <w:bodyDiv w:val="1"/>
      <w:marLeft w:val="0"/>
      <w:marRight w:val="0"/>
      <w:marTop w:val="0"/>
      <w:marBottom w:val="0"/>
      <w:divBdr>
        <w:top w:val="none" w:sz="0" w:space="0" w:color="auto"/>
        <w:left w:val="none" w:sz="0" w:space="0" w:color="auto"/>
        <w:bottom w:val="none" w:sz="0" w:space="0" w:color="auto"/>
        <w:right w:val="none" w:sz="0" w:space="0" w:color="auto"/>
      </w:divBdr>
    </w:div>
    <w:div w:id="2006590086">
      <w:bodyDiv w:val="1"/>
      <w:marLeft w:val="0"/>
      <w:marRight w:val="0"/>
      <w:marTop w:val="0"/>
      <w:marBottom w:val="0"/>
      <w:divBdr>
        <w:top w:val="none" w:sz="0" w:space="0" w:color="auto"/>
        <w:left w:val="none" w:sz="0" w:space="0" w:color="auto"/>
        <w:bottom w:val="none" w:sz="0" w:space="0" w:color="auto"/>
        <w:right w:val="none" w:sz="0" w:space="0" w:color="auto"/>
      </w:divBdr>
    </w:div>
    <w:div w:id="2018464718">
      <w:bodyDiv w:val="1"/>
      <w:marLeft w:val="0"/>
      <w:marRight w:val="0"/>
      <w:marTop w:val="0"/>
      <w:marBottom w:val="0"/>
      <w:divBdr>
        <w:top w:val="none" w:sz="0" w:space="0" w:color="auto"/>
        <w:left w:val="none" w:sz="0" w:space="0" w:color="auto"/>
        <w:bottom w:val="none" w:sz="0" w:space="0" w:color="auto"/>
        <w:right w:val="none" w:sz="0" w:space="0" w:color="auto"/>
      </w:divBdr>
    </w:div>
    <w:div w:id="2068261739">
      <w:bodyDiv w:val="1"/>
      <w:marLeft w:val="0"/>
      <w:marRight w:val="0"/>
      <w:marTop w:val="0"/>
      <w:marBottom w:val="0"/>
      <w:divBdr>
        <w:top w:val="none" w:sz="0" w:space="0" w:color="auto"/>
        <w:left w:val="none" w:sz="0" w:space="0" w:color="auto"/>
        <w:bottom w:val="none" w:sz="0" w:space="0" w:color="auto"/>
        <w:right w:val="none" w:sz="0" w:space="0" w:color="auto"/>
      </w:divBdr>
    </w:div>
    <w:div w:id="2119107544">
      <w:bodyDiv w:val="1"/>
      <w:marLeft w:val="0"/>
      <w:marRight w:val="0"/>
      <w:marTop w:val="0"/>
      <w:marBottom w:val="0"/>
      <w:divBdr>
        <w:top w:val="none" w:sz="0" w:space="0" w:color="auto"/>
        <w:left w:val="none" w:sz="0" w:space="0" w:color="auto"/>
        <w:bottom w:val="none" w:sz="0" w:space="0" w:color="auto"/>
        <w:right w:val="none" w:sz="0" w:space="0" w:color="auto"/>
      </w:divBdr>
    </w:div>
    <w:div w:id="2130583675">
      <w:bodyDiv w:val="1"/>
      <w:marLeft w:val="0"/>
      <w:marRight w:val="0"/>
      <w:marTop w:val="0"/>
      <w:marBottom w:val="0"/>
      <w:divBdr>
        <w:top w:val="none" w:sz="0" w:space="0" w:color="auto"/>
        <w:left w:val="none" w:sz="0" w:space="0" w:color="auto"/>
        <w:bottom w:val="none" w:sz="0" w:space="0" w:color="auto"/>
        <w:right w:val="none" w:sz="0" w:space="0" w:color="auto"/>
      </w:divBdr>
    </w:div>
    <w:div w:id="21366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bbdpensionfund.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bbdpens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473A-F862-4538-9608-D2B76EC0747C}"/>
</file>

<file path=customXml/itemProps2.xml><?xml version="1.0" encoding="utf-8"?>
<ds:datastoreItem xmlns:ds="http://schemas.openxmlformats.org/officeDocument/2006/customXml" ds:itemID="{8BB2A4EF-DED9-4AE2-B761-4CBAE2F314C0}"/>
</file>

<file path=customXml/itemProps3.xml><?xml version="1.0" encoding="utf-8"?>
<ds:datastoreItem xmlns:ds="http://schemas.openxmlformats.org/officeDocument/2006/customXml" ds:itemID="{B394EDF5-2EAA-4AE3-A591-CFC941BE1E80}">
  <ds:schemaRefs>
    <ds:schemaRef ds:uri="http://schemas.microsoft.com/office/2006/metadata/properties"/>
    <ds:schemaRef ds:uri="http://schemas.microsoft.com/office/infopath/2007/PartnerControls"/>
    <ds:schemaRef ds:uri="6f247cf5-36db-4625-96bb-fe9ae63417ad"/>
    <ds:schemaRef ds:uri="78e24578-5fde-46d4-af88-eda26f228fa1"/>
  </ds:schemaRefs>
</ds:datastoreItem>
</file>

<file path=customXml/itemProps4.xml><?xml version="1.0" encoding="utf-8"?>
<ds:datastoreItem xmlns:ds="http://schemas.openxmlformats.org/officeDocument/2006/customXml" ds:itemID="{4CD82DC3-A08E-47BC-86B8-0E62E60209F1}">
  <ds:schemaRefs>
    <ds:schemaRef ds:uri="Microsoft.SharePoint.Taxonomy.ContentTypeSync"/>
  </ds:schemaRefs>
</ds:datastoreItem>
</file>

<file path=customXml/itemProps5.xml><?xml version="1.0" encoding="utf-8"?>
<ds:datastoreItem xmlns:ds="http://schemas.openxmlformats.org/officeDocument/2006/customXml" ds:itemID="{27E36FAA-E12C-42E9-9EB2-84FEC256C98F}">
  <ds:schemaRefs>
    <ds:schemaRef ds:uri="http://schemas.microsoft.com/sharepoint/v3/contenttype/forms"/>
  </ds:schemaRefs>
</ds:datastoreItem>
</file>

<file path=customXml/itemProps6.xml><?xml version="1.0" encoding="utf-8"?>
<ds:datastoreItem xmlns:ds="http://schemas.openxmlformats.org/officeDocument/2006/customXml" ds:itemID="{160BF83B-5E5C-4605-8DC1-D673DC36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8460</Words>
  <Characters>48226</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56573</CharactersWithSpaces>
  <SharedDoc>false</SharedDoc>
  <HLinks>
    <vt:vector size="18" baseType="variant">
      <vt:variant>
        <vt:i4>2424955</vt:i4>
      </vt:variant>
      <vt:variant>
        <vt:i4>6</vt:i4>
      </vt:variant>
      <vt:variant>
        <vt:i4>0</vt:i4>
      </vt:variant>
      <vt:variant>
        <vt:i4>5</vt:i4>
      </vt:variant>
      <vt:variant>
        <vt:lpwstr>http://www.lbbdpensionfund.org/</vt:lpwstr>
      </vt:variant>
      <vt:variant>
        <vt:lpwstr/>
      </vt:variant>
      <vt:variant>
        <vt:i4>8257583</vt:i4>
      </vt:variant>
      <vt:variant>
        <vt:i4>3</vt:i4>
      </vt:variant>
      <vt:variant>
        <vt:i4>0</vt:i4>
      </vt:variant>
      <vt:variant>
        <vt:i4>5</vt:i4>
      </vt:variant>
      <vt:variant>
        <vt:lpwstr>http://www.legislation.gov.uk/</vt:lpwstr>
      </vt:variant>
      <vt:variant>
        <vt:lpwstr/>
      </vt:variant>
      <vt:variant>
        <vt:i4>2424955</vt:i4>
      </vt:variant>
      <vt:variant>
        <vt:i4>0</vt:i4>
      </vt:variant>
      <vt:variant>
        <vt:i4>0</vt:i4>
      </vt:variant>
      <vt:variant>
        <vt:i4>5</vt:i4>
      </vt:variant>
      <vt:variant>
        <vt:lpwstr>http://www.lbbdpensionfund.org/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Jesmine</dc:creator>
  <cp:keywords/>
  <dc:description/>
  <cp:lastModifiedBy>Justine Spring</cp:lastModifiedBy>
  <cp:revision>2</cp:revision>
  <dcterms:created xsi:type="dcterms:W3CDTF">2025-07-22T07:50:00Z</dcterms:created>
  <dcterms:modified xsi:type="dcterms:W3CDTF">2025-07-22T07:50:00Z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_dlc_DocIdItemGuid">
    <vt:lpwstr>a1917d84-9815-45d0-b0c8-a1e17beba842</vt:lpwstr>
  </property>
  <property fmtid="{D5CDD505-2E9C-101B-9397-08002B2CF9AE}" pid="4" name="a8455ed1fd22475083a09a91de16b8fd">
    <vt:lpwstr/>
  </property>
  <property fmtid="{D5CDD505-2E9C-101B-9397-08002B2CF9AE}" pid="5" name="LGCS">
    <vt:lpwstr/>
  </property>
  <property fmtid="{D5CDD505-2E9C-101B-9397-08002B2CF9AE}" pid="6" name="CType">
    <vt:lpwstr/>
  </property>
  <property fmtid="{D5CDD505-2E9C-101B-9397-08002B2CF9AE}" pid="7" name="Financial_x0020_Year">
    <vt:lpwstr/>
  </property>
  <property fmtid="{D5CDD505-2E9C-101B-9397-08002B2CF9AE}" pid="8" name="Financial Year">
    <vt:lpwstr/>
  </property>
  <property fmtid="{D5CDD505-2E9C-101B-9397-08002B2CF9AE}" pid="9" name="SharedWithUsers">
    <vt:lpwstr>17;#Dickinson David;#21;#Mulloy Thomas;#18;#Anwar Jesmine</vt:lpwstr>
  </property>
</Properties>
</file>